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7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t xml:space="preserve">ANALISIS LINGKUNGAN EKSTERNAL DAN USULAN INOVASI STRATEGIS</w:t>
      </w:r>
      <w:r>
        <w:t xml:space="preserve"> </w:t>
      </w:r>
      <w:r>
        <w:t xml:space="preserve">PT AKR CORPORINDO TBK (IDX: AKRA)</w:t>
      </w:r>
    </w:p>
    <w:p>
      <w:pPr>
        <w:pStyle w:val="CoverText"/>
      </w:pPr>
      <w:r>
        <w:t xml:space="preserve">Fokus pada Faktor Pemerintah dan Regulasi, Ekonomi, serta Teknologi dan Lingkungan (Transisi Energi), Horizon 2024–2028</w:t>
      </w:r>
    </w:p>
    <w:p>
      <w:pPr>
        <w:pStyle w:val="CoverText"/>
      </w:pPr>
      <w:r>
        <w:t xml:space="preserve"> </w:t>
      </w:r>
    </w:p>
    <w:p>
      <w:pPr>
        <w:pStyle w:val="CoverText"/>
      </w:pPr>
      <w:r>
        <w:drawing>
          <wp:inline>
            <wp:extent cx="1619999" cy="1619999"/>
            <wp:effectExtent b="0" l="0" r="0" t="0"/>
            <wp:docPr descr="" title="" id="21" name="Picture"/>
            <a:graphic>
              <a:graphicData uri="http://schemas.openxmlformats.org/drawingml/2006/picture">
                <pic:pic>
                  <pic:nvPicPr>
                    <pic:cNvPr descr="logo_ugm.png" id="22" name="Picture"/>
                    <pic:cNvPicPr>
                      <a:picLocks noChangeArrowheads="1" noChangeAspect="1"/>
                    </pic:cNvPicPr>
                  </pic:nvPicPr>
                  <pic:blipFill>
                    <a:blip r:embed="rId20"/>
                    <a:stretch>
                      <a:fillRect/>
                    </a:stretch>
                  </pic:blipFill>
                  <pic:spPr bwMode="auto">
                    <a:xfrm>
                      <a:off x="0" y="0"/>
                      <a:ext cx="1619999" cy="1619999"/>
                    </a:xfrm>
                    <a:prstGeom prst="rect">
                      <a:avLst/>
                    </a:prstGeom>
                    <a:noFill/>
                    <a:ln w="9525">
                      <a:noFill/>
                      <a:headEnd/>
                      <a:tailEnd/>
                    </a:ln>
                  </pic:spPr>
                </pic:pic>
              </a:graphicData>
            </a:graphic>
          </wp:inline>
        </w:drawing>
      </w:r>
    </w:p>
    <w:p>
      <w:pPr>
        <w:pStyle w:val="CoverText"/>
      </w:pPr>
      <w:r>
        <w:t xml:space="preserve"> </w:t>
      </w:r>
    </w:p>
    <w:p>
      <w:pPr>
        <w:pStyle w:val="CoverText"/>
      </w:pPr>
      <w:r>
        <w:t xml:space="preserve">LAPORAN MANAJEMEN MATA KULIAH</w:t>
      </w:r>
      <w:r>
        <w:t xml:space="preserve"> </w:t>
      </w:r>
      <w:r>
        <w:rPr>
          <w:iCs/>
          <w:i/>
        </w:rPr>
        <w:t xml:space="preserve">GENERAL BUSINESS ENVIRONMENT</w:t>
      </w:r>
    </w:p>
    <w:p>
      <w:pPr>
        <w:pStyle w:val="CoverText"/>
      </w:pPr>
      <w:r>
        <w:t xml:space="preserve">DOSEN PENGAMPU: PROF. SONY WARSONO, MAFIS, Ph.D.</w:t>
      </w:r>
    </w:p>
    <w:p>
      <w:pPr>
        <w:pStyle w:val="CoverText"/>
      </w:pPr>
      <w:r>
        <w:t xml:space="preserve"> </w:t>
      </w:r>
    </w:p>
    <w:p>
      <w:pPr>
        <w:pStyle w:val="CoverText"/>
      </w:pPr>
      <w:r>
        <w:t xml:space="preserve">[NAMA MAHASISWA]</w:t>
      </w:r>
    </w:p>
    <w:p>
      <w:pPr>
        <w:pStyle w:val="CoverText"/>
      </w:pPr>
      <w:r>
        <w:t xml:space="preserve">[NIM]</w:t>
      </w:r>
    </w:p>
    <w:p>
      <w:pPr>
        <w:pStyle w:val="CoverText"/>
      </w:pPr>
      <w:r>
        <w:t xml:space="preserve"> </w:t>
      </w:r>
    </w:p>
    <w:p>
      <w:pPr>
        <w:pStyle w:val="CoverText"/>
      </w:pPr>
      <w:r>
        <w:t xml:space="preserve">KELAS [KELAS]</w:t>
      </w:r>
    </w:p>
    <w:p>
      <w:pPr>
        <w:pStyle w:val="CoverText"/>
      </w:pPr>
      <w:r>
        <w:t xml:space="preserve">PROGRAM MASTER OF BUSINESS ADMINISTRATION</w:t>
      </w:r>
    </w:p>
    <w:p>
      <w:pPr>
        <w:pStyle w:val="CoverText"/>
      </w:pPr>
      <w:r>
        <w:t xml:space="preserve">FAKULTAS EKONOMIKA DAN BISNIS</w:t>
      </w:r>
    </w:p>
    <w:p>
      <w:pPr>
        <w:pStyle w:val="CoverText"/>
      </w:pPr>
      <w:r>
        <w:t xml:space="preserve">UNIVERSITAS GADJAH MADA</w:t>
      </w:r>
    </w:p>
    <w:p>
      <w:pPr>
        <w:pStyle w:val="CoverText"/>
      </w:pPr>
      <w:r>
        <w:t xml:space="preserve">2026</w:t>
      </w:r>
    </w:p>
    <w:p>
      <w:r>
        <w:br w:type="page"/>
      </w:r>
    </w:p>
    <w:bookmarkStart w:id="23" w:name="kata-pengantar"/>
    <w:p>
      <w:pPr>
        <w:pStyle w:val="Heading1"/>
      </w:pPr>
      <w:r>
        <w:t xml:space="preserve">KATA PENGANTAR</w:t>
      </w:r>
    </w:p>
    <w:p>
      <w:pPr>
        <w:pStyle w:val="FirstParagraph"/>
      </w:pPr>
      <w:r>
        <w:t xml:space="preserve">Puji syukur penulis panjatkan ke hadirat Tuhan Yang Maha Esa. Atas rahmat dan kesempatan yang diberikan, laporan ini akhirnya bisa selesai. Laporan ini disusun untuk memenuhi tugas mata kuliah</w:t>
      </w:r>
      <w:r>
        <w:t xml:space="preserve"> </w:t>
      </w:r>
      <w:r>
        <w:rPr>
          <w:iCs/>
          <w:i/>
        </w:rPr>
        <w:t xml:space="preserve">General Business Environment</w:t>
      </w:r>
      <w:r>
        <w:t xml:space="preserve"> </w:t>
      </w:r>
      <w:r>
        <w:t xml:space="preserve">pada Program Master of Business Administration, Fakultas Ekonomika dan Bisnis, Universitas Gadjah Mada, tahun 2026.</w:t>
      </w:r>
    </w:p>
    <w:p>
      <w:pPr>
        <w:pStyle w:val="BodyText"/>
      </w:pPr>
      <w:r>
        <w:t xml:space="preserve">Laporan ini membahas PT AKR Corporindo Tbk, perusahaan distribusi BBM dan kimia dasar yang juga mengelola Kawasan Ekonomi Khusus JIIPE di Gresik. Penulis memilih perusahaan ini karena posisinya menarik untuk dipelajari. Di satu sisi, AKR sangat bergantung pada kebijakan pemerintah, mulai dari kuota impor sampai mandatori biodiesel. Di sisi lain, perusahaan ini punya aset kawasan industri yang bisa menjadi jalan keluar dari ketergantungan itu. Dari tiga faktor lingkungan eksternal yang dianalisis, penulis sampai pada satu usulan inovasi yang menurut penulis paling masuk akal untuk dijalankan AKR dalam tiga tahun ke depan.</w:t>
      </w:r>
    </w:p>
    <w:p>
      <w:pPr>
        <w:pStyle w:val="BodyText"/>
      </w:pPr>
      <w:r>
        <w:t xml:space="preserve">Penulis mengucapkan terima kasih kepada Bapak Prof. Sony Warsono, MAFIS, Ph.D., yang telah memberikan arahan, kerangka berpikir, dan standar penulisan yang jelas selama perkuliahan. Terima kasih juga kepada teman-teman sekelas atas diskusi yang membantu mempertajam analisis, serta kepada keluarga yang terus memberi dukungan selama proses penulisan.</w:t>
      </w:r>
    </w:p>
    <w:p>
      <w:pPr>
        <w:pStyle w:val="BodyText"/>
      </w:pPr>
      <w:r>
        <w:t xml:space="preserve">Penulis sadar laporan ini masih punya kekurangan. Beberapa angka tidak tersedia di laporan resmi perusahaan dan penulis tandai agar jelas mana yang perlu dicek ulang. Kritik dan saran dari pembaca akan penulis terima dengan senang hati. Semoga laporan ini bermanfaat, setidaknya sebagai bahan diskusi tentang bagaimana perusahaan energi di Indonesia menghadapi perubahan kebijakan dan transisi energi.</w:t>
      </w:r>
    </w:p>
    <w:p>
      <w:pPr>
        <w:pStyle w:val="BodyText"/>
      </w:pPr>
      <w:r>
        <w:t xml:space="preserve">[Kota], [Bulan] 2026</w:t>
      </w:r>
    </w:p>
    <w:p>
      <w:pPr>
        <w:pStyle w:val="BodyText"/>
      </w:pPr>
      <w:r>
        <w:t xml:space="preserve">[Nama Mahasiswa]</w:t>
      </w:r>
    </w:p>
    <w:p>
      <w:r>
        <w:br w:type="page"/>
      </w:r>
    </w:p>
    <w:p>
      <w:pPr>
        <w:pStyle w:val="Heading1"/>
      </w:pPr>
      <w:r>
        <w:t>DAFTAR ISI</w:t>
      </w:r>
    </w:p>
    <w:p>
      <w:r>
        <w:fldChar w:fldCharType="begin"/>
      </w:r>
      <w:r>
        <w:instrText xml:space="preserve"> TOC \o "1-3" \h \z \u </w:instrText>
      </w:r>
      <w:r>
        <w:fldChar w:fldCharType="separate"/>
      </w:r>
      <w:r>
        <w:t>Klik kanan di sini lalu pilih Update Field agar daftar isi dan nomor halaman terisi.</w:t>
      </w:r>
      <w:r>
        <w:fldChar w:fldCharType="end"/>
      </w:r>
    </w:p>
    <w:p>
      <w:r>
        <w:br w:type="page"/>
      </w:r>
    </w:p>
    <w:bookmarkEnd w:id="23"/>
    <w:bookmarkStart w:id="24" w:name="abstrak"/>
    <w:p>
      <w:pPr>
        <w:pStyle w:val="Heading1"/>
      </w:pPr>
      <w:r>
        <w:t xml:space="preserve">ABSTRAK</w:t>
      </w:r>
    </w:p>
    <w:p>
      <w:pPr>
        <w:pStyle w:val="FirstParagraph"/>
      </w:pPr>
      <w:r>
        <w:t xml:space="preserve">Laporan ini menganalisis pengaruh lingkungan eksternal terhadap PT AKR Corporindo Tbk (AKR), distributor BBM dan kimia dasar swasta terbesar di Indonesia yang juga mengembangkan Kawasan Ekonomi Khusus (KEK) Java Integrated Industrial and Port Estate (JIIPE) di Gresik. Dari sembilan faktor lingkungan umum, penulis memilih tiga faktor prioritas berdasarkan besarnya dampak pada pendapatan dan margin, peluang terjadinya, dan kecepatan perubahannya: (1) Pemerintah dan Regulasi, (2) Ekonomi, dan (3) Teknologi dan Lingkungan dalam konteks transisi energi. Metode yang dipakai adalah studi kasus deskriptif-analitis dengan data sekunder, terutama Laporan Tahunan dan Laporan Keberlanjutan AKR 2021–2025, regulasi, artikel jurnal peringkat SJR Q1/Q2, dan media tier 1. Setiap faktor dianalisis dengan alur</w:t>
      </w:r>
      <w:r>
        <w:t xml:space="preserve"> </w:t>
      </w:r>
      <w:r>
        <w:rPr>
          <w:iCs/>
          <w:i/>
        </w:rPr>
        <w:t xml:space="preserve">issue</w:t>
      </w:r>
      <w:r>
        <w:t xml:space="preserve">,</w:t>
      </w:r>
      <w:r>
        <w:t xml:space="preserve"> </w:t>
      </w:r>
      <w:r>
        <w:rPr>
          <w:iCs/>
          <w:i/>
        </w:rPr>
        <w:t xml:space="preserve">key factor</w:t>
      </w:r>
      <w:r>
        <w:t xml:space="preserve"> </w:t>
      </w:r>
      <w:r>
        <w:t xml:space="preserve">penyebab, lalu</w:t>
      </w:r>
      <w:r>
        <w:t xml:space="preserve"> </w:t>
      </w:r>
      <w:r>
        <w:rPr>
          <w:iCs/>
          <w:i/>
        </w:rPr>
        <w:t xml:space="preserve">key action</w:t>
      </w:r>
      <w:r>
        <w:t xml:space="preserve">.</w:t>
      </w:r>
    </w:p>
    <w:p>
      <w:pPr>
        <w:pStyle w:val="BodyText"/>
      </w:pPr>
      <w:r>
        <w:t xml:space="preserve">Hasilnya, faktor Pemerintah dan Regulasi adalah faktor paling penting. Faktor ini menentukan langsung kuota impor BBM ritel swasta (yang habis pada Agustus 2025), penugasan BBM bersubsidi, mandatori B50 sejak 1 Juli 2026, dan insentif KEK yang menopang penjualan lahan JIIPE. Faktor Ekonomi bekerja lewat guncangan harga minyak 2026, kurs, dan modal kerja, tetapi dampaknya pada margin diredam oleh model harga berbasis formula dengan posisi terbuka neto nol. Faktor Teknologi dan Lingkungan bergerak paling cepat (pangsa kendaraan elektrifikasi 26,8% pada semester I 2026). Faktor ini mengancam permintaan bensin ritel jangka panjang, tetapi juga membuka peluang utilitas rendah karbon di JIIPE. Tiga alternatif inovasi dinilai dengan matriks berbobot enam kriteria. Alternatif terpilih adalah JIIPE Low-Carbon Industrial Energy-as-a-Service, yaitu layanan langganan energi industri bersertifikat rendah karbon yang mengubah utilitas JIIPE dari penjual kWh dan gas menjadi penyedia layanan dekarbonisasi</w:t>
      </w:r>
      <w:r>
        <w:t xml:space="preserve"> </w:t>
      </w:r>
      <w:r>
        <w:rPr>
          <w:iCs/>
          <w:i/>
        </w:rPr>
        <w:t xml:space="preserve">Scope 2</w:t>
      </w:r>
      <w:r>
        <w:t xml:space="preserve"> </w:t>
      </w:r>
      <w:r>
        <w:t xml:space="preserve">bagi tenant eksportir. Kebaruannya ada pada model bisnis dan kontrak, bukan pada infrastruktur yang memang sudah direncanakan AKR.</w:t>
      </w:r>
    </w:p>
    <w:p>
      <w:pPr>
        <w:pStyle w:val="BodyText"/>
      </w:pPr>
      <w:r>
        <w:rPr>
          <w:bCs/>
          <w:b/>
        </w:rPr>
        <w:t xml:space="preserve">Kata kunci:</w:t>
      </w:r>
      <w:r>
        <w:t xml:space="preserve"> </w:t>
      </w:r>
      <w:r>
        <w:t xml:space="preserve">lingkungan eksternal; regulasi energi; transisi energi; distribusi BBM; kawasan ekonomi khusus; inovasi model bisnis;</w:t>
      </w:r>
      <w:r>
        <w:t xml:space="preserve"> </w:t>
      </w:r>
      <w:r>
        <w:rPr>
          <w:iCs/>
          <w:i/>
        </w:rPr>
        <w:t xml:space="preserve">energy-as-a-service</w:t>
      </w:r>
      <w:r>
        <w:t xml:space="preserve">.</w:t>
      </w:r>
    </w:p>
    <w:p>
      <w:r>
        <w:br w:type="page"/>
      </w:r>
    </w:p>
    <w:bookmarkEnd w:id="24"/>
    <w:bookmarkStart w:id="25" w:name="daftar-tabel"/>
    <w:p>
      <w:pPr>
        <w:pStyle w:val="Heading1"/>
      </w:pPr>
      <w:r>
        <w:t xml:space="preserve">DAFTAR TABEL</w:t>
      </w:r>
    </w:p>
    <w:p>
      <w:pPr>
        <w:pStyle w:val="FirstParagraph"/>
      </w:pPr>
      <w:r>
        <w:t xml:space="preserve">Tabel 1.1 Kriteria pemilihan tiga faktor prioritas</w:t>
      </w:r>
      <w:r>
        <w:br/>
      </w:r>
      <w:r>
        <w:t xml:space="preserve">Tabel 3.1 Pemain utama distribusi BBM ritel dan industri di Indonesia</w:t>
      </w:r>
      <w:r>
        <w:br/>
      </w:r>
      <w:r>
        <w:t xml:space="preserve">Tabel 3.2 Ikhtisar kinerja PT AKR Corporindo Tbk 2021–2025</w:t>
      </w:r>
      <w:r>
        <w:br/>
      </w:r>
      <w:r>
        <w:t xml:space="preserve">Tabel 3.3 Pendapatan dan laba kotor per segmen 2024–2025</w:t>
      </w:r>
      <w:r>
        <w:br/>
      </w:r>
      <w:r>
        <w:t xml:space="preserve">Tabel 4.1 Ancaman, peluang, dan implikasi strategis faktor Pemerintah dan Regulasi</w:t>
      </w:r>
      <w:r>
        <w:br/>
      </w:r>
      <w:r>
        <w:t xml:space="preserve">Tabel 4.2 Ancaman, peluang, dan implikasi strategis faktor Ekonomi</w:t>
      </w:r>
      <w:r>
        <w:br/>
      </w:r>
      <w:r>
        <w:t xml:space="preserve">Tabel 4.3 Ancaman, peluang, dan implikasi strategis faktor Teknologi dan Lingkungan</w:t>
      </w:r>
      <w:r>
        <w:br/>
      </w:r>
      <w:r>
        <w:t xml:space="preserve">Tabel 4.4 Matriks penilaian faktor eksternal (skor 1–5)</w:t>
      </w:r>
      <w:r>
        <w:br/>
      </w:r>
      <w:r>
        <w:t xml:space="preserve">Tabel 4.5 Ringkasan tiga alternatif inovasi</w:t>
      </w:r>
      <w:r>
        <w:br/>
      </w:r>
      <w:r>
        <w:t xml:space="preserve">Tabel 4.6 Matriks pemilihan alternatif inovasi (skor berbobot)</w:t>
      </w:r>
      <w:r>
        <w:br/>
      </w:r>
      <w:r>
        <w:t xml:space="preserve">Tabel 4.7 Peta jalan implementasi 2027–2029 per semester</w:t>
      </w:r>
      <w:r>
        <w:br/>
      </w:r>
      <w:r>
        <w:t xml:space="preserve">Tabel 4.8 KPI finansial dan non-finansial usulan terpilih</w:t>
      </w:r>
      <w:r>
        <w:br/>
      </w:r>
      <w:r>
        <w:t xml:space="preserve">Tabel 4.9 Risiko dan mitigasi usulan terpilih</w:t>
      </w:r>
      <w:r>
        <w:br/>
      </w:r>
      <w:r>
        <w:t xml:space="preserve">Tabel 5.1 Rekomendasi bertingkat</w:t>
      </w:r>
      <w:r>
        <w:br/>
      </w:r>
      <w:r>
        <w:t xml:space="preserve">Tabel L.1 Tabel audit artikel jurnal</w:t>
      </w:r>
    </w:p>
    <w:bookmarkEnd w:id="25"/>
    <w:bookmarkStart w:id="26" w:name="daftar-gambar"/>
    <w:p>
      <w:pPr>
        <w:pStyle w:val="Heading1"/>
      </w:pPr>
      <w:r>
        <w:t xml:space="preserve">DAFTAR GAMBAR</w:t>
      </w:r>
    </w:p>
    <w:p>
      <w:pPr>
        <w:pStyle w:val="FirstParagraph"/>
      </w:pPr>
      <w:r>
        <w:t xml:space="preserve">Gambar 2.1 Kerangka analisis: issue, key factor penyebab, key action, usulan inovatif</w:t>
      </w:r>
      <w:r>
        <w:br/>
      </w:r>
      <w:r>
        <w:t xml:space="preserve">Gambar 3.1 Struktur grup PT AKR Corporindo Tbk (entitas kunci)</w:t>
      </w:r>
      <w:r>
        <w:br/>
      </w:r>
      <w:r>
        <w:t xml:space="preserve">Gambar 4.1 Arsitektur model bisnis JIIPE Low-Carbon Industrial Energy-as-a-Service</w:t>
      </w:r>
    </w:p>
    <w:p>
      <w:r>
        <w:br w:type="page"/>
      </w:r>
    </w:p>
    <w:bookmarkEnd w:id="26"/>
    <w:bookmarkStart w:id="32" w:name="bab-1-pendahuluan"/>
    <w:p>
      <w:pPr>
        <w:pStyle w:val="Heading1"/>
      </w:pPr>
      <w:r>
        <w:t xml:space="preserve">BAB 1 PENDAHULUAN</w:t>
      </w:r>
    </w:p>
    <w:bookmarkStart w:id="27" w:name="ringkasan-masalah-dan-peluang"/>
    <w:p>
      <w:pPr>
        <w:pStyle w:val="Heading2"/>
      </w:pPr>
      <w:r>
        <w:t xml:space="preserve">1.1 Ringkasan Masalah dan Peluang</w:t>
      </w:r>
    </w:p>
    <w:p>
      <w:pPr>
        <w:pStyle w:val="FirstParagraph"/>
      </w:pPr>
      <w:r>
        <w:t xml:space="preserve">Pada pertengahan Agustus 2025, SPBU bp AKR, Shell, dan Vivo kehabisan bensin. Penyebabnya sederhana: kuota impor BBM untuk SPBU swasta tahun 2025 sudah terpakai habis. Kuota itu hanya 110% dari penjualan 2024. Pasokan baru pulih setelah pemerintah membuka kuota 2026 dengan kenaikan sekitar 10% dan mengembalikan persetujuan ke skema enam bulanan (Katadata, 5 Januari 2026; Bloomberg Technoz, 26 Januari 2026). Kejadian ini memperlihatkan satu hal dengan jelas. Satu keputusan administratif di Kementerian ESDM bisa menghentikan penjualan 72 gerai ritel yang dibangun AKR bersama bp selama delapan tahun. Pada saat yang sama, segmen Trading and Distribution yang menyumbang 90% pendapatan AKR hanya punya margin kotor 7,3% (AKR Corporindo, 2026a, hlm. 120). Dengan margin setipis itu, perubahan kecil pada kuota, harga acuan, atau formula kompensasi langsung terasa di laba.</w:t>
      </w:r>
    </w:p>
    <w:p>
      <w:pPr>
        <w:pStyle w:val="BodyText"/>
      </w:pPr>
      <w:r>
        <w:t xml:space="preserve">Di sisi lain, kinerja keuangan AKR sedang bagus. Pendapatan 2025 mencapai Rp46.018 miliar (naik 19%), laba bersih pemilik entitas induk Rp2.473 miliar (naik 11%), kas Rp6.404 miliar, dan rasio</w:t>
      </w:r>
      <w:r>
        <w:t xml:space="preserve"> </w:t>
      </w:r>
      <w:r>
        <w:rPr>
          <w:iCs/>
          <w:i/>
        </w:rPr>
        <w:t xml:space="preserve">net gearing</w:t>
      </w:r>
      <w:r>
        <w:t xml:space="preserve"> </w:t>
      </w:r>
      <w:r>
        <w:t xml:space="preserve">minus 0,08 kali, artinya perusahaan punya kas lebih besar daripada utangnya (AKR Corporindo, 2026a, hlm. 24–26). Struktur labanya juga sedang bergeser. Segmen Integrated Industrial Estate and Port (JIIPE) menyumbang 20% laba kotor pada 2025. Pendapatan segmen ini Rp2.741 miliar, hampir dua kali lipat tahun sebelumnya, termasuk pendapatan utilitas berulang Rp727 miliar yang tumbuh 129% (AKR Corporindo, 2026a, hlm. 117, 121). Smelter tembaga dan</w:t>
      </w:r>
      <w:r>
        <w:t xml:space="preserve"> </w:t>
      </w:r>
      <w:r>
        <w:rPr>
          <w:iCs/>
          <w:i/>
        </w:rPr>
        <w:t xml:space="preserve">Precious Metal Refinery</w:t>
      </w:r>
      <w:r>
        <w:t xml:space="preserve"> </w:t>
      </w:r>
      <w:r>
        <w:t xml:space="preserve">milik PT Freeport Indonesia diresmikan 17 Maret 2025, dan pabrik Xinyi Solar sudah beroperasi (AKR Corporindo, 2026b, hlm. 36; AKR Corporindo, 2026a, hlm. 118, 120). JIIPE punya lisensi pembangkitan dan distribusi listrik 515 MW (AKR Corporindo, 2026a, hlm. 119). Aset ini paling sedikit tersentuh risiko kuota, tetapi paling terpapar tuntutan dekarbonisasi dari pembeli global.</w:t>
      </w:r>
    </w:p>
    <w:p>
      <w:pPr>
        <w:pStyle w:val="BodyText"/>
      </w:pPr>
      <w:r>
        <w:t xml:space="preserve">Kalau diringkas dalam satu kalimat, masalah strategis AKR adalah ini: bisnis intinya menghasilkan kas besar, tetapi bergantung pada keputusan negara dan terpapar transisi energi, sementara mesin pertumbuhan barunya (JIIPE) masih didominasi penjualan lahan yang tidak berulang. Peluangnya ada di infrastruktur energi JIIPE yang sudah direncanakan: PLTS 56 MWp menuju 148 MWp pada 2032, PLTS terapung 55 MW, dan terminal LNG pada 2029 (AKR Corporindo, 2026b, hlm. 42). Infrastruktur ini bisa diubah menjadi model bisnis layanan yang menghasilkan pendapatan berulang dan menjawab kebutuhan tenant eksportir akan energi rendah karbon yang bisa dibuktikan.</w:t>
      </w:r>
    </w:p>
    <w:p>
      <w:pPr>
        <w:pStyle w:val="BodyText"/>
      </w:pPr>
      <w:r>
        <w:t xml:space="preserve">Dari sembilan faktor lingkungan umum versi kelas (Politik, Ekonomi, Sosial-Budaya, Teknologi, Lingkungan Alam, Hukum/Legal, Demografi, Pemerintah, Global), penulis memilih tiga faktor prioritas dengan tiga kriteria yang diringkas pada Tabel 1.1. Faktor Pemerintah dan Regulasi dipilih karena dampaknya pada pendapatan dan margin paling besar dan paling langsung, lewat kuota, penugasan, mandatori, dan insentif KEK. Faktor Ekonomi dipilih karena peluang kejadiannya tinggi dan berulang, seperti siklus harga minyak, kurs, dan suku bunga. Faktor Teknologi dan Lingkungan digabung sebagai satu klaster transisi energi karena perubahannya paling cepat. Faktor Sosial-Budaya dan Demografi tidak diprioritaskan karena pengaruhnya pada AKR tidak langsung dan lambat. AKR adalah pemain</w:t>
      </w:r>
      <w:r>
        <w:t xml:space="preserve"> </w:t>
      </w:r>
      <w:r>
        <w:rPr>
          <w:iCs/>
          <w:i/>
        </w:rPr>
        <w:t xml:space="preserve">business-to-business</w:t>
      </w:r>
      <w:r>
        <w:t xml:space="preserve">; 73% laba kotornya datang dari pelanggan industri dan pertambangan (AKR Corporindo, 2026a, hlm. 120–121). Perubahan selera konsumen dan struktur usia penduduk baru terasa setelah lewat permintaan industri. Faktor Politik, Hukum, dan Global dibahas sebagai bagian dari tiga faktor prioritas karena ujungnya sama: kebijakan pemerintah dan harga komoditas.</w:t>
      </w:r>
    </w:p>
    <w:p>
      <w:pPr>
        <w:pStyle w:val="BodyText"/>
      </w:pPr>
      <w:r>
        <w:rPr>
          <w:bCs/>
          <w:b/>
        </w:rPr>
        <w:t xml:space="preserve">Tabel 1.1 Kriteria pemilihan tiga faktor prioritas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Faktor</w:t>
            </w:r>
          </w:p>
        </w:tc>
        <w:tc>
          <w:tcPr/>
          <w:p>
            <w:pPr>
              <w:pStyle w:val="Compact"/>
              <w:jc w:val="left"/>
            </w:pPr>
            <w:r>
              <w:t xml:space="preserve">Besar dampak pada pendapatan/margin</w:t>
            </w:r>
          </w:p>
        </w:tc>
        <w:tc>
          <w:tcPr/>
          <w:p>
            <w:pPr>
              <w:pStyle w:val="Compact"/>
              <w:jc w:val="left"/>
            </w:pPr>
            <w:r>
              <w:t xml:space="preserve">Peluang kejadian 2024–2028</w:t>
            </w:r>
          </w:p>
        </w:tc>
        <w:tc>
          <w:tcPr/>
          <w:p>
            <w:pPr>
              <w:pStyle w:val="Compact"/>
              <w:jc w:val="left"/>
            </w:pPr>
            <w:r>
              <w:t xml:space="preserve">Kecepatan perubahan</w:t>
            </w:r>
          </w:p>
        </w:tc>
        <w:tc>
          <w:tcPr/>
          <w:p>
            <w:pPr>
              <w:pStyle w:val="Compact"/>
              <w:jc w:val="left"/>
            </w:pPr>
            <w:r>
              <w:t xml:space="preserve">Keputusan</w:t>
            </w:r>
          </w:p>
        </w:tc>
      </w:tr>
      <w:tr>
        <w:tc>
          <w:tcPr/>
          <w:p>
            <w:pPr>
              <w:pStyle w:val="Compact"/>
              <w:jc w:val="left"/>
            </w:pPr>
            <w:r>
              <w:t xml:space="preserve">Pemerintah &amp; Regulasi</w:t>
            </w:r>
          </w:p>
        </w:tc>
        <w:tc>
          <w:tcPr/>
          <w:p>
            <w:pPr>
              <w:pStyle w:val="Compact"/>
              <w:jc w:val="left"/>
            </w:pPr>
            <w:r>
              <w:t xml:space="preserve">Sangat tinggi (kuota, penugasan, mandatori, KEK)</w:t>
            </w:r>
          </w:p>
        </w:tc>
        <w:tc>
          <w:tcPr/>
          <w:p>
            <w:pPr>
              <w:pStyle w:val="Compact"/>
              <w:jc w:val="left"/>
            </w:pPr>
            <w:r>
              <w:t xml:space="preserve">Tinggi (kebijakan berubah tiap tahun)</w:t>
            </w:r>
          </w:p>
        </w:tc>
        <w:tc>
          <w:tcPr/>
          <w:p>
            <w:pPr>
              <w:pStyle w:val="Compact"/>
              <w:jc w:val="left"/>
            </w:pPr>
            <w:r>
              <w:t xml:space="preserve">Sedang sampai cepat</w:t>
            </w:r>
          </w:p>
        </w:tc>
        <w:tc>
          <w:tcPr/>
          <w:p>
            <w:pPr>
              <w:pStyle w:val="Compact"/>
              <w:jc w:val="left"/>
            </w:pPr>
            <w:r>
              <w:t xml:space="preserve">Prioritas 1</w:t>
            </w:r>
          </w:p>
        </w:tc>
      </w:tr>
      <w:tr>
        <w:tc>
          <w:tcPr/>
          <w:p>
            <w:pPr>
              <w:pStyle w:val="Compact"/>
              <w:jc w:val="left"/>
            </w:pPr>
            <w:r>
              <w:t xml:space="preserve">Ekonomi</w:t>
            </w:r>
          </w:p>
        </w:tc>
        <w:tc>
          <w:tcPr/>
          <w:p>
            <w:pPr>
              <w:pStyle w:val="Compact"/>
              <w:jc w:val="left"/>
            </w:pPr>
            <w:r>
              <w:t xml:space="preserve">Tinggi (harga minyak, kurs, modal kerja)</w:t>
            </w:r>
          </w:p>
        </w:tc>
        <w:tc>
          <w:tcPr/>
          <w:p>
            <w:pPr>
              <w:pStyle w:val="Compact"/>
              <w:jc w:val="left"/>
            </w:pPr>
            <w:r>
              <w:t xml:space="preserve">Sangat tinggi (siklus berulang)</w:t>
            </w:r>
          </w:p>
        </w:tc>
        <w:tc>
          <w:tcPr/>
          <w:p>
            <w:pPr>
              <w:pStyle w:val="Compact"/>
              <w:jc w:val="left"/>
            </w:pPr>
            <w:r>
              <w:t xml:space="preserve">Cepat</w:t>
            </w:r>
          </w:p>
        </w:tc>
        <w:tc>
          <w:tcPr/>
          <w:p>
            <w:pPr>
              <w:pStyle w:val="Compact"/>
              <w:jc w:val="left"/>
            </w:pPr>
            <w:r>
              <w:t xml:space="preserve">Prioritas 2</w:t>
            </w:r>
          </w:p>
        </w:tc>
      </w:tr>
      <w:tr>
        <w:tc>
          <w:tcPr/>
          <w:p>
            <w:pPr>
              <w:pStyle w:val="Compact"/>
              <w:jc w:val="left"/>
            </w:pPr>
            <w:r>
              <w:t xml:space="preserve">Teknologi &amp; Lingkungan</w:t>
            </w:r>
          </w:p>
        </w:tc>
        <w:tc>
          <w:tcPr/>
          <w:p>
            <w:pPr>
              <w:pStyle w:val="Compact"/>
              <w:jc w:val="left"/>
            </w:pPr>
            <w:r>
              <w:t xml:space="preserve">Sedang jangka pendek, tinggi jangka panjang</w:t>
            </w:r>
          </w:p>
        </w:tc>
        <w:tc>
          <w:tcPr/>
          <w:p>
            <w:pPr>
              <w:pStyle w:val="Compact"/>
              <w:jc w:val="left"/>
            </w:pPr>
            <w:r>
              <w:t xml:space="preserve">Tinggi</w:t>
            </w:r>
          </w:p>
        </w:tc>
        <w:tc>
          <w:tcPr/>
          <w:p>
            <w:pPr>
              <w:pStyle w:val="Compact"/>
              <w:jc w:val="left"/>
            </w:pPr>
            <w:r>
              <w:t xml:space="preserve">Sangat cepat (EV, EBT)</w:t>
            </w:r>
          </w:p>
        </w:tc>
        <w:tc>
          <w:tcPr/>
          <w:p>
            <w:pPr>
              <w:pStyle w:val="Compact"/>
              <w:jc w:val="left"/>
            </w:pPr>
            <w:r>
              <w:t xml:space="preserve">Prioritas 3</w:t>
            </w:r>
          </w:p>
        </w:tc>
      </w:tr>
      <w:tr>
        <w:tc>
          <w:tcPr/>
          <w:p>
            <w:pPr>
              <w:pStyle w:val="Compact"/>
              <w:jc w:val="left"/>
            </w:pPr>
            <w:r>
              <w:t xml:space="preserve">Sosial-Budaya</w:t>
            </w:r>
          </w:p>
        </w:tc>
        <w:tc>
          <w:tcPr/>
          <w:p>
            <w:pPr>
              <w:pStyle w:val="Compact"/>
              <w:jc w:val="left"/>
            </w:pPr>
            <w:r>
              <w:t xml:space="preserve">Rendah (bisnis B2B)</w:t>
            </w:r>
          </w:p>
        </w:tc>
        <w:tc>
          <w:tcPr/>
          <w:p>
            <w:pPr>
              <w:pStyle w:val="Compact"/>
              <w:jc w:val="left"/>
            </w:pPr>
            <w:r>
              <w:t xml:space="preserve">Sedang</w:t>
            </w:r>
          </w:p>
        </w:tc>
        <w:tc>
          <w:tcPr/>
          <w:p>
            <w:pPr>
              <w:pStyle w:val="Compact"/>
              <w:jc w:val="left"/>
            </w:pPr>
            <w:r>
              <w:t xml:space="preserve">Lambat</w:t>
            </w:r>
          </w:p>
        </w:tc>
        <w:tc>
          <w:tcPr/>
          <w:p>
            <w:pPr>
              <w:pStyle w:val="Compact"/>
              <w:jc w:val="left"/>
            </w:pPr>
            <w:r>
              <w:t xml:space="preserve">Tidak diprioritaskan</w:t>
            </w:r>
          </w:p>
        </w:tc>
      </w:tr>
      <w:tr>
        <w:tc>
          <w:tcPr/>
          <w:p>
            <w:pPr>
              <w:pStyle w:val="Compact"/>
              <w:jc w:val="left"/>
            </w:pPr>
            <w:r>
              <w:t xml:space="preserve">Demografi</w:t>
            </w:r>
          </w:p>
        </w:tc>
        <w:tc>
          <w:tcPr/>
          <w:p>
            <w:pPr>
              <w:pStyle w:val="Compact"/>
              <w:jc w:val="left"/>
            </w:pPr>
            <w:r>
              <w:t xml:space="preserve">Rendah sampai sedang (tidak langsung)</w:t>
            </w:r>
          </w:p>
        </w:tc>
        <w:tc>
          <w:tcPr/>
          <w:p>
            <w:pPr>
              <w:pStyle w:val="Compact"/>
              <w:jc w:val="left"/>
            </w:pPr>
            <w:r>
              <w:t xml:space="preserve">Tinggi tetapi bertahap</w:t>
            </w:r>
          </w:p>
        </w:tc>
        <w:tc>
          <w:tcPr/>
          <w:p>
            <w:pPr>
              <w:pStyle w:val="Compact"/>
              <w:jc w:val="left"/>
            </w:pPr>
            <w:r>
              <w:t xml:space="preserve">Sangat lambat</w:t>
            </w:r>
          </w:p>
        </w:tc>
        <w:tc>
          <w:tcPr/>
          <w:p>
            <w:pPr>
              <w:pStyle w:val="Compact"/>
              <w:jc w:val="left"/>
            </w:pPr>
            <w:r>
              <w:t xml:space="preserve">Tidak diprioritaskan</w:t>
            </w:r>
          </w:p>
        </w:tc>
      </w:tr>
      <w:tr>
        <w:tc>
          <w:tcPr/>
          <w:p>
            <w:pPr>
              <w:pStyle w:val="Compact"/>
              <w:jc w:val="left"/>
            </w:pPr>
            <w:r>
              <w:t xml:space="preserve">Politik, Hukum, Global, Lingkungan Alam</w:t>
            </w:r>
          </w:p>
        </w:tc>
        <w:tc>
          <w:tcPr/>
          <w:p>
            <w:pPr>
              <w:pStyle w:val="Compact"/>
              <w:jc w:val="left"/>
            </w:pPr>
            <w:r>
              <w:t xml:space="preserve">Tinggi, tetapi bermuara pada tiga faktor prioritas</w:t>
            </w:r>
          </w:p>
        </w:tc>
        <w:tc>
          <w:tcPr/>
          <w:p>
            <w:pPr>
              <w:pStyle w:val="Compact"/>
            </w:pPr>
          </w:p>
        </w:tc>
        <w:tc>
          <w:tcPr/>
          <w:p>
            <w:pPr>
              <w:pStyle w:val="Compact"/>
            </w:pPr>
          </w:p>
        </w:tc>
        <w:tc>
          <w:tcPr/>
          <w:p>
            <w:pPr>
              <w:pStyle w:val="Compact"/>
              <w:jc w:val="left"/>
            </w:pPr>
            <w:r>
              <w:t xml:space="preserve">Dibahas terintegrasi</w:t>
            </w:r>
          </w:p>
        </w:tc>
      </w:tr>
    </w:tbl>
    <w:p>
      <w:pPr>
        <w:pStyle w:val="BodyText"/>
      </w:pPr>
      <w:r>
        <w:t xml:space="preserve">Sumber: analisis penulis berdasarkan AKR Corporindo (2026a, 2026b) dan kerangka kelas.</w:t>
      </w:r>
    </w:p>
    <w:bookmarkEnd w:id="27"/>
    <w:bookmarkStart w:id="28" w:name="pertanyaan-penelitian"/>
    <w:p>
      <w:pPr>
        <w:pStyle w:val="Heading2"/>
      </w:pPr>
      <w:r>
        <w:t xml:space="preserve">1.2 Pertanyaan Penelitian</w:t>
      </w:r>
    </w:p>
    <w:p>
      <w:pPr>
        <w:pStyle w:val="FirstParagraph"/>
      </w:pPr>
      <w:r>
        <w:t xml:space="preserve">Laporan ini menjawab empat pertanyaan penelitian (PP):</w:t>
      </w:r>
    </w:p>
    <w:p>
      <w:pPr>
        <w:numPr>
          <w:ilvl w:val="0"/>
          <w:numId w:val="1001"/>
        </w:numPr>
        <w:pStyle w:val="Compact"/>
      </w:pPr>
      <w:r>
        <w:t xml:space="preserve">PP1. Bagaimana faktor Pemerintah dan Regulasi (kuota impor, penugasan BBM bersubsidi, mandatori biodiesel, subsidi dan kompensasi, serta insentif KEK) memengaruhi kinerja AKR pada 2024–2026, dan apa</w:t>
      </w:r>
      <w:r>
        <w:t xml:space="preserve"> </w:t>
      </w:r>
      <w:r>
        <w:rPr>
          <w:iCs/>
          <w:i/>
        </w:rPr>
        <w:t xml:space="preserve">key factor</w:t>
      </w:r>
      <w:r>
        <w:t xml:space="preserve"> </w:t>
      </w:r>
      <w:r>
        <w:t xml:space="preserve">penyebab di balik gejala itu?</w:t>
      </w:r>
    </w:p>
    <w:p>
      <w:pPr>
        <w:numPr>
          <w:ilvl w:val="0"/>
          <w:numId w:val="1001"/>
        </w:numPr>
        <w:pStyle w:val="Compact"/>
      </w:pPr>
      <w:r>
        <w:t xml:space="preserve">PP2. Bagaimana faktor Ekonomi (siklus harga minyak, kurs, suku bunga, dan siklus komoditas pelanggan) memengaruhi volume, margin, dan modal kerja AKR, dan apa</w:t>
      </w:r>
      <w:r>
        <w:t xml:space="preserve"> </w:t>
      </w:r>
      <w:r>
        <w:rPr>
          <w:iCs/>
          <w:i/>
        </w:rPr>
        <w:t xml:space="preserve">key factor</w:t>
      </w:r>
      <w:r>
        <w:t xml:space="preserve"> </w:t>
      </w:r>
      <w:r>
        <w:t xml:space="preserve">penyebabnya?</w:t>
      </w:r>
    </w:p>
    <w:p>
      <w:pPr>
        <w:numPr>
          <w:ilvl w:val="0"/>
          <w:numId w:val="1001"/>
        </w:numPr>
        <w:pStyle w:val="Compact"/>
      </w:pPr>
      <w:r>
        <w:t xml:space="preserve">PP3. Bagaimana faktor Teknologi dan Lingkungan (elektrifikasi kendaraan, mandatori biofuel, tekanan ESG, dan dekarbonisasi rantai pasok) memengaruhi prospek segmen ritel, industri, dan kawasan industri AKR, dan apa</w:t>
      </w:r>
      <w:r>
        <w:t xml:space="preserve"> </w:t>
      </w:r>
      <w:r>
        <w:rPr>
          <w:iCs/>
          <w:i/>
        </w:rPr>
        <w:t xml:space="preserve">key factor</w:t>
      </w:r>
      <w:r>
        <w:t xml:space="preserve"> </w:t>
      </w:r>
      <w:r>
        <w:t xml:space="preserve">penyebabnya?</w:t>
      </w:r>
    </w:p>
    <w:p>
      <w:pPr>
        <w:numPr>
          <w:ilvl w:val="0"/>
          <w:numId w:val="1001"/>
        </w:numPr>
        <w:pStyle w:val="Compact"/>
      </w:pPr>
      <w:r>
        <w:t xml:space="preserve">PP4. Inovasi strategis apa yang paling layak bagi AKR, dan mengapa lebih layak dibanding alternatif lain?</w:t>
      </w:r>
    </w:p>
    <w:bookmarkEnd w:id="28"/>
    <w:bookmarkStart w:id="29" w:name="tujuan-dan-manfaat"/>
    <w:p>
      <w:pPr>
        <w:pStyle w:val="Heading2"/>
      </w:pPr>
      <w:r>
        <w:t xml:space="preserve">1.3 Tujuan dan Manfaat</w:t>
      </w:r>
    </w:p>
    <w:p>
      <w:pPr>
        <w:pStyle w:val="FirstParagraph"/>
      </w:pPr>
      <w:r>
        <w:t xml:space="preserve">Laporan ini punya empat tujuan: memetakan</w:t>
      </w:r>
      <w:r>
        <w:t xml:space="preserve"> </w:t>
      </w:r>
      <w:r>
        <w:rPr>
          <w:iCs/>
          <w:i/>
        </w:rPr>
        <w:t xml:space="preserve">issue</w:t>
      </w:r>
      <w:r>
        <w:t xml:space="preserve"> </w:t>
      </w:r>
      <w:r>
        <w:t xml:space="preserve">eksternal 2024–2026 yang paling berpengaruh bagi AKR; menemukan</w:t>
      </w:r>
      <w:r>
        <w:t xml:space="preserve"> </w:t>
      </w:r>
      <w:r>
        <w:rPr>
          <w:iCs/>
          <w:i/>
        </w:rPr>
        <w:t xml:space="preserve">key factor</w:t>
      </w:r>
      <w:r>
        <w:t xml:space="preserve"> </w:t>
      </w:r>
      <w:r>
        <w:t xml:space="preserve">penyebab yang berada di luar kendali perusahaan dengan dukungan teori dan bukti; merumuskan</w:t>
      </w:r>
      <w:r>
        <w:t xml:space="preserve"> </w:t>
      </w:r>
      <w:r>
        <w:rPr>
          <w:iCs/>
          <w:i/>
        </w:rPr>
        <w:t xml:space="preserve">key action</w:t>
      </w:r>
      <w:r>
        <w:t xml:space="preserve"> </w:t>
      </w:r>
      <w:r>
        <w:t xml:space="preserve">yang jelas pemilik, waktu, dan ukurannya; dan memilih serta merinci satu usulan inovasi yang bisa dijalankan dalam tiga tahun. Bagi Direksi dan Dewan Komisaris, manfaatnya adalah dasar keputusan alokasi modal yang menghubungkan risiko regulasi dan transisi energi dengan peluang pendapatan berulang. Bagi pembaca akademis, laporan ini adalah contoh penerapan kerangka lingkungan umum dan teori inovasi model bisnis pada perusahaan distribusi energi lama di negara berkembang.</w:t>
      </w:r>
    </w:p>
    <w:bookmarkEnd w:id="29"/>
    <w:bookmarkStart w:id="30" w:name="ruang-lingkup-dan-metode"/>
    <w:p>
      <w:pPr>
        <w:pStyle w:val="Heading2"/>
      </w:pPr>
      <w:r>
        <w:t xml:space="preserve">1.4 Ruang Lingkup dan Metode</w:t>
      </w:r>
    </w:p>
    <w:p>
      <w:pPr>
        <w:pStyle w:val="FirstParagraph"/>
      </w:pPr>
      <w:r>
        <w:t xml:space="preserve">Laporan ini adalah studi kasus deskriptif-analitis. Unit analisisnya PT AKR Corporindo Tbk beserta anak usaha dan ventura bersamanya. Horizon analisis 2024–2028 dengan data kinerja 2021–2025. Data utama berasal dari Laporan Tahunan (AR) dan Laporan Keberlanjutan (SR) AKR 2021–2025, dengan AR 2025 dan SR 2025 sebagai acuan angka. Nomor halaman yang dikutip adalah nomor halaman tercetak di dokumen. Sumber pendukungnya adalah regulasi (Kepmen dan Permen ESDM, PP tentang KEK, POJK), data Kementerian Keuangan dan Bank Indonesia, artikel jurnal peringkat SJR Q1/Q2, publikasi lembaga internasional, dan media tier 1 untuk peristiwa 2025–2026. Angka yang tidak bisa dipastikan dari dokumen primer ditandai [VERIFIKASI]. Estimasi keuangan ditandai [ESTIMASI] dengan asumsinya ditulis. Kalimat kunci di Bab 4 diberi label [Fakta], [Inferensi], atau [Rekomendasi] supaya pembaca tahu mana yang data dan mana yang pendapat penulis. Keterbatasan metode dibahas di Bab 5.</w:t>
      </w:r>
    </w:p>
    <w:bookmarkEnd w:id="30"/>
    <w:bookmarkStart w:id="31" w:name="sistematika"/>
    <w:p>
      <w:pPr>
        <w:pStyle w:val="Heading2"/>
      </w:pPr>
      <w:r>
        <w:t xml:space="preserve">1.5 Sistematika</w:t>
      </w:r>
    </w:p>
    <w:p>
      <w:pPr>
        <w:pStyle w:val="FirstParagraph"/>
      </w:pPr>
      <w:r>
        <w:t xml:space="preserve">Bab 2 berisi landasan teori umum tentang lingkungan eksternal dan menyatakan faktor mana yang paling penting bagi perusahaan distribusi energi di Indonesia. Bab 3 menggambarkan industri distribusi BBM dan kimia dasar, industri kawasan industri terpadu dan KEK, serta profil dan kinerja AKR 2021–2025. Bab 4 menganalisis tiga faktor prioritas dengan alur</w:t>
      </w:r>
      <w:r>
        <w:t xml:space="preserve"> </w:t>
      </w:r>
      <w:r>
        <w:rPr>
          <w:iCs/>
          <w:i/>
        </w:rPr>
        <w:t xml:space="preserve">issue</w:t>
      </w:r>
      <w:r>
        <w:t xml:space="preserve">,</w:t>
      </w:r>
      <w:r>
        <w:t xml:space="preserve"> </w:t>
      </w:r>
      <w:r>
        <w:rPr>
          <w:iCs/>
          <w:i/>
        </w:rPr>
        <w:t xml:space="preserve">key factor</w:t>
      </w:r>
      <w:r>
        <w:t xml:space="preserve">, dan</w:t>
      </w:r>
      <w:r>
        <w:t xml:space="preserve"> </w:t>
      </w:r>
      <w:r>
        <w:rPr>
          <w:iCs/>
          <w:i/>
        </w:rPr>
        <w:t xml:space="preserve">key action</w:t>
      </w:r>
      <w:r>
        <w:t xml:space="preserve">, merangkum matriks faktor, membandingkan tiga alternatif inovasi, dan merinci usulan terpilih. Bab 5 menjawab PP1 sampai PP4, menyusun rekomendasi bertahap, dan menyatakan keterbatasan studi. Daftar Pustaka mengikuti APA edisi ke-7 dan Lampiran memuat tabel audit artikel jurnal.</w:t>
      </w:r>
    </w:p>
    <w:p>
      <w:r>
        <w:br w:type="page"/>
      </w:r>
    </w:p>
    <w:bookmarkEnd w:id="31"/>
    <w:bookmarkEnd w:id="32"/>
    <w:bookmarkStart w:id="42" w:name="bab-2-landasan-teori"/>
    <w:p>
      <w:pPr>
        <w:pStyle w:val="Heading1"/>
      </w:pPr>
      <w:r>
        <w:t xml:space="preserve">BAB 2 LANDASAN TEORI</w:t>
      </w:r>
    </w:p>
    <w:bookmarkStart w:id="33" w:name="Xf7798634416d50d70b94a9de5ba9e97395d0683"/>
    <w:p>
      <w:pPr>
        <w:pStyle w:val="Heading2"/>
      </w:pPr>
      <w:r>
        <w:t xml:space="preserve">2.1 Lingkungan Umum, Lingkungan Industri, dan Sembilan Faktor</w:t>
      </w:r>
    </w:p>
    <w:p>
      <w:pPr>
        <w:pStyle w:val="FirstParagraph"/>
      </w:pPr>
      <w:r>
        <w:t xml:space="preserve">Buku teks manajemen strategis membedakan dua lapis lingkungan. Lingkungan umum (</w:t>
      </w:r>
      <w:r>
        <w:rPr>
          <w:iCs/>
          <w:i/>
        </w:rPr>
        <w:t xml:space="preserve">general environment</w:t>
      </w:r>
      <w:r>
        <w:t xml:space="preserve">) adalah kondisi masyarakat luas yang memengaruhi semua industri. Lingkungan industri adalah kekuatan yang langsung menentukan untung rugi suatu industri: pemasok, pembeli, pendatang baru, produk pengganti, dan persaingan (Porter, 2008; Hitt et al., 2020). Kebiasaan memindai lingkungan umum berawal dari kerangka ETPS Aguilar (1967), lalu dirapikan oleh Fahey dan Narayanan (1986) menjadi analisis makro yang sistematis. Kerangka PESTEL (Politik, Ekonomi, Sosial, Teknologi, Lingkungan, Legal) adalah versi ringkas yang paling sering dipakai buku teks (Thompson et al., 2022; Grant, 2021). Kerangka sembilan faktor yang dipakai di kelas memperluas PESTEL dengan memisahkan Pemerintah dari Politik, menambah Demografi, dan menambah Global sebagai jalur masuk kejutan dari luar negeri. Pemisahan Pemerintah dari Politik berguna bagi perusahaan energi. Pemerintah bekerja lewat alat administratif sehari-hari seperti kuota, penugasan, dan harga acuan. Politik bekerja lewat koalisi dan preferensi yang berubah lebih lambat. Bagi distributor energi dan pengembang kawasan industri, harga, volume impor, kewajiban pencampuran, dan status fiskal kawasan ditetapkan negara. Karena itu analisis lingkungan umum bagi perusahaan jenis ini adalah inti analisis strategi, bukan sekadar latar belakang.</w:t>
      </w:r>
    </w:p>
    <w:bookmarkEnd w:id="33"/>
    <w:bookmarkStart w:id="34" w:name="X9e933debd9c7f80a592534ce275ac87cd898ff0"/>
    <w:p>
      <w:pPr>
        <w:pStyle w:val="Heading2"/>
      </w:pPr>
      <w:r>
        <w:t xml:space="preserve">2.2 Teori Pemerintah dan Regulasi: Campur Tangan Negara dan Strategi Nonpasar</w:t>
      </w:r>
    </w:p>
    <w:p>
      <w:pPr>
        <w:pStyle w:val="FirstParagraph"/>
      </w:pPr>
      <w:r>
        <w:t xml:space="preserve">Literatur ekonomi energi menunjukkan negara mencampuri sektor energi lewat empat alat utama: kuota dan izin impor, kewajiban produk (misalnya pencampuran biofuel), subsidi dan kompensasi harga, serta insentif lokasi seperti KEK. Coady et al. (2017,</w:t>
      </w:r>
      <w:r>
        <w:t xml:space="preserve"> </w:t>
      </w:r>
      <w:r>
        <w:rPr>
          <w:iCs/>
          <w:i/>
        </w:rPr>
        <w:t xml:space="preserve">World Development</w:t>
      </w:r>
      <w:r>
        <w:t xml:space="preserve">, SJR Q1) menghitung subsidi energi fosil dunia mencapai USD 4,9 triliun pada 2013 jika biaya kerusakan lingkungan dihitung, dan menunjukkan subsidi harga menciptakan ketergantungan fiskal yang sulit dilepas. Rentschler dan Bazilian (2017,</w:t>
      </w:r>
      <w:r>
        <w:t xml:space="preserve"> </w:t>
      </w:r>
      <w:r>
        <w:rPr>
          <w:iCs/>
          <w:i/>
        </w:rPr>
        <w:t xml:space="preserve">Climate Policy</w:t>
      </w:r>
      <w:r>
        <w:t xml:space="preserve">, SJR Q1) menyimpulkan reformasi subsidi biasanya gagal bukan karena hitungan ekonominya, tetapi karena politiknya: penolakan konsumen, kepentingan BUMN, dan ketidakpercayaan pada janji kompensasi. Henisz (2000,</w:t>
      </w:r>
      <w:r>
        <w:t xml:space="preserve"> </w:t>
      </w:r>
      <w:r>
        <w:rPr>
          <w:iCs/>
          <w:i/>
        </w:rPr>
        <w:t xml:space="preserve">Economics &amp; Politics</w:t>
      </w:r>
      <w:r>
        <w:t xml:space="preserve">, SJR: VERIFIKASI) membangun indeks</w:t>
      </w:r>
      <w:r>
        <w:t xml:space="preserve"> </w:t>
      </w:r>
      <w:r>
        <w:rPr>
          <w:iCs/>
          <w:i/>
        </w:rPr>
        <w:t xml:space="preserve">political constraints</w:t>
      </w:r>
      <w:r>
        <w:t xml:space="preserve"> </w:t>
      </w:r>
      <w:r>
        <w:t xml:space="preserve">dan menunjukkan bahwa investasi jangka panjang bergantung pada seberapa kredibel pemerintah memegang komitmen kebijakannya. Makin sedikit rem institusional, makin mudah aturan diubah sepihak. Untuk KEK, Frick et al. (2019,</w:t>
      </w:r>
      <w:r>
        <w:t xml:space="preserve"> </w:t>
      </w:r>
      <w:r>
        <w:rPr>
          <w:iCs/>
          <w:i/>
        </w:rPr>
        <w:t xml:space="preserve">Economic Geography</w:t>
      </w:r>
      <w:r>
        <w:t xml:space="preserve">, SJR Q1) menemukan bahwa zona ekonomi khusus di negara berkembang tumbuh karena akses pasar, ukuran negara, dan kedekatan dengan kota besar, bukan karena insentif pajak semata.</w:t>
      </w:r>
    </w:p>
    <w:p>
      <w:pPr>
        <w:pStyle w:val="BodyText"/>
      </w:pPr>
      <w:r>
        <w:t xml:space="preserve">Dari sisi strategi perusahaan, Baron (1995,</w:t>
      </w:r>
      <w:r>
        <w:t xml:space="preserve"> </w:t>
      </w:r>
      <w:r>
        <w:rPr>
          <w:iCs/>
          <w:i/>
        </w:rPr>
        <w:t xml:space="preserve">California Management Review</w:t>
      </w:r>
      <w:r>
        <w:t xml:space="preserve">, SJR Q1) memperkenalkan strategi terintegrasi: strategi pasar harus dipadukan dengan strategi nonpasar, yaitu upaya membentuk lingkungan kebijakan lewat informasi, lobi, koalisi, dan reputasi. Hillman et al. (2004,</w:t>
      </w:r>
      <w:r>
        <w:t xml:space="preserve"> </w:t>
      </w:r>
      <w:r>
        <w:rPr>
          <w:iCs/>
          <w:i/>
        </w:rPr>
        <w:t xml:space="preserve">Journal of Management</w:t>
      </w:r>
      <w:r>
        <w:t xml:space="preserve">, SJR Q1) merangkum bukti bahwa aktivitas politik perusahaan efektif kalau perusahaan punya informasi yang dibutuhkan regulator dan membangun hubungan jangka panjang, bukan hubungan sesaat. Apa artinya bagi distributor energi dan pengembang KEK? Perusahaan tidak bisa memperlakukan kebijakan sebagai sesuatu yang jatuh dari langit. Kemampuan menyediakan data kebutuhan pasokan, menjalankan penugasan negara dengan andal, dan menjadi mitra pelaksana program nasional adalah aset strategis yang sama pentingnya dengan terminal dan kapal.</w:t>
      </w:r>
    </w:p>
    <w:bookmarkEnd w:id="34"/>
    <w:bookmarkStart w:id="35" w:name="X054b04fd48d02f3cdaf838e22ea5c367dad4495"/>
    <w:p>
      <w:pPr>
        <w:pStyle w:val="Heading2"/>
      </w:pPr>
      <w:r>
        <w:t xml:space="preserve">2.3 Teori Ekonomi: Siklus Komoditas, Pass-Through, Kurs, dan Hedging</w:t>
      </w:r>
    </w:p>
    <w:p>
      <w:pPr>
        <w:pStyle w:val="FirstParagraph"/>
      </w:pPr>
      <w:r>
        <w:t xml:space="preserve">Kilian (2009,</w:t>
      </w:r>
      <w:r>
        <w:t xml:space="preserve"> </w:t>
      </w:r>
      <w:r>
        <w:rPr>
          <w:iCs/>
          <w:i/>
        </w:rPr>
        <w:t xml:space="preserve">American Economic Review</w:t>
      </w:r>
      <w:r>
        <w:t xml:space="preserve">, SJR Q1) menunjukkan guncangan harga minyak tidak semuanya sama. Guncangan dari sisi pasokan, dari permintaan dunia, dan dari permintaan spekulatif punya dampak ekonomi yang berbeda. Hamilton (2009,</w:t>
      </w:r>
      <w:r>
        <w:t xml:space="preserve"> </w:t>
      </w:r>
      <w:r>
        <w:rPr>
          <w:iCs/>
          <w:i/>
        </w:rPr>
        <w:t xml:space="preserve">Brookings Papers on Economic Activity</w:t>
      </w:r>
      <w:r>
        <w:t xml:space="preserve">, SJR: VERIFIKASI) menunjukkan guncangan harga minyak 2007–2008 memukul konsumsi rumah tangga dan ikut memicu resesi. Di tingkat harga eceran, Borenstein et al. (1997,</w:t>
      </w:r>
      <w:r>
        <w:t xml:space="preserve"> </w:t>
      </w:r>
      <w:r>
        <w:rPr>
          <w:iCs/>
          <w:i/>
        </w:rPr>
        <w:t xml:space="preserve">Quarterly Journal of Economics</w:t>
      </w:r>
      <w:r>
        <w:t xml:space="preserve">, SJR Q1) membuktikan pola</w:t>
      </w:r>
      <w:r>
        <w:t xml:space="preserve"> </w:t>
      </w:r>
      <w:r>
        <w:rPr>
          <w:iCs/>
          <w:i/>
        </w:rPr>
        <w:t xml:space="preserve">rockets and feathers</w:t>
      </w:r>
      <w:r>
        <w:t xml:space="preserve">: harga BBM eceran naik cepat saat harga minyak naik, tetapi turun pelan saat harga minyak turun, karena kekuatan pasar dan malasnya konsumen membandingkan harga. Basher et al. (2012,</w:t>
      </w:r>
      <w:r>
        <w:t xml:space="preserve"> </w:t>
      </w:r>
      <w:r>
        <w:rPr>
          <w:iCs/>
          <w:i/>
        </w:rPr>
        <w:t xml:space="preserve">Energy Economics</w:t>
      </w:r>
      <w:r>
        <w:t xml:space="preserve">, SJR Q1) menemukan kenaikan harga minyak melemahkan kurs negara berkembang pengimpor minyak dan menekan pasar sahamnya. Soal</w:t>
      </w:r>
      <w:r>
        <w:t xml:space="preserve"> </w:t>
      </w:r>
      <w:r>
        <w:rPr>
          <w:iCs/>
          <w:i/>
        </w:rPr>
        <w:t xml:space="preserve">hedging</w:t>
      </w:r>
      <w:r>
        <w:t xml:space="preserve">, Froot et al. (1993,</w:t>
      </w:r>
      <w:r>
        <w:t xml:space="preserve"> </w:t>
      </w:r>
      <w:r>
        <w:rPr>
          <w:iCs/>
          <w:i/>
        </w:rPr>
        <w:t xml:space="preserve">Journal of Finance</w:t>
      </w:r>
      <w:r>
        <w:t xml:space="preserve">, SJR Q1) menjelaskan lindung nilai bernilai bagi perusahaan karena menjaga arus kas internal tetap stabil, sehingga rencana investasi tidak terganggu saat pendanaan dari luar sedang mahal.</w:t>
      </w:r>
    </w:p>
    <w:p>
      <w:pPr>
        <w:pStyle w:val="BodyText"/>
      </w:pPr>
      <w:r>
        <w:t xml:space="preserve">Bagi distributor energi, inti pelajarannya ada di mekanisme</w:t>
      </w:r>
      <w:r>
        <w:t xml:space="preserve"> </w:t>
      </w:r>
      <w:r>
        <w:rPr>
          <w:iCs/>
          <w:i/>
        </w:rPr>
        <w:t xml:space="preserve">pass-through</w:t>
      </w:r>
      <w:r>
        <w:t xml:space="preserve">, yaitu seberapa jauh kenaikan harga beli bisa diteruskan ke pembeli. Kalau harga beli bisa diteruskan lewat formula (misalnya harga acuan</w:t>
      </w:r>
      <w:r>
        <w:t xml:space="preserve"> </w:t>
      </w:r>
      <w:r>
        <w:rPr>
          <w:iCs/>
          <w:i/>
        </w:rPr>
        <w:t xml:space="preserve">Mean of Platts Singapore</w:t>
      </w:r>
      <w:r>
        <w:t xml:space="preserve"> </w:t>
      </w:r>
      <w:r>
        <w:t xml:space="preserve">ditambah biaya), risiko harga berubah menjadi risiko volume dan modal kerja. Kalau harga jual diatur negara, risiko harga pindah ke kompensasi dari APBN yang pembayarannya sering terlambat. Bagi pengembang kawasan industri, siklus komoditas menentukan kapan tenant smelter dan pabrik kimia berani berinvestasi, sehingga penjualan lahan ikut naik turun mengikuti siklus.</w:t>
      </w:r>
    </w:p>
    <w:bookmarkEnd w:id="35"/>
    <w:bookmarkStart w:id="36" w:name="X1ae79b9e742af1c95f22e75d59772e7f375890f"/>
    <w:p>
      <w:pPr>
        <w:pStyle w:val="Heading2"/>
      </w:pPr>
      <w:r>
        <w:t xml:space="preserve">2.4 Teori Teknologi dan Lingkungan: Disrupsi, Kurva S, Transisi Multi-Level, dan Stranded Assets</w:t>
      </w:r>
    </w:p>
    <w:p>
      <w:pPr>
        <w:pStyle w:val="FirstParagraph"/>
      </w:pPr>
      <w:r>
        <w:t xml:space="preserve">Bower dan Christensen (1995) membedakan teknologi berkelanjutan dari teknologi disruptif. Teknologi disruptif awalnya kalah pada ukuran yang dihargai pelanggan utama, tetapi unggul pada ukuran lain dan membaik dengan cepat. Perusahaan lama gagal bukan karena tidak mampu, tetapi karena cara mereka mengalokasikan sumber daya mengabaikan pasar yang masih kecil. Christensen et al. (2015) menambahkan bahwa disrupsi adalah proses, bukan kejadian tunggal, dan banyak inovasi yang disebut disruptif sebenarnya hanya perbaikan biasa. Geroski (2000,</w:t>
      </w:r>
      <w:r>
        <w:t xml:space="preserve"> </w:t>
      </w:r>
      <w:r>
        <w:rPr>
          <w:iCs/>
          <w:i/>
        </w:rPr>
        <w:t xml:space="preserve">Research Policy</w:t>
      </w:r>
      <w:r>
        <w:t xml:space="preserve">, SJR Q1) merangkum model difusi teknologi: adopsi mengikuti kurva S, lambat di awal, cepat di tengah, lalu jenuh. Kecepatannya ditentukan oleh informasi, perbedaan antar pengadopsi, dan ketersediaan jaringan pelengkap. Geels (2002,</w:t>
      </w:r>
      <w:r>
        <w:t xml:space="preserve"> </w:t>
      </w:r>
      <w:r>
        <w:rPr>
          <w:iCs/>
          <w:i/>
        </w:rPr>
        <w:t xml:space="preserve">Research Policy</w:t>
      </w:r>
      <w:r>
        <w:t xml:space="preserve">, SJR Q1) merumuskan perspektif multi-level (MLP). Transisi sosioteknis terjadi ketika inovasi di ceruk kecil (</w:t>
      </w:r>
      <w:r>
        <w:rPr>
          <w:iCs/>
          <w:i/>
        </w:rPr>
        <w:t xml:space="preserve">niche</w:t>
      </w:r>
      <w:r>
        <w:t xml:space="preserve">) bertemu tekanan besar dari luar (</w:t>
      </w:r>
      <w:r>
        <w:rPr>
          <w:iCs/>
          <w:i/>
        </w:rPr>
        <w:t xml:space="preserve">landscape</w:t>
      </w:r>
      <w:r>
        <w:t xml:space="preserve">, misalnya iklim dan geopolitik) yang menggoyang sistem mapan (</w:t>
      </w:r>
      <w:r>
        <w:rPr>
          <w:iCs/>
          <w:i/>
        </w:rPr>
        <w:t xml:space="preserve">regime</w:t>
      </w:r>
      <w:r>
        <w:t xml:space="preserve">). Unruh (2000,</w:t>
      </w:r>
      <w:r>
        <w:t xml:space="preserve"> </w:t>
      </w:r>
      <w:r>
        <w:rPr>
          <w:iCs/>
          <w:i/>
        </w:rPr>
        <w:t xml:space="preserve">Energy Policy</w:t>
      </w:r>
      <w:r>
        <w:t xml:space="preserve">, SJR Q1) menjelaskan</w:t>
      </w:r>
      <w:r>
        <w:t xml:space="preserve"> </w:t>
      </w:r>
      <w:r>
        <w:rPr>
          <w:iCs/>
          <w:i/>
        </w:rPr>
        <w:t xml:space="preserve">carbon lock-in</w:t>
      </w:r>
      <w:r>
        <w:t xml:space="preserve">: infrastruktur fosil bertahan lama karena skala ekonomi, jaringan, dan institusi saling mengunci.</w:t>
      </w:r>
    </w:p>
    <w:p>
      <w:pPr>
        <w:pStyle w:val="BodyText"/>
      </w:pPr>
      <w:r>
        <w:t xml:space="preserve">Mercure et al. (2018,</w:t>
      </w:r>
      <w:r>
        <w:t xml:space="preserve"> </w:t>
      </w:r>
      <w:r>
        <w:rPr>
          <w:iCs/>
          <w:i/>
        </w:rPr>
        <w:t xml:space="preserve">Nature Climate Change</w:t>
      </w:r>
      <w:r>
        <w:t xml:space="preserve">, SJR Q1) memodelkan bahwa transisi energi bisa menghapus nilai aset fosil USD 1–4 triliun bahkan tanpa kebijakan iklim baru, karena teknologi rendah karbon sudah telanjur menyebar. Aset yang kehilangan nilai sebelum habis umur ekonomisnya disebut</w:t>
      </w:r>
      <w:r>
        <w:t xml:space="preserve"> </w:t>
      </w:r>
      <w:r>
        <w:rPr>
          <w:iCs/>
          <w:i/>
        </w:rPr>
        <w:t xml:space="preserve">stranded assets</w:t>
      </w:r>
      <w:r>
        <w:t xml:space="preserve">. Untuk kendaraan listrik (EV), Li et al. (2017,</w:t>
      </w:r>
      <w:r>
        <w:t xml:space="preserve"> </w:t>
      </w:r>
      <w:r>
        <w:rPr>
          <w:iCs/>
          <w:i/>
        </w:rPr>
        <w:t xml:space="preserve">Journal of the Association of Environmental and Resource Economists</w:t>
      </w:r>
      <w:r>
        <w:t xml:space="preserve">, SJR Q1) membuktikan ada efek jaringan tidak langsung antara jumlah EV dan jumlah stasiun pengisian. Sierzchula et al. (2014,</w:t>
      </w:r>
      <w:r>
        <w:t xml:space="preserve"> </w:t>
      </w:r>
      <w:r>
        <w:rPr>
          <w:iCs/>
          <w:i/>
        </w:rPr>
        <w:t xml:space="preserve">Energy Policy</w:t>
      </w:r>
      <w:r>
        <w:t xml:space="preserve">, SJR Q1) menemukan insentif fiskal dan kerapatan stasiun pengisian adalah penentu kuat pangsa EV antarnegara. Soal tekanan lingkungan pada perdagangan, Dechezleprêtre dan Sato (2017,</w:t>
      </w:r>
      <w:r>
        <w:t xml:space="preserve"> </w:t>
      </w:r>
      <w:r>
        <w:rPr>
          <w:iCs/>
          <w:i/>
        </w:rPr>
        <w:t xml:space="preserve">Review of Environmental Economics and Policy</w:t>
      </w:r>
      <w:r>
        <w:t xml:space="preserve">, SJR Q1) menunjukkan regulasi lingkungan menggeser pola perdagangan dan investasi, sehingga beda standar karbon antarnegara ikut menentukan daya saing ekspor.</w:t>
      </w:r>
    </w:p>
    <w:p>
      <w:pPr>
        <w:pStyle w:val="BodyText"/>
      </w:pPr>
      <w:r>
        <w:t xml:space="preserve">Bagi distributor BBM, pelajarannya begini. Distributor BBM adalah bagian dari sistem fosil yang mapan. Sistem itu tidak runtuh dalam semalam, tetapi tergerus dari segmen ritel perkotaan yang paling cepat beralih ke listrik, sementara segmen industri, pertambangan, dan kapal bertahan lebih lama. Pengembang kawasan industri justru berada di posisi sebaliknya. Ia bisa menjadi ceruk penyedia energi rendah karbon bagi tenant yang ditekan pembeli global. Gabungan dua posisi ini yang mendasari usulan inovasi di Bab 4.</w:t>
      </w:r>
    </w:p>
    <w:bookmarkEnd w:id="36"/>
    <w:bookmarkStart w:id="37" w:name="X9c66b815741424124eaaec70f8982742c805150"/>
    <w:p>
      <w:pPr>
        <w:pStyle w:val="Heading2"/>
      </w:pPr>
      <w:r>
        <w:t xml:space="preserve">2.5 Faktor Mana yang Paling Penting bagi Perusahaan Distribusi Energi Indonesia</w:t>
      </w:r>
    </w:p>
    <w:p>
      <w:pPr>
        <w:pStyle w:val="FirstParagraph"/>
      </w:pPr>
      <w:r>
        <w:t xml:space="preserve">Penulis memakai tiga ukuran untuk menentukan faktor terpenting: magnitudo (seberapa besar pengaruhnya pada pendapatan dan margin), imediasi (seberapa cepat pengaruhnya terasa), dan kontrolabilitas (seberapa jauh perusahaan bisa memengaruhinya). Faktor Ekonomi paling cepat terasa, tetapi dampaknya pada margin bisa diredam dengan kontrak formula dan lindung nilai. Faktor Teknologi dan Lingkungan dampaknya besar dalam jangka panjang, tetapi lambat terasa pada segmen industri yang menjadi sumber laba utama. Faktor Pemerintah dan Regulasi punya magnitudo tertinggi karena ia menentukan apakah volume boleh dijual sama sekali (kuota dan penugasan), berapa harga jualnya (harga bersubsidi dan kompensasi), produk apa yang wajib dijual (B40 lalu B50), dan berapa pajak yang dibayar tenant kawasan (fasilitas KEK). Pengaruhnya cepat terasa karena keputusan administratif berlaku dalam hitungan minggu. Dan ia paling sulit dikendalikan, meskipun strategi nonpasar bisa sedikit memperbaiki posisi perusahaan.</w:t>
      </w:r>
    </w:p>
    <w:p>
      <w:pPr>
        <w:pStyle w:val="BodyText"/>
      </w:pPr>
      <w:r>
        <w:t xml:space="preserve">Posisi laporan ini tegas: faktor Pemerintah dan Regulasi adalah faktor paling penting bagi perusahaan distribusi energi di Indonesia. Alasannya struktural, bukan kebetulan situasi tahun ini. Pertama, Indonesia memperlakukan BBM sebagai barang strategis. Harga ecerannya ditetapkan negara dan distribusinya dikuasai BUMN, jadi pasar BBM adalah pasar yang diatur, bukan pasar bebas. Kedua, alat negara langsung mengenai volume dan harga. Faktor ekonomi hanya mengenai biaya input yang masih bisa diteruskan, dan faktor teknologi mengenai permintaan dalam horizon puluhan tahun. Ketiga, faktor pemerintah juga menjadi perantara dua faktor lainnya. Cepat lambatnya transisi energi di Indonesia ditentukan oleh mandatori biofuel, insentif EV, dan aturan ketenagalistrikan. Sampai tidaknya guncangan harga minyak ke konsumen ditentukan oleh keputusan harga eceran dan kompensasi fiskal. Akibatnya, kemampuan membaca, mengantisipasi, dan ikut membentuk kebijakan adalah kompetensi inti yang wajib dimiliki. Diversifikasi ke pendapatan yang tidak bergantung pada kuota, seperti utilitas kawasan dan logistik pihak ketiga, adalah pelindung strategis terhadap faktor ini.</w:t>
      </w:r>
    </w:p>
    <w:bookmarkEnd w:id="37"/>
    <w:bookmarkStart w:id="41" w:name="Xde45a61c269809795027e946d3b4509f08c242f"/>
    <w:p>
      <w:pPr>
        <w:pStyle w:val="Heading2"/>
      </w:pPr>
      <w:r>
        <w:t xml:space="preserve">2.6 Kerangka Analisis dan Kriteria Pemilihan Inovasi</w:t>
      </w:r>
    </w:p>
    <w:p>
      <w:pPr>
        <w:pStyle w:val="FirstParagraph"/>
      </w:pPr>
      <w:r>
        <w:t xml:space="preserve">Analisis di Bab 4 mengikuti alur empat tahap pada Gambar 2.1.</w:t>
      </w:r>
      <w:r>
        <w:t xml:space="preserve"> </w:t>
      </w:r>
      <w:r>
        <w:rPr>
          <w:iCs/>
          <w:i/>
        </w:rPr>
        <w:t xml:space="preserve">Issue</w:t>
      </w:r>
      <w:r>
        <w:t xml:space="preserve"> </w:t>
      </w:r>
      <w:r>
        <w:t xml:space="preserve">adalah gejala yang terlihat pada 2024–2026 dengan bukti bersitasi.</w:t>
      </w:r>
      <w:r>
        <w:t xml:space="preserve"> </w:t>
      </w:r>
      <w:r>
        <w:rPr>
          <w:iCs/>
          <w:i/>
        </w:rPr>
        <w:t xml:space="preserve">Key factor</w:t>
      </w:r>
      <w:r>
        <w:t xml:space="preserve"> </w:t>
      </w:r>
      <w:r>
        <w:t xml:space="preserve">penyebab adalah kekuatan di luar kendali perusahaan yang menjelaskan kenapa gejala itu muncul. Penyebab harus dibedakan dari gejala, dan hubungan sebab-akibatnya didukung literatur.</w:t>
      </w:r>
      <w:r>
        <w:t xml:space="preserve"> </w:t>
      </w:r>
      <w:r>
        <w:rPr>
          <w:iCs/>
          <w:i/>
        </w:rPr>
        <w:t xml:space="preserve">Key action</w:t>
      </w:r>
      <w:r>
        <w:t xml:space="preserve"> </w:t>
      </w:r>
      <w:r>
        <w:t xml:space="preserve">adalah tindakan nyata perusahaan dengan pemilik, waktu, dan ukuran. Usulan inovatif adalah jawaban yang mengubah model bisnis, bukan sekadar memperbaiki operasi.</w:t>
      </w:r>
    </w:p>
    <w:p>
      <w:pPr>
        <w:pStyle w:val="CaptionedFigure"/>
      </w:pPr>
      <w:r>
        <w:drawing>
          <wp:inline>
            <wp:extent cx="5334000" cy="2182090"/>
            <wp:effectExtent b="0" l="0" r="0" t="0"/>
            <wp:docPr descr="Gambar 2.1 Kerangka analisis: issue, key factor penyebab, key action, usulan inovatif. Sumber: diadaptasi penulis dari kerangka kelas GBE dan Teece (2010)." title="" id="39" name="Picture"/>
            <a:graphic>
              <a:graphicData uri="http://schemas.openxmlformats.org/drawingml/2006/picture">
                <pic:pic>
                  <pic:nvPicPr>
                    <pic:cNvPr descr="fig_2_1_kerangka.png" id="40" name="Picture"/>
                    <pic:cNvPicPr>
                      <a:picLocks noChangeArrowheads="1" noChangeAspect="1"/>
                    </pic:cNvPicPr>
                  </pic:nvPicPr>
                  <pic:blipFill>
                    <a:blip r:embed="rId38"/>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Gambar 2.1 Kerangka analisis: issue, key factor penyebab, key action, usulan inovatif. Sumber: diadaptasi penulis dari kerangka kelas GBE dan Teece (2010).</w:t>
      </w:r>
    </w:p>
    <w:p>
      <w:pPr>
        <w:pStyle w:val="BodyText"/>
      </w:pPr>
      <w:r>
        <w:t xml:space="preserve">Kriteria memilih inovasi diambil dari literatur inovasi model bisnis. Teece (2010,</w:t>
      </w:r>
      <w:r>
        <w:t xml:space="preserve"> </w:t>
      </w:r>
      <w:r>
        <w:rPr>
          <w:iCs/>
          <w:i/>
        </w:rPr>
        <w:t xml:space="preserve">Long Range Planning</w:t>
      </w:r>
      <w:r>
        <w:t xml:space="preserve">, SJR Q1) menyatakan model bisnis menjelaskan bagaimana perusahaan menciptakan nilai bagi pelanggan dan mengambil sebagian nilai itu untuk dirinya. Karena itu inovasi model bisnis harus dinilai dari proposisi nilainya, cara menangkap nilainya, dan sulit tidaknya ditiru. Zott dan Amit (2010,</w:t>
      </w:r>
      <w:r>
        <w:t xml:space="preserve"> </w:t>
      </w:r>
      <w:r>
        <w:rPr>
          <w:iCs/>
          <w:i/>
        </w:rPr>
        <w:t xml:space="preserve">Long Range Planning</w:t>
      </w:r>
      <w:r>
        <w:t xml:space="preserve">, SJR Q1) memandang model bisnis sebagai sistem aktivitas yang saling terkait. Kebaruan bisa muncul dari isi aktivitas yang baru, cara menghubungkannya yang baru, atau tata kelola yang baru. Dari dua sumber ini dan konteks Bab 4, laporan ini menetapkan enam kriteria berbobot: kesesuaian dengan tiga faktor prioritas (25%), kelayakan finansial berdasarkan kapasitas neraca (20%), kecepatan implementasi (15%), risiko regulasi (15%), dampak keberlanjutan (10%), dan keunikan dibanding pesaing serta rencana resmi perusahaan (15%). Bobot terbesar pada kesesuaian faktor karena tugas laporan ini memang menjawab lingkungan eksternal. Bobot keunikan dipisah supaya usulan yang cuma mengulang rencana resmi perusahaan tidak lolos sebagai inovasi.</w:t>
      </w:r>
    </w:p>
    <w:p>
      <w:r>
        <w:br w:type="page"/>
      </w:r>
    </w:p>
    <w:bookmarkEnd w:id="41"/>
    <w:bookmarkEnd w:id="42"/>
    <w:bookmarkStart w:id="51" w:name="bab-3-profil-industri-dan-entitas"/>
    <w:p>
      <w:pPr>
        <w:pStyle w:val="Heading1"/>
      </w:pPr>
      <w:r>
        <w:t xml:space="preserve">BAB 3 PROFIL INDUSTRI DAN ENTITAS</w:t>
      </w:r>
    </w:p>
    <w:bookmarkStart w:id="43" w:name="Xd97313ed1e6672fc5bd8bfa44657a486b8c9e80"/>
    <w:p>
      <w:pPr>
        <w:pStyle w:val="Heading2"/>
      </w:pPr>
      <w:r>
        <w:t xml:space="preserve">3.1 Industri Distribusi BBM dan Kimia Dasar di Indonesia</w:t>
      </w:r>
    </w:p>
    <w:p>
      <w:pPr>
        <w:pStyle w:val="FirstParagraph"/>
      </w:pPr>
      <w:r>
        <w:t xml:space="preserve">Industri hilir migas Indonesia diatur oleh dua lembaga. Kementerian ESDM mengurus kebijakan, kuota impor, harga acuan, dan mandatori biofuel. Badan Pengatur Hilir Minyak dan Gas Bumi (BPH Migas) menetapkan kuota dan penugasan penyaluran BBM bersubsidi dan BBM penugasan. Pasarnya terbagi dua. BBM bersubsidi dan penugasan (Solar bersubsidi, Pertalite) harganya ditetapkan pemerintah, dan selisihnya dibayar lewat subsidi dan kompensasi. BBM nonsubsidi (RON 92 ke atas, Dexlite, Dex) harganya ditetapkan badan usaha dengan mengacu pada formula Kepmen ESDM. Realisasi subsidi dan kompensasi energi mencapai Rp376,8 triliun sampai 30 September 2026, naik 54,1% dari periode yang sama 2025, dengan volume BBM bersubsidi 13,41 juta kiloliter (ANTARA, 9 Oktober 2026; Kontan, 10 Oktober 2026). Pertamina lewat PT Pertamina Patra Niaga menguasai ritel dengan lebih dari 6.400 SPBU [VERIFIKASI: jumlah SPBU Pertamina 2026, CNBC Indonesia 10 Juli 2026]. Pemain swasta, yaitu Shell, bp AKR, Vivo, dan ExxonMobil, bergantung pada kuota impor yang ditetapkan per periode. Pada 2025 kuota itu habis pada pertengahan Agustus untuk Shell dan bp AKR, dan Oktober untuk Vivo. Kuota 2026 dinaikkan sekitar 10% dan persetujuannya dikembalikan ke skema enam bulanan (Katadata, 5 Januari 2026; Bloomberg Technoz, 26 Januari 2026). Mandatori biodiesel naik dari B40 (sejak 1 Januari 2025) ke B50 lewat Kepmen ESDM Nomor 257.K/EK.01/MEM.E/2026 yang berlaku 1 Juli 2026, dengan masa transisi sampai peredaran nasional 1 Oktober 2026 (CNBC Indonesia, 1 Juli 2026; CNBC Indonesia, 10 Juli 2026). Program B40 pada 2025 menyerap sekitar 15,6 juta kiloliter biodiesel (AKR Corporindo, 2026a, hlm. 140).</w:t>
      </w:r>
    </w:p>
    <w:p>
      <w:pPr>
        <w:pStyle w:val="BodyText"/>
      </w:pPr>
      <w:r>
        <w:t xml:space="preserve">Segmen BBM industri nonsubsidi (solar industri, IDO, MFO) lebih terbuka. Pemegang izin niaga umum boleh mengimpor dan menjual langsung ke tambang, pembangkit, pabrik, dan kapal dengan harga formula. Pelanggan terbesarnya adalah tambang dan smelter. Per 2025 Indonesia punya 54 smelter nikel yang beroperasi, 38 dalam konstruksi, dan 45 masih direncanakan (AKR Corporindo, 2026a, hlm. 140). Industri kimia dasar sepenuhnya bisnis antarperusahaan. Distributor bersaing pada keandalan pasokan, kapasitas tangki, dan jangkauan pelabuhan. Tabel 3.1 merangkum pemain utama.</w:t>
      </w:r>
    </w:p>
    <w:p>
      <w:pPr>
        <w:pStyle w:val="BodyText"/>
      </w:pPr>
      <w:r>
        <w:rPr>
          <w:bCs/>
          <w:b/>
        </w:rPr>
        <w:t xml:space="preserve">Tabel 3.1 Pemain utama distribusi BBM ritel dan industri di Indonesia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Pemain</w:t>
            </w:r>
          </w:p>
        </w:tc>
        <w:tc>
          <w:tcPr/>
          <w:p>
            <w:pPr>
              <w:pStyle w:val="Compact"/>
              <w:jc w:val="left"/>
            </w:pPr>
            <w:r>
              <w:t xml:space="preserve">Status</w:t>
            </w:r>
          </w:p>
        </w:tc>
        <w:tc>
          <w:tcPr/>
          <w:p>
            <w:pPr>
              <w:pStyle w:val="Compact"/>
              <w:jc w:val="left"/>
            </w:pPr>
            <w:r>
              <w:t xml:space="preserve">Segmen utama</w:t>
            </w:r>
          </w:p>
        </w:tc>
        <w:tc>
          <w:tcPr/>
          <w:p>
            <w:pPr>
              <w:pStyle w:val="Compact"/>
              <w:jc w:val="left"/>
            </w:pPr>
            <w:r>
              <w:t xml:space="preserve">Sumber pasokan</w:t>
            </w:r>
          </w:p>
        </w:tc>
        <w:tc>
          <w:tcPr/>
          <w:p>
            <w:pPr>
              <w:pStyle w:val="Compact"/>
              <w:jc w:val="left"/>
            </w:pPr>
            <w:r>
              <w:t xml:space="preserve">Catatan 2025–2026</w:t>
            </w:r>
          </w:p>
        </w:tc>
      </w:tr>
      <w:tr>
        <w:tc>
          <w:tcPr/>
          <w:p>
            <w:pPr>
              <w:pStyle w:val="Compact"/>
              <w:jc w:val="left"/>
            </w:pPr>
            <w:r>
              <w:t xml:space="preserve">PT Pertamina Patra Niaga</w:t>
            </w:r>
          </w:p>
        </w:tc>
        <w:tc>
          <w:tcPr/>
          <w:p>
            <w:pPr>
              <w:pStyle w:val="Compact"/>
              <w:jc w:val="left"/>
            </w:pPr>
            <w:r>
              <w:t xml:space="preserve">BUMN</w:t>
            </w:r>
          </w:p>
        </w:tc>
        <w:tc>
          <w:tcPr/>
          <w:p>
            <w:pPr>
              <w:pStyle w:val="Compact"/>
              <w:jc w:val="left"/>
            </w:pPr>
            <w:r>
              <w:t xml:space="preserve">Ritel bersubsidi dan nonsubsidi, industri, avtur</w:t>
            </w:r>
          </w:p>
        </w:tc>
        <w:tc>
          <w:tcPr/>
          <w:p>
            <w:pPr>
              <w:pStyle w:val="Compact"/>
              <w:jc w:val="left"/>
            </w:pPr>
            <w:r>
              <w:t xml:space="preserve">Kilang Pertamina dan impor</w:t>
            </w:r>
          </w:p>
        </w:tc>
        <w:tc>
          <w:tcPr/>
          <w:p>
            <w:pPr>
              <w:pStyle w:val="Compact"/>
              <w:jc w:val="left"/>
            </w:pPr>
            <w:r>
              <w:t xml:space="preserve">Lebih dari 6.400 SPBU [VERIFIKASI]; menjual</w:t>
            </w:r>
            <w:r>
              <w:t xml:space="preserve"> </w:t>
            </w:r>
            <w:r>
              <w:rPr>
                <w:iCs/>
                <w:i/>
              </w:rPr>
              <w:t xml:space="preserve">base fuel</w:t>
            </w:r>
            <w:r>
              <w:t xml:space="preserve"> </w:t>
            </w:r>
            <w:r>
              <w:t xml:space="preserve">ke swasta sejak akhir 2025</w:t>
            </w:r>
          </w:p>
        </w:tc>
      </w:tr>
      <w:tr>
        <w:tc>
          <w:tcPr/>
          <w:p>
            <w:pPr>
              <w:pStyle w:val="Compact"/>
              <w:jc w:val="left"/>
            </w:pPr>
            <w:r>
              <w:t xml:space="preserve">bp AKR (PT Aneka Petroindo Raya, AKR 50,1%)</w:t>
            </w:r>
          </w:p>
        </w:tc>
        <w:tc>
          <w:tcPr/>
          <w:p>
            <w:pPr>
              <w:pStyle w:val="Compact"/>
              <w:jc w:val="left"/>
            </w:pPr>
            <w:r>
              <w:t xml:space="preserve">Swasta, JV bp dan AKR</w:t>
            </w:r>
          </w:p>
        </w:tc>
        <w:tc>
          <w:tcPr/>
          <w:p>
            <w:pPr>
              <w:pStyle w:val="Compact"/>
              <w:jc w:val="left"/>
            </w:pPr>
            <w:r>
              <w:t xml:space="preserve">Ritel nonsubsidi RON 92/95, diesel</w:t>
            </w:r>
          </w:p>
        </w:tc>
        <w:tc>
          <w:tcPr/>
          <w:p>
            <w:pPr>
              <w:pStyle w:val="Compact"/>
              <w:jc w:val="left"/>
            </w:pPr>
            <w:r>
              <w:t xml:space="preserve">Impor dengan kuota ESDM; pembelian 100.000 barel</w:t>
            </w:r>
            <w:r>
              <w:t xml:space="preserve"> </w:t>
            </w:r>
            <w:r>
              <w:rPr>
                <w:iCs/>
                <w:i/>
              </w:rPr>
              <w:t xml:space="preserve">base fuel</w:t>
            </w:r>
            <w:r>
              <w:t xml:space="preserve"> </w:t>
            </w:r>
            <w:r>
              <w:t xml:space="preserve">dari Pertamina (Oktober sampai November 2025)</w:t>
            </w:r>
          </w:p>
        </w:tc>
        <w:tc>
          <w:tcPr/>
          <w:p>
            <w:pPr>
              <w:pStyle w:val="Compact"/>
              <w:jc w:val="left"/>
            </w:pPr>
            <w:r>
              <w:t xml:space="preserve">72 SPBU akhir 2025 (AKR Corporindo, 2026a, hlm. 69); kuota habis Agustus 2025</w:t>
            </w:r>
          </w:p>
        </w:tc>
      </w:tr>
      <w:tr>
        <w:tc>
          <w:tcPr/>
          <w:p>
            <w:pPr>
              <w:pStyle w:val="Compact"/>
              <w:jc w:val="left"/>
            </w:pPr>
            <w:r>
              <w:t xml:space="preserve">Shell Indonesia</w:t>
            </w:r>
          </w:p>
        </w:tc>
        <w:tc>
          <w:tcPr/>
          <w:p>
            <w:pPr>
              <w:pStyle w:val="Compact"/>
              <w:jc w:val="left"/>
            </w:pPr>
            <w:r>
              <w:t xml:space="preserve">Swasta asing</w:t>
            </w:r>
          </w:p>
        </w:tc>
        <w:tc>
          <w:tcPr/>
          <w:p>
            <w:pPr>
              <w:pStyle w:val="Compact"/>
              <w:jc w:val="left"/>
            </w:pPr>
            <w:r>
              <w:t xml:space="preserve">Ritel nonsubsidi, pelumas</w:t>
            </w:r>
          </w:p>
        </w:tc>
        <w:tc>
          <w:tcPr/>
          <w:p>
            <w:pPr>
              <w:pStyle w:val="Compact"/>
              <w:jc w:val="left"/>
            </w:pPr>
            <w:r>
              <w:t xml:space="preserve">Impor dengan kuota</w:t>
            </w:r>
          </w:p>
        </w:tc>
        <w:tc>
          <w:tcPr/>
          <w:p>
            <w:pPr>
              <w:pStyle w:val="Compact"/>
              <w:jc w:val="left"/>
            </w:pPr>
            <w:r>
              <w:t xml:space="preserve">Kuota habis Agustus 2025; jumlah SPBU [VERIFIKASI]</w:t>
            </w:r>
          </w:p>
        </w:tc>
      </w:tr>
      <w:tr>
        <w:tc>
          <w:tcPr/>
          <w:p>
            <w:pPr>
              <w:pStyle w:val="Compact"/>
              <w:jc w:val="left"/>
            </w:pPr>
            <w:r>
              <w:t xml:space="preserve">Vivo Energy Indonesia</w:t>
            </w:r>
          </w:p>
        </w:tc>
        <w:tc>
          <w:tcPr/>
          <w:p>
            <w:pPr>
              <w:pStyle w:val="Compact"/>
              <w:jc w:val="left"/>
            </w:pPr>
            <w:r>
              <w:t xml:space="preserve">Swasta</w:t>
            </w:r>
          </w:p>
        </w:tc>
        <w:tc>
          <w:tcPr/>
          <w:p>
            <w:pPr>
              <w:pStyle w:val="Compact"/>
              <w:jc w:val="left"/>
            </w:pPr>
            <w:r>
              <w:t xml:space="preserve">Ritel nonsubsidi</w:t>
            </w:r>
          </w:p>
        </w:tc>
        <w:tc>
          <w:tcPr/>
          <w:p>
            <w:pPr>
              <w:pStyle w:val="Compact"/>
              <w:jc w:val="left"/>
            </w:pPr>
            <w:r>
              <w:t xml:space="preserve">Impor dengan kuota</w:t>
            </w:r>
          </w:p>
        </w:tc>
        <w:tc>
          <w:tcPr/>
          <w:p>
            <w:pPr>
              <w:pStyle w:val="Compact"/>
              <w:jc w:val="left"/>
            </w:pPr>
            <w:r>
              <w:t xml:space="preserve">Kuota habis Oktober 2025; jumlah SPBU [VERIFIKASI]</w:t>
            </w:r>
          </w:p>
        </w:tc>
      </w:tr>
      <w:tr>
        <w:tc>
          <w:tcPr/>
          <w:p>
            <w:pPr>
              <w:pStyle w:val="Compact"/>
              <w:jc w:val="left"/>
            </w:pPr>
            <w:r>
              <w:t xml:space="preserve">ExxonMobil (Mobil)</w:t>
            </w:r>
          </w:p>
        </w:tc>
        <w:tc>
          <w:tcPr/>
          <w:p>
            <w:pPr>
              <w:pStyle w:val="Compact"/>
              <w:jc w:val="left"/>
            </w:pPr>
            <w:r>
              <w:t xml:space="preserve">Swasta asing</w:t>
            </w:r>
          </w:p>
        </w:tc>
        <w:tc>
          <w:tcPr/>
          <w:p>
            <w:pPr>
              <w:pStyle w:val="Compact"/>
              <w:jc w:val="left"/>
            </w:pPr>
            <w:r>
              <w:t xml:space="preserve">Ritel nonsubsidi, pelumas</w:t>
            </w:r>
          </w:p>
        </w:tc>
        <w:tc>
          <w:tcPr/>
          <w:p>
            <w:pPr>
              <w:pStyle w:val="Compact"/>
              <w:jc w:val="left"/>
            </w:pPr>
            <w:r>
              <w:t xml:space="preserve">Impor dengan kuota</w:t>
            </w:r>
          </w:p>
        </w:tc>
        <w:tc>
          <w:tcPr/>
          <w:p>
            <w:pPr>
              <w:pStyle w:val="Compact"/>
              <w:jc w:val="left"/>
            </w:pPr>
            <w:r>
              <w:t xml:space="preserve">Jaringan terbatas [VERIFIKASI]</w:t>
            </w:r>
          </w:p>
        </w:tc>
      </w:tr>
      <w:tr>
        <w:tc>
          <w:tcPr/>
          <w:p>
            <w:pPr>
              <w:pStyle w:val="Compact"/>
              <w:jc w:val="left"/>
            </w:pPr>
            <w:r>
              <w:t xml:space="preserve">PT AKR Corporindo Tbk (induk)</w:t>
            </w:r>
          </w:p>
        </w:tc>
        <w:tc>
          <w:tcPr/>
          <w:p>
            <w:pPr>
              <w:pStyle w:val="Compact"/>
              <w:jc w:val="left"/>
            </w:pPr>
            <w:r>
              <w:t xml:space="preserve">Swasta, Tbk</w:t>
            </w:r>
          </w:p>
        </w:tc>
        <w:tc>
          <w:tcPr/>
          <w:p>
            <w:pPr>
              <w:pStyle w:val="Compact"/>
              <w:jc w:val="left"/>
            </w:pPr>
            <w:r>
              <w:t xml:space="preserve">BBM industri nonsubsidi, BBM bersubsidi penugasan BPH Migas (AKRA SOL), kimia dasar</w:t>
            </w:r>
          </w:p>
        </w:tc>
        <w:tc>
          <w:tcPr/>
          <w:p>
            <w:pPr>
              <w:pStyle w:val="Compact"/>
              <w:jc w:val="left"/>
            </w:pPr>
            <w:r>
              <w:t xml:space="preserve">Impor dan FAME domestik; penugasan 181.000 KL solar 2026 (AKR Corporindo, 2026a, hlm. 411)</w:t>
            </w:r>
          </w:p>
        </w:tc>
        <w:tc>
          <w:tcPr/>
          <w:p>
            <w:pPr>
              <w:pStyle w:val="Compact"/>
              <w:jc w:val="left"/>
            </w:pPr>
            <w:r>
              <w:t xml:space="preserve">Satu-satunya swasta penyalur BBM bersubsidi sejak 2010 (AKR Corporindo, 2026a, hlm. 69)</w:t>
            </w:r>
          </w:p>
        </w:tc>
      </w:tr>
    </w:tbl>
    <w:p>
      <w:pPr>
        <w:pStyle w:val="BodyText"/>
      </w:pPr>
      <w:r>
        <w:t xml:space="preserve">Sumber: AKR Corporindo (2026a); Katadata (5 Januari 2026); Katadata (7 November 2025); Bisnis Indonesia (24 November 2025); kompilasi penulis. Angka pesaing yang bertanda [VERIFIKASI] perlu dicek ke laporan masing-masing.</w:t>
      </w:r>
    </w:p>
    <w:bookmarkEnd w:id="43"/>
    <w:bookmarkStart w:id="44" w:name="X9c02f593848b3efdde37a0e5fdfcac28eb26a81"/>
    <w:p>
      <w:pPr>
        <w:pStyle w:val="Heading2"/>
      </w:pPr>
      <w:r>
        <w:t xml:space="preserve">3.2 Industri Kawasan Industri Terpadu dan Kawasan Ekonomi Khusus</w:t>
      </w:r>
    </w:p>
    <w:p>
      <w:pPr>
        <w:pStyle w:val="FirstParagraph"/>
      </w:pPr>
      <w:r>
        <w:t xml:space="preserve">Kawasan Ekonomi Khusus diatur Undang-Undang Nomor 39 Tahun 2009 yang diubah lewat UU Cipta Kerja, dan Peraturan Pemerintah Nomor 40 Tahun 2021 tentang penyelenggaraan KEK. Fasilitasnya meliputi</w:t>
      </w:r>
      <w:r>
        <w:t xml:space="preserve"> </w:t>
      </w:r>
      <w:r>
        <w:rPr>
          <w:iCs/>
          <w:i/>
        </w:rPr>
        <w:t xml:space="preserve">tax holiday</w:t>
      </w:r>
      <w:r>
        <w:t xml:space="preserve">, pembebasan bea masuk dan PPN untuk barang modal, serta perizinan terpadu lewat Administrator KEK. JIIPE ditetapkan sebagai KEK Gresik lewat PP Nomor 71 Tahun 2021 dan dinyatakan beroperasi lewat Keputusan Menko Perekonomian Nomor 1 Tahun 2022 (AKR Corporindo, 2026a, hlm. 118). Dalam agenda hilirisasi mineral, JIIPE menjadi lokasi smelter tembaga dan</w:t>
      </w:r>
      <w:r>
        <w:t xml:space="preserve"> </w:t>
      </w:r>
      <w:r>
        <w:rPr>
          <w:iCs/>
          <w:i/>
        </w:rPr>
        <w:t xml:space="preserve">Precious Metal Refinery</w:t>
      </w:r>
      <w:r>
        <w:t xml:space="preserve"> </w:t>
      </w:r>
      <w:r>
        <w:t xml:space="preserve">PT Freeport Indonesia, pabrik kaca dan kaca surya Xinyi, pabrik</w:t>
      </w:r>
      <w:r>
        <w:t xml:space="preserve"> </w:t>
      </w:r>
      <w:r>
        <w:rPr>
          <w:iCs/>
          <w:i/>
        </w:rPr>
        <w:t xml:space="preserve">copper foil</w:t>
      </w:r>
      <w:r>
        <w:t xml:space="preserve"> </w:t>
      </w:r>
      <w:r>
        <w:t xml:space="preserve">Hailiang, dan pabrik kimia Golden Elephant Specialty Chemicals senilai sekitar USD 600 juta (AKR Corporindo, 2026a, hlm. 118, 120; AKR Corporindo, 2026b, hlm. 36). Klaster logam, kimia, dan kaca ini membuat JIIPE berbeda dari kawasan industri di Jawa Barat dan Banten yang didominasi otomotif dan elektronik. Pesaing langsung untuk tenant yang butuh pelabuhan laut dalam di Jawa Timur relatif sedikit, meskipun kawasan di Kendal, Batang, dan Subang bersaing untuk investasi manufaktur umum [VERIFIKASI: perbandingan kawasan pesaing dari HKI/Kemenperin].</w:t>
      </w:r>
    </w:p>
    <w:p>
      <w:pPr>
        <w:pStyle w:val="BodyText"/>
      </w:pPr>
      <w:r>
        <w:t xml:space="preserve">Frick et al. (2019) menunjukkan KEK yang berhasil adalah yang menyediakan akses pasar dan infrastruktur, bukan sekadar potongan pajak. Wang (2013,</w:t>
      </w:r>
      <w:r>
        <w:t xml:space="preserve"> </w:t>
      </w:r>
      <w:r>
        <w:rPr>
          <w:iCs/>
          <w:i/>
        </w:rPr>
        <w:t xml:space="preserve">Journal of Development Economics</w:t>
      </w:r>
      <w:r>
        <w:t xml:space="preserve">, SJR Q1) menemukan KEK di Tiongkok menaikkan investasi asing dan upah di daerahnya. Keunggulan JIIPE memang bersifat fisik: pelabuhan berkedalaman 16 meter LWS dengan dermaga 6.200 meter yang bisa menerima kapal 100.000 DWT, listrik berlisensi 515 MW dengan pasokan gas pipa PGN dan cadangan PLN 500 MVA, desalinasi 2.400 m³ per hari, dan pengolahan limbah 2.500 m³ per hari (AKR Corporindo, 2026a, hlm. 118–119).</w:t>
      </w:r>
    </w:p>
    <w:bookmarkEnd w:id="44"/>
    <w:bookmarkStart w:id="48" w:name="profil-pt-akr-corporindo-tbk"/>
    <w:p>
      <w:pPr>
        <w:pStyle w:val="Heading2"/>
      </w:pPr>
      <w:r>
        <w:t xml:space="preserve">3.3 Profil PT AKR Corporindo Tbk</w:t>
      </w:r>
    </w:p>
    <w:p>
      <w:pPr>
        <w:pStyle w:val="FirstParagraph"/>
      </w:pPr>
      <w:r>
        <w:t xml:space="preserve">AKR mulai berdagang kimia dasar di Surabaya pada 1960. Badan hukum PT Aneka Kimia Raya didirikan dengan Akta Nomor 46 tanggal 28 November 1977, tercatat di Bursa Efek Indonesia pada 3 Oktober 1994 dengan kode AKRA, dan berganti nama menjadi PT AKR Corporindo Tbk pada 23 September 2004 (AKR Corporindo, 2026a, hlm. 8, 60–61, 64). Laporan Tahunan menyebut tahun pendirian 1970 di halaman 8 dan tahun akta 1977 di halaman 60. Laporan ini memakai tahun akta. Per 31 Desember 2025, pemegang saham pengendali adalah PT Arthakencana Rayatama (63,71%), lalu publik 32,78%, manajemen 2,15%, dan saham treasuri 1,36%. Jumlah karyawan 2.474 orang (AKR Corporindo, 2026a, hlm. 59). Visi perusahaan adalah menjadi penyedia terdepan jasa logistik dan solusi pengadaan untuk bahan kimia dan energi di Indonesia. Misinya mengoptimalkan potensi untuk membangun nilai pemangku kepentingan yang berkelanjutan (AKR Corporindo, 2026a, hlm. 198) [VERIFIKASI: redaksi resmi visi-misi pada AR hlm. 6]. Nilai perusahaan antara lain</w:t>
      </w:r>
      <w:r>
        <w:t xml:space="preserve"> </w:t>
      </w:r>
      <w:r>
        <w:rPr>
          <w:iCs/>
          <w:i/>
        </w:rPr>
        <w:t xml:space="preserve">Be Agile</w:t>
      </w:r>
      <w:r>
        <w:t xml:space="preserve">,</w:t>
      </w:r>
      <w:r>
        <w:t xml:space="preserve"> </w:t>
      </w:r>
      <w:r>
        <w:rPr>
          <w:iCs/>
          <w:i/>
        </w:rPr>
        <w:t xml:space="preserve">Empower Your Team</w:t>
      </w:r>
      <w:r>
        <w:t xml:space="preserve">, dan</w:t>
      </w:r>
      <w:r>
        <w:t xml:space="preserve"> </w:t>
      </w:r>
      <w:r>
        <w:rPr>
          <w:iCs/>
          <w:i/>
        </w:rPr>
        <w:t xml:space="preserve">Zero Tolerance</w:t>
      </w:r>
      <w:r>
        <w:t xml:space="preserve"> </w:t>
      </w:r>
      <w:r>
        <w:t xml:space="preserve">(AKR Corporindo, 2026a, hlm. 63). Lima pilar strategis 2025 adalah</w:t>
      </w:r>
      <w:r>
        <w:t xml:space="preserve"> </w:t>
      </w:r>
      <w:r>
        <w:rPr>
          <w:iCs/>
          <w:i/>
        </w:rPr>
        <w:t xml:space="preserve">Energy &amp; Industrial Connectivity</w:t>
      </w:r>
      <w:r>
        <w:t xml:space="preserve">,</w:t>
      </w:r>
      <w:r>
        <w:t xml:space="preserve"> </w:t>
      </w:r>
      <w:r>
        <w:rPr>
          <w:iCs/>
          <w:i/>
        </w:rPr>
        <w:t xml:space="preserve">Operational Excellence &amp; Financial Resilience</w:t>
      </w:r>
      <w:r>
        <w:t xml:space="preserve">,</w:t>
      </w:r>
      <w:r>
        <w:t xml:space="preserve"> </w:t>
      </w:r>
      <w:r>
        <w:rPr>
          <w:iCs/>
          <w:i/>
        </w:rPr>
        <w:t xml:space="preserve">Trusted Governance &amp; Responsible Growth</w:t>
      </w:r>
      <w:r>
        <w:t xml:space="preserve">,</w:t>
      </w:r>
      <w:r>
        <w:t xml:space="preserve"> </w:t>
      </w:r>
      <w:r>
        <w:rPr>
          <w:iCs/>
          <w:i/>
        </w:rPr>
        <w:t xml:space="preserve">Integrated &amp; Competitive Industrial Ecosystems</w:t>
      </w:r>
      <w:r>
        <w:t xml:space="preserve">, dan</w:t>
      </w:r>
      <w:r>
        <w:t xml:space="preserve"> </w:t>
      </w:r>
      <w:r>
        <w:rPr>
          <w:iCs/>
          <w:i/>
        </w:rPr>
        <w:t xml:space="preserve">Strategic Partnerships &amp; Market Confidence</w:t>
      </w:r>
      <w:r>
        <w:t xml:space="preserve"> </w:t>
      </w:r>
      <w:r>
        <w:t xml:space="preserve">(AKR Corporindo, 2026a, hlm. 7).</w:t>
      </w:r>
    </w:p>
    <w:p>
      <w:pPr>
        <w:pStyle w:val="BodyText"/>
      </w:pPr>
      <w:r>
        <w:t xml:space="preserve">AKR membagi usahanya ke empat segmen resmi: (1) Trading and Distribution of Petroleum and Basic Chemicals, (2) Logistics Infrastructure, (3) Manufacturing, dan (4) Integrated Industrial Estate and Port (AKR Corporindo, 2026a, hlm. 68). Segmen pertama paling luas isinya. Ada BBM industri nonsubsidi (B40, IDO, MFO) sejak 2005. Ada ritel nonsubsidi lewat bp AKR sejak 2017. Ada BBM bersubsidi lewat SPBKB dan SPBN bermerek AKRA SOL dengan penugasan BPH Migas selama hampir 16 tahun, termasuk program BBM Satu Harga di daerah 3T. AKR juga menerima alokasi FAME terbesar di antara perusahaan swasta untuk B40, menjadi distributor utama kimia dasar PT Asahimas Chemical, menjual pelumas Castrol lewat PT Anugerah Lubrindo Raya (80%), dan menjual avtur lewat PT Dirgantara Petroindo Raya (50,1%, bersama Air bp) (AKR Corporindo, 2026a, hlm. 68–70, 99–100). Segmen logistik berisi PT Jakarta Tank Terminal (51%, bersama Royal Vopak, kapasitas 350.000 m³), PT AKR Sea Transport, dan PT AKR Transportasi Indonesia. Segmen manufaktur adalah PT Arjuna Utama Kimia yang membuat perekat kayu berkapasitas 100.000 ton. Segmen kawasan industri dijalankan lewat PT Usaha Era Pratama Nusantara yang memegang 60% PT Berkah Kawasan Manyar Sejahtera (pengembang, Pelindo 40%) dan 40% PT Berlian Manyar Sejahtera (pelabuhan, konsesi 76 tahun), ditambah PT Berkah Buana Energi (65%, gas pipa) dan PT Berkah Renewable Energi Nusantara (99,97%, pembangkit EBT) (AKR Corporindo, 2026a, hlm. 60, 64, 99–100, 116–117). Jejak operasinya: 19 pelabuhan laut dan sungai, 21 terminal tangki dengan kapasitas 820.400 KL, 14 kapal dan SPOB, sekitar 250 truk tangki, dan 176 SPBU gabungan AKR dan bp AKR (AKR Corporindo, 2026a, hlm. 15; AKR Corporindo, 2026b, hlm. 18). Gambar 3.1 merangkum struktur grup.</w:t>
      </w:r>
    </w:p>
    <w:p>
      <w:pPr>
        <w:pStyle w:val="CaptionedFigure"/>
      </w:pPr>
      <w:r>
        <w:drawing>
          <wp:inline>
            <wp:extent cx="5334000" cy="3111500"/>
            <wp:effectExtent b="0" l="0" r="0" t="0"/>
            <wp:docPr descr="Gambar 3.1 Struktur grup PT AKR Corporindo Tbk, entitas kunci dan persentase kepemilikan. Sumber: AKR Corporindo (2026a, hlm. 99–100)." title="" id="46" name="Picture"/>
            <a:graphic>
              <a:graphicData uri="http://schemas.openxmlformats.org/drawingml/2006/picture">
                <pic:pic>
                  <pic:nvPicPr>
                    <pic:cNvPr descr="fig_3_1_struktur.png" id="47" name="Picture"/>
                    <pic:cNvPicPr>
                      <a:picLocks noChangeArrowheads="1" noChangeAspect="1"/>
                    </pic:cNvPicPr>
                  </pic:nvPicPr>
                  <pic:blipFill>
                    <a:blip r:embed="rId45"/>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Gambar 3.1 Struktur grup PT AKR Corporindo Tbk, entitas kunci dan persentase kepemilikan. Sumber: AKR Corporindo (2026a, hlm. 99–100).</w:t>
      </w:r>
    </w:p>
    <w:bookmarkEnd w:id="48"/>
    <w:bookmarkStart w:id="49" w:name="ikhtisar-kinerja-20212025"/>
    <w:p>
      <w:pPr>
        <w:pStyle w:val="Heading2"/>
      </w:pPr>
      <w:r>
        <w:t xml:space="preserve">3.4 Ikhtisar Kinerja 2021–2025</w:t>
      </w:r>
    </w:p>
    <w:p>
      <w:pPr>
        <w:pStyle w:val="FirstParagraph"/>
      </w:pPr>
      <w:r>
        <w:rPr>
          <w:bCs/>
          <w:b/>
        </w:rPr>
        <w:t xml:space="preserve">Tabel 3.2 Ikhtisar kinerja PT AKR Corporindo Tbk 2021–2025 (Rp miliar kecuali dinyatakan lain)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Indikator</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Pendapatan</w:t>
            </w:r>
          </w:p>
        </w:tc>
        <w:tc>
          <w:tcPr/>
          <w:p>
            <w:pPr>
              <w:pStyle w:val="Compact"/>
              <w:jc w:val="left"/>
            </w:pPr>
            <w:r>
              <w:t xml:space="preserve">25.707</w:t>
            </w:r>
          </w:p>
        </w:tc>
        <w:tc>
          <w:tcPr/>
          <w:p>
            <w:pPr>
              <w:pStyle w:val="Compact"/>
              <w:jc w:val="left"/>
            </w:pPr>
            <w:r>
              <w:t xml:space="preserve">47.540</w:t>
            </w:r>
          </w:p>
        </w:tc>
        <w:tc>
          <w:tcPr/>
          <w:p>
            <w:pPr>
              <w:pStyle w:val="Compact"/>
              <w:jc w:val="left"/>
            </w:pPr>
            <w:r>
              <w:t xml:space="preserve">42.087</w:t>
            </w:r>
          </w:p>
        </w:tc>
        <w:tc>
          <w:tcPr/>
          <w:p>
            <w:pPr>
              <w:pStyle w:val="Compact"/>
              <w:jc w:val="left"/>
            </w:pPr>
            <w:r>
              <w:t xml:space="preserve">38.729</w:t>
            </w:r>
          </w:p>
        </w:tc>
        <w:tc>
          <w:tcPr/>
          <w:p>
            <w:pPr>
              <w:pStyle w:val="Compact"/>
              <w:jc w:val="left"/>
            </w:pPr>
            <w:r>
              <w:t xml:space="preserve">46.018</w:t>
            </w:r>
          </w:p>
        </w:tc>
      </w:tr>
      <w:tr>
        <w:tc>
          <w:tcPr/>
          <w:p>
            <w:pPr>
              <w:pStyle w:val="Compact"/>
              <w:jc w:val="left"/>
            </w:pPr>
            <w:r>
              <w:t xml:space="preserve">Laba kotor</w:t>
            </w:r>
          </w:p>
        </w:tc>
        <w:tc>
          <w:tcPr/>
          <w:p>
            <w:pPr>
              <w:pStyle w:val="Compact"/>
              <w:jc w:val="left"/>
            </w:pPr>
            <w:r>
              <w:t xml:space="preserve">2.293</w:t>
            </w:r>
          </w:p>
        </w:tc>
        <w:tc>
          <w:tcPr/>
          <w:p>
            <w:pPr>
              <w:pStyle w:val="Compact"/>
              <w:jc w:val="left"/>
            </w:pPr>
            <w:r>
              <w:t xml:space="preserve">4.252</w:t>
            </w:r>
          </w:p>
        </w:tc>
        <w:tc>
          <w:tcPr/>
          <w:p>
            <w:pPr>
              <w:pStyle w:val="Compact"/>
              <w:jc w:val="left"/>
            </w:pPr>
            <w:r>
              <w:t xml:space="preserve">4.473</w:t>
            </w:r>
          </w:p>
        </w:tc>
        <w:tc>
          <w:tcPr/>
          <w:p>
            <w:pPr>
              <w:pStyle w:val="Compact"/>
              <w:jc w:val="left"/>
            </w:pPr>
            <w:r>
              <w:t xml:space="preserve">3.509</w:t>
            </w:r>
          </w:p>
        </w:tc>
        <w:tc>
          <w:tcPr/>
          <w:p>
            <w:pPr>
              <w:pStyle w:val="Compact"/>
              <w:jc w:val="left"/>
            </w:pPr>
            <w:r>
              <w:t xml:space="preserve">4.098</w:t>
            </w:r>
          </w:p>
        </w:tc>
      </w:tr>
      <w:tr>
        <w:tc>
          <w:tcPr/>
          <w:p>
            <w:pPr>
              <w:pStyle w:val="Compact"/>
              <w:jc w:val="left"/>
            </w:pPr>
            <w:r>
              <w:t xml:space="preserve">Margin laba kotor (%)</w:t>
            </w:r>
          </w:p>
        </w:tc>
        <w:tc>
          <w:tcPr/>
          <w:p>
            <w:pPr>
              <w:pStyle w:val="Compact"/>
              <w:jc w:val="left"/>
            </w:pPr>
            <w:r>
              <w:t xml:space="preserve">8,9</w:t>
            </w:r>
          </w:p>
        </w:tc>
        <w:tc>
          <w:tcPr/>
          <w:p>
            <w:pPr>
              <w:pStyle w:val="Compact"/>
              <w:jc w:val="left"/>
            </w:pPr>
            <w:r>
              <w:t xml:space="preserve">8,9</w:t>
            </w:r>
          </w:p>
        </w:tc>
        <w:tc>
          <w:tcPr/>
          <w:p>
            <w:pPr>
              <w:pStyle w:val="Compact"/>
              <w:jc w:val="left"/>
            </w:pPr>
            <w:r>
              <w:t xml:space="preserve">10,6</w:t>
            </w:r>
          </w:p>
        </w:tc>
        <w:tc>
          <w:tcPr/>
          <w:p>
            <w:pPr>
              <w:pStyle w:val="Compact"/>
              <w:jc w:val="left"/>
            </w:pPr>
            <w:r>
              <w:t xml:space="preserve">9,1</w:t>
            </w:r>
          </w:p>
        </w:tc>
        <w:tc>
          <w:tcPr/>
          <w:p>
            <w:pPr>
              <w:pStyle w:val="Compact"/>
              <w:jc w:val="left"/>
            </w:pPr>
            <w:r>
              <w:t xml:space="preserve">8,9</w:t>
            </w:r>
          </w:p>
        </w:tc>
      </w:tr>
      <w:tr>
        <w:tc>
          <w:tcPr/>
          <w:p>
            <w:pPr>
              <w:pStyle w:val="Compact"/>
              <w:jc w:val="left"/>
            </w:pPr>
            <w:r>
              <w:t xml:space="preserve">Laba usaha</w:t>
            </w:r>
          </w:p>
        </w:tc>
        <w:tc>
          <w:tcPr/>
          <w:p>
            <w:pPr>
              <w:pStyle w:val="Compact"/>
              <w:jc w:val="left"/>
            </w:pPr>
            <w:r>
              <w:t xml:space="preserve">1.455</w:t>
            </w:r>
          </w:p>
        </w:tc>
        <w:tc>
          <w:tcPr/>
          <w:p>
            <w:pPr>
              <w:pStyle w:val="Compact"/>
              <w:jc w:val="left"/>
            </w:pPr>
            <w:r>
              <w:t xml:space="preserve">3.087</w:t>
            </w:r>
          </w:p>
        </w:tc>
        <w:tc>
          <w:tcPr/>
          <w:p>
            <w:pPr>
              <w:pStyle w:val="Compact"/>
              <w:jc w:val="left"/>
            </w:pPr>
            <w:r>
              <w:t xml:space="preserve">3.561</w:t>
            </w:r>
          </w:p>
        </w:tc>
        <w:tc>
          <w:tcPr/>
          <w:p>
            <w:pPr>
              <w:pStyle w:val="Compact"/>
              <w:jc w:val="left"/>
            </w:pPr>
            <w:r>
              <w:t xml:space="preserve">2.578</w:t>
            </w:r>
          </w:p>
        </w:tc>
        <w:tc>
          <w:tcPr/>
          <w:p>
            <w:pPr>
              <w:pStyle w:val="Compact"/>
              <w:jc w:val="left"/>
            </w:pPr>
            <w:r>
              <w:t xml:space="preserve">3.084</w:t>
            </w:r>
          </w:p>
        </w:tc>
      </w:tr>
      <w:tr>
        <w:tc>
          <w:tcPr/>
          <w:p>
            <w:pPr>
              <w:pStyle w:val="Compact"/>
              <w:jc w:val="left"/>
            </w:pPr>
            <w:r>
              <w:t xml:space="preserve">Laba bersih pemilik entitas induk</w:t>
            </w:r>
          </w:p>
        </w:tc>
        <w:tc>
          <w:tcPr/>
          <w:p>
            <w:pPr>
              <w:pStyle w:val="Compact"/>
              <w:jc w:val="left"/>
            </w:pPr>
            <w:r>
              <w:t xml:space="preserve">1.112</w:t>
            </w:r>
          </w:p>
        </w:tc>
        <w:tc>
          <w:tcPr/>
          <w:p>
            <w:pPr>
              <w:pStyle w:val="Compact"/>
              <w:jc w:val="left"/>
            </w:pPr>
            <w:r>
              <w:t xml:space="preserve">2.403</w:t>
            </w:r>
          </w:p>
        </w:tc>
        <w:tc>
          <w:tcPr/>
          <w:p>
            <w:pPr>
              <w:pStyle w:val="Compact"/>
              <w:jc w:val="left"/>
            </w:pPr>
            <w:r>
              <w:t xml:space="preserve">2.780</w:t>
            </w:r>
          </w:p>
        </w:tc>
        <w:tc>
          <w:tcPr/>
          <w:p>
            <w:pPr>
              <w:pStyle w:val="Compact"/>
              <w:jc w:val="left"/>
            </w:pPr>
            <w:r>
              <w:t xml:space="preserve">2.225</w:t>
            </w:r>
          </w:p>
        </w:tc>
        <w:tc>
          <w:tcPr/>
          <w:p>
            <w:pPr>
              <w:pStyle w:val="Compact"/>
              <w:jc w:val="left"/>
            </w:pPr>
            <w:r>
              <w:t xml:space="preserve">2.473</w:t>
            </w:r>
          </w:p>
        </w:tc>
      </w:tr>
      <w:tr>
        <w:tc>
          <w:tcPr/>
          <w:p>
            <w:pPr>
              <w:pStyle w:val="Compact"/>
              <w:jc w:val="left"/>
            </w:pPr>
            <w:r>
              <w:t xml:space="preserve">Total aset</w:t>
            </w:r>
          </w:p>
        </w:tc>
        <w:tc>
          <w:tcPr/>
          <w:p>
            <w:pPr>
              <w:pStyle w:val="Compact"/>
              <w:jc w:val="left"/>
            </w:pPr>
            <w:r>
              <w:t xml:space="preserve">23.509</w:t>
            </w:r>
          </w:p>
        </w:tc>
        <w:tc>
          <w:tcPr/>
          <w:p>
            <w:pPr>
              <w:pStyle w:val="Compact"/>
              <w:jc w:val="left"/>
            </w:pPr>
            <w:r>
              <w:t xml:space="preserve">27.188</w:t>
            </w:r>
          </w:p>
        </w:tc>
        <w:tc>
          <w:tcPr/>
          <w:p>
            <w:pPr>
              <w:pStyle w:val="Compact"/>
              <w:jc w:val="left"/>
            </w:pPr>
            <w:r>
              <w:t xml:space="preserve">30.297</w:t>
            </w:r>
          </w:p>
        </w:tc>
        <w:tc>
          <w:tcPr/>
          <w:p>
            <w:pPr>
              <w:pStyle w:val="Compact"/>
              <w:jc w:val="left"/>
            </w:pPr>
            <w:r>
              <w:t xml:space="preserve">33.109</w:t>
            </w:r>
          </w:p>
        </w:tc>
        <w:tc>
          <w:tcPr/>
          <w:p>
            <w:pPr>
              <w:pStyle w:val="Compact"/>
              <w:jc w:val="left"/>
            </w:pPr>
            <w:r>
              <w:t xml:space="preserve">36.562</w:t>
            </w:r>
          </w:p>
        </w:tc>
      </w:tr>
      <w:tr>
        <w:tc>
          <w:tcPr/>
          <w:p>
            <w:pPr>
              <w:pStyle w:val="Compact"/>
              <w:jc w:val="left"/>
            </w:pPr>
            <w:r>
              <w:t xml:space="preserve">Total ekuitas</w:t>
            </w:r>
          </w:p>
        </w:tc>
        <w:tc>
          <w:tcPr/>
          <w:p>
            <w:pPr>
              <w:pStyle w:val="Compact"/>
              <w:jc w:val="left"/>
            </w:pPr>
            <w:r>
              <w:t xml:space="preserve">11.299</w:t>
            </w:r>
          </w:p>
        </w:tc>
        <w:tc>
          <w:tcPr/>
          <w:p>
            <w:pPr>
              <w:pStyle w:val="Compact"/>
              <w:jc w:val="left"/>
            </w:pPr>
            <w:r>
              <w:t xml:space="preserve">13.155</w:t>
            </w:r>
          </w:p>
        </w:tc>
        <w:tc>
          <w:tcPr/>
          <w:p>
            <w:pPr>
              <w:pStyle w:val="Compact"/>
              <w:jc w:val="left"/>
            </w:pPr>
            <w:r>
              <w:t xml:space="preserve">14.043</w:t>
            </w:r>
          </w:p>
        </w:tc>
        <w:tc>
          <w:tcPr/>
          <w:p>
            <w:pPr>
              <w:pStyle w:val="Compact"/>
              <w:jc w:val="left"/>
            </w:pPr>
            <w:r>
              <w:t xml:space="preserve">14.624</w:t>
            </w:r>
          </w:p>
        </w:tc>
        <w:tc>
          <w:tcPr/>
          <w:p>
            <w:pPr>
              <w:pStyle w:val="Compact"/>
              <w:jc w:val="left"/>
            </w:pPr>
            <w:r>
              <w:t xml:space="preserve">15.610</w:t>
            </w:r>
          </w:p>
        </w:tc>
      </w:tr>
      <w:tr>
        <w:tc>
          <w:tcPr/>
          <w:p>
            <w:pPr>
              <w:pStyle w:val="Compact"/>
              <w:jc w:val="left"/>
            </w:pPr>
            <w:r>
              <w:t xml:space="preserve">Kas dan setara kas</w:t>
            </w:r>
          </w:p>
        </w:tc>
        <w:tc>
          <w:tcPr/>
          <w:p>
            <w:pPr>
              <w:pStyle w:val="Compact"/>
              <w:jc w:val="left"/>
            </w:pPr>
            <w:r>
              <w:t xml:space="preserve">2.600</w:t>
            </w:r>
          </w:p>
        </w:tc>
        <w:tc>
          <w:tcPr/>
          <w:p>
            <w:pPr>
              <w:pStyle w:val="Compact"/>
              <w:jc w:val="left"/>
            </w:pPr>
            <w:r>
              <w:t xml:space="preserve">4.338</w:t>
            </w:r>
          </w:p>
        </w:tc>
        <w:tc>
          <w:tcPr/>
          <w:p>
            <w:pPr>
              <w:pStyle w:val="Compact"/>
              <w:jc w:val="left"/>
            </w:pPr>
            <w:r>
              <w:t xml:space="preserve">6.536</w:t>
            </w:r>
          </w:p>
        </w:tc>
        <w:tc>
          <w:tcPr/>
          <w:p>
            <w:pPr>
              <w:pStyle w:val="Compact"/>
              <w:jc w:val="left"/>
            </w:pPr>
            <w:r>
              <w:t xml:space="preserve">5.366</w:t>
            </w:r>
          </w:p>
        </w:tc>
        <w:tc>
          <w:tcPr/>
          <w:p>
            <w:pPr>
              <w:pStyle w:val="Compact"/>
              <w:jc w:val="left"/>
            </w:pPr>
            <w:r>
              <w:t xml:space="preserve">6.404</w:t>
            </w:r>
          </w:p>
        </w:tc>
      </w:tr>
      <w:tr>
        <w:tc>
          <w:tcPr/>
          <w:p>
            <w:pPr>
              <w:pStyle w:val="Compact"/>
              <w:jc w:val="left"/>
            </w:pPr>
            <w:r>
              <w:t xml:space="preserve">ROE (%)</w:t>
            </w:r>
          </w:p>
        </w:tc>
        <w:tc>
          <w:tcPr/>
          <w:p>
            <w:pPr>
              <w:pStyle w:val="Compact"/>
              <w:jc w:val="left"/>
            </w:pPr>
            <w:r>
              <w:t xml:space="preserve">11,9</w:t>
            </w:r>
          </w:p>
        </w:tc>
        <w:tc>
          <w:tcPr/>
          <w:p>
            <w:pPr>
              <w:pStyle w:val="Compact"/>
              <w:jc w:val="left"/>
            </w:pPr>
            <w:r>
              <w:t xml:space="preserve">21,9</w:t>
            </w:r>
          </w:p>
        </w:tc>
        <w:tc>
          <w:tcPr/>
          <w:p>
            <w:pPr>
              <w:pStyle w:val="Compact"/>
              <w:jc w:val="left"/>
            </w:pPr>
            <w:r>
              <w:t xml:space="preserve">24,7</w:t>
            </w:r>
          </w:p>
        </w:tc>
        <w:tc>
          <w:tcPr/>
          <w:p>
            <w:pPr>
              <w:pStyle w:val="Compact"/>
              <w:jc w:val="left"/>
            </w:pPr>
            <w:r>
              <w:t xml:space="preserve">19,2</w:t>
            </w:r>
          </w:p>
        </w:tc>
        <w:tc>
          <w:tcPr/>
          <w:p>
            <w:pPr>
              <w:pStyle w:val="Compact"/>
              <w:jc w:val="left"/>
            </w:pPr>
            <w:r>
              <w:t xml:space="preserve">20,3</w:t>
            </w:r>
          </w:p>
        </w:tc>
      </w:tr>
      <w:tr>
        <w:tc>
          <w:tcPr/>
          <w:p>
            <w:pPr>
              <w:pStyle w:val="Compact"/>
              <w:jc w:val="left"/>
            </w:pPr>
            <w:r>
              <w:t xml:space="preserve">Net gearing (kali)</w:t>
            </w:r>
          </w:p>
        </w:tc>
        <w:tc>
          <w:tcPr/>
          <w:p>
            <w:pPr>
              <w:pStyle w:val="Compact"/>
              <w:jc w:val="left"/>
            </w:pPr>
            <w:r>
              <w:t xml:space="preserve">0,02</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−0,08</w:t>
            </w:r>
          </w:p>
        </w:tc>
      </w:tr>
      <w:tr>
        <w:tc>
          <w:tcPr/>
          <w:p>
            <w:pPr>
              <w:pStyle w:val="Compact"/>
              <w:jc w:val="left"/>
            </w:pPr>
            <w:r>
              <w:t xml:space="preserve">Dividen per saham tahun buku (Rp)</w:t>
            </w:r>
          </w:p>
        </w:tc>
        <w:tc>
          <w:tcPr/>
          <w:p>
            <w:pPr>
              <w:pStyle w:val="Compact"/>
              <w:jc w:val="left"/>
            </w:pPr>
            <w:r>
              <w:t xml:space="preserve">[VERIFIKASI]</w:t>
            </w:r>
          </w:p>
        </w:tc>
        <w:tc>
          <w:tcPr/>
          <w:p>
            <w:pPr>
              <w:pStyle w:val="Compact"/>
              <w:jc w:val="left"/>
            </w:pPr>
            <w:r>
              <w:t xml:space="preserve">75</w:t>
            </w:r>
          </w:p>
        </w:tc>
        <w:tc>
          <w:tcPr/>
          <w:p>
            <w:pPr>
              <w:pStyle w:val="Compact"/>
              <w:jc w:val="left"/>
            </w:pPr>
            <w:r>
              <w:t xml:space="preserve">125</w:t>
            </w:r>
          </w:p>
        </w:tc>
        <w:tc>
          <w:tcPr/>
          <w:p>
            <w:pPr>
              <w:pStyle w:val="Compact"/>
              <w:jc w:val="left"/>
            </w:pPr>
            <w:r>
              <w:t xml:space="preserve">100</w:t>
            </w:r>
          </w:p>
        </w:tc>
        <w:tc>
          <w:tcPr/>
          <w:p>
            <w:pPr>
              <w:pStyle w:val="Compact"/>
              <w:jc w:val="left"/>
            </w:pPr>
            <w:r>
              <w:t xml:space="preserve">[belum diputuskan]</w:t>
            </w:r>
          </w:p>
        </w:tc>
      </w:tr>
      <w:tr>
        <w:tc>
          <w:tcPr/>
          <w:p>
            <w:pPr>
              <w:pStyle w:val="Compact"/>
              <w:jc w:val="left"/>
            </w:pPr>
            <w:r>
              <w:t xml:space="preserve">Volume BBM (KL)</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r>
      <w:tr>
        <w:tc>
          <w:tcPr/>
          <w:p>
            <w:pPr>
              <w:pStyle w:val="Compact"/>
              <w:jc w:val="left"/>
            </w:pPr>
            <w:r>
              <w:t xml:space="preserve">Volume kimia dasar (ton)</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r>
      <w:tr>
        <w:tc>
          <w:tcPr/>
          <w:p>
            <w:pPr>
              <w:pStyle w:val="Compact"/>
              <w:jc w:val="left"/>
            </w:pPr>
            <w:r>
              <w:t xml:space="preserve">Penjualan lahan JIIPE (ha)</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[VERIFIKASI]</w:t>
            </w:r>
          </w:p>
        </w:tc>
        <w:tc>
          <w:tcPr/>
          <w:p>
            <w:pPr>
              <w:pStyle w:val="Compact"/>
              <w:jc w:val="left"/>
            </w:pPr>
            <w:r>
              <w:t xml:space="preserve">38</w:t>
            </w:r>
          </w:p>
        </w:tc>
        <w:tc>
          <w:tcPr/>
          <w:p>
            <w:pPr>
              <w:pStyle w:val="Compact"/>
              <w:jc w:val="left"/>
            </w:pPr>
            <w:r>
              <w:t xml:space="preserve">84</w:t>
            </w:r>
          </w:p>
        </w:tc>
      </w:tr>
    </w:tbl>
    <w:p>
      <w:pPr>
        <w:pStyle w:val="BodyText"/>
      </w:pPr>
      <w:r>
        <w:t xml:space="preserve">Sumber: AKR Corporindo (2026a, hlm. 24–26, 30, 118); AKR Corporindo (2025, hlm. 26, 112). Volume BBM dan kimia dasar tidak diungkapkan dalam satuan fisik pada AR 2025 yang ditelaah dan perlu dicek ke paparan publik perusahaan. AR 2024 menyebut penjualan lahan 2024 sebesar 38 ha (hlm. 112) dan 37 ha (hlm. 130).</w:t>
      </w:r>
    </w:p>
    <w:p>
      <w:pPr>
        <w:pStyle w:val="BodyText"/>
      </w:pPr>
      <w:r>
        <w:rPr>
          <w:bCs/>
          <w:b/>
        </w:rPr>
        <w:t xml:space="preserve">Tabel 3.3 Pendapatan dan laba kotor per segmen 2024–2025 (Rp miliar)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Segmen</w:t>
            </w:r>
          </w:p>
        </w:tc>
        <w:tc>
          <w:tcPr/>
          <w:p>
            <w:pPr>
              <w:pStyle w:val="Compact"/>
              <w:jc w:val="left"/>
            </w:pPr>
            <w:r>
              <w:t xml:space="preserve">Pendapatan 2024</w:t>
            </w:r>
          </w:p>
        </w:tc>
        <w:tc>
          <w:tcPr/>
          <w:p>
            <w:pPr>
              <w:pStyle w:val="Compact"/>
              <w:jc w:val="left"/>
            </w:pPr>
            <w:r>
              <w:t xml:space="preserve">Pendapatan 2025</w:t>
            </w:r>
          </w:p>
        </w:tc>
        <w:tc>
          <w:tcPr/>
          <w:p>
            <w:pPr>
              <w:pStyle w:val="Compact"/>
              <w:jc w:val="left"/>
            </w:pPr>
            <w:r>
              <w:t xml:space="preserve">Pertumbuhan</w:t>
            </w:r>
          </w:p>
        </w:tc>
        <w:tc>
          <w:tcPr/>
          <w:p>
            <w:pPr>
              <w:pStyle w:val="Compact"/>
              <w:jc w:val="left"/>
            </w:pPr>
            <w:r>
              <w:t xml:space="preserve">Laba kotor 2025</w:t>
            </w:r>
          </w:p>
        </w:tc>
        <w:tc>
          <w:tcPr/>
          <w:p>
            <w:pPr>
              <w:pStyle w:val="Compact"/>
              <w:jc w:val="left"/>
            </w:pPr>
            <w:r>
              <w:t xml:space="preserve">Margin 2025</w:t>
            </w:r>
          </w:p>
        </w:tc>
        <w:tc>
          <w:tcPr/>
          <w:p>
            <w:pPr>
              <w:pStyle w:val="Compact"/>
              <w:jc w:val="left"/>
            </w:pPr>
            <w:r>
              <w:t xml:space="preserve">Kontribusi laba kotor 2025</w:t>
            </w:r>
          </w:p>
        </w:tc>
      </w:tr>
      <w:tr>
        <w:tc>
          <w:tcPr/>
          <w:p>
            <w:pPr>
              <w:pStyle w:val="Compact"/>
              <w:jc w:val="left"/>
            </w:pPr>
            <w:r>
              <w:t xml:space="preserve">Trading &amp; Distribution</w:t>
            </w:r>
          </w:p>
        </w:tc>
        <w:tc>
          <w:tcPr/>
          <w:p>
            <w:pPr>
              <w:pStyle w:val="Compact"/>
              <w:jc w:val="left"/>
            </w:pPr>
            <w:r>
              <w:t xml:space="preserve">35.532</w:t>
            </w:r>
          </w:p>
        </w:tc>
        <w:tc>
          <w:tcPr/>
          <w:p>
            <w:pPr>
              <w:pStyle w:val="Compact"/>
              <w:jc w:val="left"/>
            </w:pPr>
            <w:r>
              <w:t xml:space="preserve">41.314</w:t>
            </w:r>
          </w:p>
        </w:tc>
        <w:tc>
          <w:tcPr/>
          <w:p>
            <w:pPr>
              <w:pStyle w:val="Compact"/>
              <w:jc w:val="left"/>
            </w:pPr>
            <w:r>
              <w:t xml:space="preserve">+16%</w:t>
            </w:r>
          </w:p>
        </w:tc>
        <w:tc>
          <w:tcPr/>
          <w:p>
            <w:pPr>
              <w:pStyle w:val="Compact"/>
              <w:jc w:val="left"/>
            </w:pPr>
            <w:r>
              <w:t xml:space="preserve">3.004</w:t>
            </w:r>
          </w:p>
        </w:tc>
        <w:tc>
          <w:tcPr/>
          <w:p>
            <w:pPr>
              <w:pStyle w:val="Compact"/>
              <w:jc w:val="left"/>
            </w:pPr>
            <w:r>
              <w:t xml:space="preserve">7,3%</w:t>
            </w:r>
          </w:p>
        </w:tc>
        <w:tc>
          <w:tcPr/>
          <w:p>
            <w:pPr>
              <w:pStyle w:val="Compact"/>
              <w:jc w:val="left"/>
            </w:pPr>
            <w:r>
              <w:t xml:space="preserve">73%</w:t>
            </w:r>
          </w:p>
        </w:tc>
      </w:tr>
      <w:tr>
        <w:tc>
          <w:tcPr/>
          <w:p>
            <w:pPr>
              <w:pStyle w:val="Compact"/>
              <w:jc w:val="left"/>
            </w:pPr>
            <w:r>
              <w:t xml:space="preserve">Petroleum</w:t>
            </w:r>
          </w:p>
        </w:tc>
        <w:tc>
          <w:tcPr/>
          <w:p>
            <w:pPr>
              <w:pStyle w:val="Compact"/>
              <w:jc w:val="left"/>
            </w:pPr>
            <w:r>
              <w:t xml:space="preserve">28.934</w:t>
            </w:r>
          </w:p>
        </w:tc>
        <w:tc>
          <w:tcPr/>
          <w:p>
            <w:pPr>
              <w:pStyle w:val="Compact"/>
              <w:jc w:val="left"/>
            </w:pPr>
            <w:r>
              <w:t xml:space="preserve">34.013</w:t>
            </w:r>
          </w:p>
        </w:tc>
        <w:tc>
          <w:tcPr/>
          <w:p>
            <w:pPr>
              <w:pStyle w:val="Compact"/>
              <w:jc w:val="left"/>
            </w:pPr>
            <w:r>
              <w:t xml:space="preserve">+18%</w:t>
            </w:r>
          </w:p>
        </w:tc>
        <w:tc>
          <w:tcPr/>
          <w:p>
            <w:pPr>
              <w:pStyle w:val="Compact"/>
            </w:pPr>
          </w:p>
        </w:tc>
        <w:tc>
          <w:tcPr/>
          <w:p>
            <w:pPr>
              <w:pStyle w:val="Compact"/>
            </w:pPr>
          </w:p>
        </w:tc>
        <w:tc>
          <w:tcPr/>
          <w:p>
            <w:pPr>
              <w:pStyle w:val="Compact"/>
            </w:pPr>
          </w:p>
        </w:tc>
      </w:tr>
      <w:tr>
        <w:tc>
          <w:tcPr/>
          <w:p>
            <w:pPr>
              <w:pStyle w:val="Compact"/>
              <w:jc w:val="left"/>
            </w:pPr>
            <w:r>
              <w:t xml:space="preserve">Basic Chemicals</w:t>
            </w:r>
          </w:p>
        </w:tc>
        <w:tc>
          <w:tcPr/>
          <w:p>
            <w:pPr>
              <w:pStyle w:val="Compact"/>
              <w:jc w:val="left"/>
            </w:pPr>
            <w:r>
              <w:t xml:space="preserve">6.598</w:t>
            </w:r>
          </w:p>
        </w:tc>
        <w:tc>
          <w:tcPr/>
          <w:p>
            <w:pPr>
              <w:pStyle w:val="Compact"/>
              <w:jc w:val="left"/>
            </w:pPr>
            <w:r>
              <w:t xml:space="preserve">7.301</w:t>
            </w:r>
          </w:p>
        </w:tc>
        <w:tc>
          <w:tcPr/>
          <w:p>
            <w:pPr>
              <w:pStyle w:val="Compact"/>
              <w:jc w:val="left"/>
            </w:pPr>
            <w:r>
              <w:t xml:space="preserve">+11%</w:t>
            </w:r>
          </w:p>
        </w:tc>
        <w:tc>
          <w:tcPr/>
          <w:p>
            <w:pPr>
              <w:pStyle w:val="Compact"/>
            </w:pPr>
          </w:p>
        </w:tc>
        <w:tc>
          <w:tcPr/>
          <w:p>
            <w:pPr>
              <w:pStyle w:val="Compact"/>
            </w:pPr>
          </w:p>
        </w:tc>
        <w:tc>
          <w:tcPr/>
          <w:p>
            <w:pPr>
              <w:pStyle w:val="Compact"/>
            </w:pPr>
          </w:p>
        </w:tc>
      </w:tr>
      <w:tr>
        <w:tc>
          <w:tcPr/>
          <w:p>
            <w:pPr>
              <w:pStyle w:val="Compact"/>
              <w:jc w:val="left"/>
            </w:pPr>
            <w:r>
              <w:t xml:space="preserve">Logistics Services</w:t>
            </w:r>
          </w:p>
        </w:tc>
        <w:tc>
          <w:tcPr/>
          <w:p>
            <w:pPr>
              <w:pStyle w:val="Compact"/>
              <w:jc w:val="left"/>
            </w:pPr>
            <w:r>
              <w:t xml:space="preserve">1.165</w:t>
            </w:r>
          </w:p>
        </w:tc>
        <w:tc>
          <w:tcPr/>
          <w:p>
            <w:pPr>
              <w:pStyle w:val="Compact"/>
              <w:jc w:val="left"/>
            </w:pPr>
            <w:r>
              <w:t xml:space="preserve">1.499</w:t>
            </w:r>
          </w:p>
        </w:tc>
        <w:tc>
          <w:tcPr/>
          <w:p>
            <w:pPr>
              <w:pStyle w:val="Compact"/>
              <w:jc w:val="left"/>
            </w:pPr>
            <w:r>
              <w:t xml:space="preserve">+29%</w:t>
            </w:r>
          </w:p>
        </w:tc>
        <w:tc>
          <w:tcPr/>
          <w:p>
            <w:pPr>
              <w:pStyle w:val="Compact"/>
              <w:jc w:val="left"/>
            </w:pPr>
            <w:r>
              <w:t xml:space="preserve">49</w:t>
            </w:r>
          </w:p>
        </w:tc>
        <w:tc>
          <w:tcPr/>
          <w:p>
            <w:pPr>
              <w:pStyle w:val="Compact"/>
              <w:jc w:val="left"/>
            </w:pPr>
            <w:r>
              <w:t xml:space="preserve">3,3%</w:t>
            </w:r>
          </w:p>
        </w:tc>
        <w:tc>
          <w:tcPr/>
          <w:p>
            <w:pPr>
              <w:pStyle w:val="Compact"/>
              <w:jc w:val="left"/>
            </w:pPr>
            <w:r>
              <w:t xml:space="preserve">1%</w:t>
            </w:r>
          </w:p>
        </w:tc>
      </w:tr>
      <w:tr>
        <w:tc>
          <w:tcPr/>
          <w:p>
            <w:pPr>
              <w:pStyle w:val="Compact"/>
              <w:jc w:val="left"/>
            </w:pPr>
            <w:r>
              <w:t xml:space="preserve">Manufacturing</w:t>
            </w:r>
          </w:p>
        </w:tc>
        <w:tc>
          <w:tcPr/>
          <w:p>
            <w:pPr>
              <w:pStyle w:val="Compact"/>
              <w:jc w:val="left"/>
            </w:pPr>
            <w:r>
              <w:t xml:space="preserve">652</w:t>
            </w:r>
          </w:p>
        </w:tc>
        <w:tc>
          <w:tcPr/>
          <w:p>
            <w:pPr>
              <w:pStyle w:val="Compact"/>
              <w:jc w:val="left"/>
            </w:pPr>
            <w:r>
              <w:t xml:space="preserve">464</w:t>
            </w:r>
          </w:p>
        </w:tc>
        <w:tc>
          <w:tcPr/>
          <w:p>
            <w:pPr>
              <w:pStyle w:val="Compact"/>
              <w:jc w:val="left"/>
            </w:pPr>
            <w:r>
              <w:t xml:space="preserve">−29%</w:t>
            </w:r>
          </w:p>
        </w:tc>
        <w:tc>
          <w:tcPr/>
          <w:p>
            <w:pPr>
              <w:pStyle w:val="Compact"/>
              <w:jc w:val="left"/>
            </w:pPr>
            <w:r>
              <w:t xml:space="preserve">208</w:t>
            </w:r>
          </w:p>
        </w:tc>
        <w:tc>
          <w:tcPr/>
          <w:p>
            <w:pPr>
              <w:pStyle w:val="Compact"/>
              <w:jc w:val="left"/>
            </w:pPr>
            <w:r>
              <w:t xml:space="preserve">44,8%</w:t>
            </w:r>
          </w:p>
        </w:tc>
        <w:tc>
          <w:tcPr/>
          <w:p>
            <w:pPr>
              <w:pStyle w:val="Compact"/>
              <w:jc w:val="left"/>
            </w:pPr>
            <w:r>
              <w:t xml:space="preserve">5%</w:t>
            </w:r>
          </w:p>
        </w:tc>
      </w:tr>
      <w:tr>
        <w:tc>
          <w:tcPr/>
          <w:p>
            <w:pPr>
              <w:pStyle w:val="Compact"/>
              <w:jc w:val="left"/>
            </w:pPr>
            <w:r>
              <w:t xml:space="preserve">Industrial Estate (JIIPE)</w:t>
            </w:r>
          </w:p>
        </w:tc>
        <w:tc>
          <w:tcPr/>
          <w:p>
            <w:pPr>
              <w:pStyle w:val="Compact"/>
              <w:jc w:val="left"/>
            </w:pPr>
            <w:r>
              <w:t xml:space="preserve">1.381</w:t>
            </w:r>
          </w:p>
        </w:tc>
        <w:tc>
          <w:tcPr/>
          <w:p>
            <w:pPr>
              <w:pStyle w:val="Compact"/>
              <w:jc w:val="left"/>
            </w:pPr>
            <w:r>
              <w:t xml:space="preserve">2.741</w:t>
            </w:r>
          </w:p>
        </w:tc>
        <w:tc>
          <w:tcPr/>
          <w:p>
            <w:pPr>
              <w:pStyle w:val="Compact"/>
              <w:jc w:val="left"/>
            </w:pPr>
            <w:r>
              <w:t xml:space="preserve">+99%</w:t>
            </w:r>
          </w:p>
        </w:tc>
        <w:tc>
          <w:tcPr/>
          <w:p>
            <w:pPr>
              <w:pStyle w:val="Compact"/>
              <w:jc w:val="left"/>
            </w:pPr>
            <w:r>
              <w:t xml:space="preserve">836</w:t>
            </w:r>
          </w:p>
        </w:tc>
        <w:tc>
          <w:tcPr/>
          <w:p>
            <w:pPr>
              <w:pStyle w:val="Compact"/>
              <w:jc w:val="left"/>
            </w:pPr>
            <w:r>
              <w:t xml:space="preserve">30,5%</w:t>
            </w:r>
          </w:p>
        </w:tc>
        <w:tc>
          <w:tcPr/>
          <w:p>
            <w:pPr>
              <w:pStyle w:val="Compact"/>
              <w:jc w:val="left"/>
            </w:pPr>
            <w:r>
              <w:t xml:space="preserve">20%</w:t>
            </w:r>
          </w:p>
        </w:tc>
      </w:tr>
      <w:tr>
        <w:tc>
          <w:tcPr/>
          <w:p>
            <w:pPr>
              <w:pStyle w:val="Compact"/>
              <w:jc w:val="left"/>
            </w:pPr>
            <w:r>
              <w:t xml:space="preserve">Konsolidasi</w:t>
            </w:r>
          </w:p>
        </w:tc>
        <w:tc>
          <w:tcPr/>
          <w:p>
            <w:pPr>
              <w:pStyle w:val="Compact"/>
              <w:jc w:val="left"/>
            </w:pPr>
            <w:r>
              <w:t xml:space="preserve">38.729</w:t>
            </w:r>
          </w:p>
        </w:tc>
        <w:tc>
          <w:tcPr/>
          <w:p>
            <w:pPr>
              <w:pStyle w:val="Compact"/>
              <w:jc w:val="left"/>
            </w:pPr>
            <w:r>
              <w:t xml:space="preserve">46.018</w:t>
            </w:r>
          </w:p>
        </w:tc>
        <w:tc>
          <w:tcPr/>
          <w:p>
            <w:pPr>
              <w:pStyle w:val="Compact"/>
              <w:jc w:val="left"/>
            </w:pPr>
            <w:r>
              <w:t xml:space="preserve">+19%</w:t>
            </w:r>
          </w:p>
        </w:tc>
        <w:tc>
          <w:tcPr/>
          <w:p>
            <w:pPr>
              <w:pStyle w:val="Compact"/>
              <w:jc w:val="left"/>
            </w:pPr>
            <w:r>
              <w:t xml:space="preserve">4.098</w:t>
            </w:r>
          </w:p>
        </w:tc>
        <w:tc>
          <w:tcPr/>
          <w:p>
            <w:pPr>
              <w:pStyle w:val="Compact"/>
              <w:jc w:val="left"/>
            </w:pPr>
            <w:r>
              <w:t xml:space="preserve">8,9%</w:t>
            </w:r>
          </w:p>
        </w:tc>
        <w:tc>
          <w:tcPr/>
          <w:p>
            <w:pPr>
              <w:pStyle w:val="Compact"/>
              <w:jc w:val="left"/>
            </w:pPr>
            <w:r>
              <w:t xml:space="preserve">100%</w:t>
            </w:r>
          </w:p>
        </w:tc>
      </w:tr>
    </w:tbl>
    <w:p>
      <w:pPr>
        <w:pStyle w:val="BodyText"/>
      </w:pPr>
      <w:r>
        <w:t xml:space="preserve">Sumber: AKR Corporindo (2026a, hlm. 114–117, 120–121); kontribusi dihitung penulis.</w:t>
      </w:r>
    </w:p>
    <w:p>
      <w:pPr>
        <w:pStyle w:val="BodyText"/>
      </w:pPr>
      <w:r>
        <w:t xml:space="preserve">Ada tiga hal yang terbaca dari angka 2021–2025. Pertama, pendapatan AKR sangat mengikuti harga minyak. Lonjakan 2022 dan penurunan 2023–2024 mengikuti harga produk, sementara laba kotor relatif stabil di kisaran Rp3,5 sampai 4,5 triliun. Ini sesuai dengan model harga berbasis formula yang mengubah risiko harga menjadi risiko volume (AKR Corporindo, 2026b, hlm. 76). Kedua, laba bergeser ke kawasan industri dan utilitas. Sumbangan JIIPE pada laba kotor naik menjadi 20% pada 2025. Pendapatan utilitas berulangnya Rp727 miliar, tumbuh 129%, dan penjualan lahannya Rp1.820 miliar, tumbuh 107% (AKR Corporindo, 2026a, hlm. 117). Ketiga, neracanya makin kuat. Kas Rp6,4 triliun, posisi kas bersih, dan rasio pembayaran dividen 88,77% untuk tahun buku 2024 menunjukkan kemampuan mendanai sendiri yang besar, sementara belanja modal 2025 hanya Rp897 miliar (AKR Corporindo, 2026a, hlm. 26, 30, 136). Untuk 2026, manajemen memproyeksikan laba bersih tumbuh 7–10%, laba kotor Trading and Distribution tumbuh 4–6%, dan penjualan lahan 90–100 ha (AKR Corporindo, 2026a, hlm. 137). Realisasi sembilan bulan 2026 dilaporkan Rp2,21 triliun (naik 34%) dengan pendapatan Rp46,53 triliun (Kontan, Oktober 2026) [VERIFIKASI: laporan keuangan 30 September 2026 di BEI; satu media melaporkan Rp2,44 triliun].</w:t>
      </w:r>
    </w:p>
    <w:bookmarkEnd w:id="49"/>
    <w:bookmarkStart w:id="50" w:name="posisi-kompetitif"/>
    <w:p>
      <w:pPr>
        <w:pStyle w:val="Heading2"/>
      </w:pPr>
      <w:r>
        <w:t xml:space="preserve">3.5 Posisi Kompetitif</w:t>
      </w:r>
    </w:p>
    <w:p>
      <w:pPr>
        <w:pStyle w:val="FirstParagraph"/>
      </w:pPr>
      <w:r>
        <w:t xml:space="preserve">Keunggulan AKR bertumpu pada tiga hal. Yang pertama infrastruktur logistik yang terpadu: 19 pelabuhan, tangki 820.400 KL, armada laut dan darat, dan sistem pemantauan dari terminal sampai nozzle secara waktu nyata. Infrastruktur ini sulit ditiru pendatang baru dan menjadi alasan AKR dipercaya menyalurkan BBM bersubsidi (AKR Corporindo, 2026a, hlm. 15, 115). Yang kedua neraca kas bersih dengan arus kas operasi Rp3.941 miliar pada 2025 (AKR Corporindo, 2026a, hlm. 26), sehingga AKR bisa berinvestasi tanpa tekanan pendanaan dari luar. Yang ketiga JIIPE sebagai KEK dengan pelabuhan laut dalam dan lisensi listrik 515 MW, yang menempatkan AKR sebagai penyedia utilitas, bukan cuma penjual lahan.</w:t>
      </w:r>
    </w:p>
    <w:p>
      <w:pPr>
        <w:pStyle w:val="BodyText"/>
      </w:pPr>
      <w:r>
        <w:t xml:space="preserve">Kelemahannya juga tiga. Pertama, ketergantungan pada kuota impor dan penugasan. Laporan Tahunan sendiri menyatakan sebagian besar BBM dan kimia dasar yang didistribusikan adalah barang impor, dan pembatasan kuota atau tarif bisa memengaruhi kinerja (AKR Corporindo, 2026a, hlm. 236). Kedua, margin tipis 7,3% pada segmen inti yang menyumbang 90% pendapatan. Ketiga, pendapatan lahan JIIPE tidak berulang. Dari Rp2.741 miliar pendapatan JIIPE 2025, Rp1.820 miliar adalah penjualan lahan yang bergantung pada keputusan investasi tenant besar. Margin kotor segmen ini turun dari 43,3% ke 30,5% (AKR Corporindo, 2026a, hlm. 117, 121).</w:t>
      </w:r>
    </w:p>
    <w:p>
      <w:r>
        <w:br w:type="page"/>
      </w:r>
    </w:p>
    <w:bookmarkEnd w:id="50"/>
    <w:bookmarkEnd w:id="51"/>
    <w:bookmarkStart w:id="85" w:name="bab-4-analisis-dan-usulan-inovatif"/>
    <w:p>
      <w:pPr>
        <w:pStyle w:val="Heading1"/>
      </w:pPr>
      <w:r>
        <w:t xml:space="preserve">BAB 4 ANALISIS DAN USULAN INOVATIF</w:t>
      </w:r>
    </w:p>
    <w:bookmarkStart w:id="56" w:name="faktor-pemerintah-dan-regulasi"/>
    <w:p>
      <w:pPr>
        <w:pStyle w:val="Heading2"/>
      </w:pPr>
      <w:r>
        <w:t xml:space="preserve">4.1 Faktor Pemerintah dan Regulasi</w:t>
      </w:r>
    </w:p>
    <w:bookmarkStart w:id="52" w:name="issue-20242026"/>
    <w:p>
      <w:pPr>
        <w:pStyle w:val="Heading3"/>
      </w:pPr>
      <w:r>
        <w:t xml:space="preserve">4.1.1 Issue 2024–2026</w:t>
      </w:r>
    </w:p>
    <w:p>
      <w:pPr>
        <w:pStyle w:val="FirstParagraph"/>
      </w:pPr>
      <w:r>
        <w:t xml:space="preserve">[Fakta] Ada empat</w:t>
      </w:r>
      <w:r>
        <w:t xml:space="preserve"> </w:t>
      </w:r>
      <w:r>
        <w:rPr>
          <w:iCs/>
          <w:i/>
        </w:rPr>
        <w:t xml:space="preserve">issue</w:t>
      </w:r>
      <w:r>
        <w:t xml:space="preserve"> </w:t>
      </w:r>
      <w:r>
        <w:t xml:space="preserve">regulasi yang paling berpengaruh bagi AKR. Yang pertama soal kuota impor. Kuota impor BBM untuk SPBU swasta tahun 2025 hanya 110% dari penjualan 2024 dan habis pada pertengahan Agustus 2025 untuk bp AKR dan Shell, sehingga SPBU swasta kehabisan bensin. Pasokan baru pulih setelah bp AKR membeli 100.000 barel</w:t>
      </w:r>
      <w:r>
        <w:t xml:space="preserve"> </w:t>
      </w:r>
      <w:r>
        <w:rPr>
          <w:iCs/>
          <w:i/>
        </w:rPr>
        <w:t xml:space="preserve">base fuel</w:t>
      </w:r>
      <w:r>
        <w:t xml:space="preserve"> </w:t>
      </w:r>
      <w:r>
        <w:t xml:space="preserve">dari Pertamina Patra Niaga pada Oktober sampai November 2025, dan pemerintah membuka kuota 2026 dengan kenaikan sekitar 10% plus skema persetujuan enam bulanan (Katadata, 7 November 2025; Katadata, 5 Januari 2026; Bloomberg Technoz, 26 Januari 2026). Yang kedua soal biodiesel. Mandatori naik dari B40 ke B50 lewat Kepmen ESDM Nomor 257.K/EK.01/MEM.E/2026 yang berlaku 1 Juli 2026 dan beredar nasional 1 Oktober 2026 (CNBC Indonesia, 1 Juli 2026; CNBC Indonesia, 10 Juli 2026). Yang ketiga soal beban APBN. Subsidi dan kompensasi energi mencapai Rp376,8 triliun sampai September 2026, naik 54,1%, dengan volume BBM bersubsidi 13,41 juta KL, naik 9,1% (ANTARA, 9 Oktober 2026). Harga Pertalite ditahan di Rp10.000 per liter, sementara harga nonsubsidi dinaikkan pada 18 April 2026 (Kompas, 18 April 2026) [VERIFIKASI: pernyataan ESDM harga Pertalite tetap hingga akhir 2026; data migrasi Pertamax ke Pertalite BPH Migas Juli 2026]. Yang keempat soal hilirisasi dan KEK. Fasilitas KEK berdasarkan PP 71/2021 terus menarik tenant ke JIIPE. Investasi kumulatif yang dilaporkan Rp111,5 triliun sampai akhir 2025 (AKR Corporindo, 2026a, hlm. 12, 280), meskipun angka ini beda basis dengan Rp87 triliun per kuartal I 2025 (hlm. 120) dan Rp52 triliun sejak 2021 (AKR Corporindo, 2026b, hlm. 36) [VERIFIKASI: basis perhitungan].</w:t>
      </w:r>
    </w:p>
    <w:bookmarkEnd w:id="52"/>
    <w:bookmarkStart w:id="53" w:name="dampak-terukur-pada-akr"/>
    <w:p>
      <w:pPr>
        <w:pStyle w:val="Heading3"/>
      </w:pPr>
      <w:r>
        <w:t xml:space="preserve">4.1.2 Dampak Terukur pada AKR</w:t>
      </w:r>
    </w:p>
    <w:p>
      <w:pPr>
        <w:pStyle w:val="FirstParagraph"/>
      </w:pPr>
      <w:r>
        <w:t xml:space="preserve">[Fakta] Dampak pada ritel langsung terasa. bp AKR dengan 72 SPBU pada akhir 2025 kehilangan penjualan bensin selama kira-kira dua bulan, dan Laporan Tahunan sampai menulis</w:t>
      </w:r>
      <w:r>
        <w:t xml:space="preserve"> </w:t>
      </w:r>
      <w:r>
        <w:t xml:space="preserve">“</w:t>
      </w:r>
      <w:r>
        <w:t xml:space="preserve">optimizing import quota management</w:t>
      </w:r>
      <w:r>
        <w:t xml:space="preserve">”</w:t>
      </w:r>
      <w:r>
        <w:t xml:space="preserve"> </w:t>
      </w:r>
      <w:r>
        <w:t xml:space="preserve">sebagai fokus 2026 (AKR Corporindo, 2026a, hlm. 69, 140). [Fakta] Dampak pada BBM industri justru positif. Pendapatan Petroleum naik 18% menjadi Rp34.013 miliar dan laba kotor Trading and Distribution naik 14% menjadi Rp3.004 miliar, ditopang alokasi FAME terbesar di antara swasta dan penugasan BPH Migas 181.000 KL solar bersubsidi untuk 2026 (AKR Corporindo, 2026a, hlm. 68, 115, 120, 411). [Fakta] Dampak pada JIIPE sangat positif. Penjualan lahan 84 ha dan pendapatan segmen Rp2.741 miliar (naik 99%) datang dari masuknya smelter Freeport, Xinyi, Hailiang, dan Golden Elephant, yang semuanya memakai fasilitas KEK (AKR Corporindo, 2026a, hlm. 117–118, 120). [Fakta] Laporan Tahunan sendiri mencantumkan pembatasan impor, skema subsidi, dan perizinan sebagai risiko utama, dan mengakui bahwa kontrak distribusi BBM bergantung pada tender dan deregulasi pemerintah (AKR Corporindo, 2026a, hlm. 236). Dewan Komisaris menyebut</w:t>
      </w:r>
      <w:r>
        <w:t xml:space="preserve"> </w:t>
      </w:r>
      <w:r>
        <w:rPr>
          <w:iCs/>
          <w:i/>
        </w:rPr>
        <w:t xml:space="preserve">regulatory changes</w:t>
      </w:r>
      <w:r>
        <w:t xml:space="preserve"> </w:t>
      </w:r>
      <w:r>
        <w:t xml:space="preserve">sebagai salah satu risiko kunci (hlm. 41). [Inferensi] Jadi pada 2025 faktor pemerintah menguntungkan BBM industri dan JIIPE, tetapi merugikan ritel. Ketiga arah dampak itu berasal dari keputusan administratif yang sama-sama bisa berubah dalam satu tahun anggaran.</w:t>
      </w:r>
    </w:p>
    <w:bookmarkEnd w:id="53"/>
    <w:bookmarkStart w:id="54" w:name="key-factor-penyebab"/>
    <w:p>
      <w:pPr>
        <w:pStyle w:val="Heading3"/>
      </w:pPr>
      <w:r>
        <w:t xml:space="preserve">4.1.3 Key Factor Penyebab</w:t>
      </w:r>
    </w:p>
    <w:p>
      <w:pPr>
        <w:pStyle w:val="FirstParagraph"/>
      </w:pPr>
      <w:r>
        <w:t xml:space="preserve">Gejala yang terlihat adalah kuota yang habis, mandatori yang naik, dan insentif KEK yang menarik tenant. Penyebabnya ada tiga kekuatan di luar kendali AKR. [Inferensi] Yang pertama tekanan fiskal subsidi energi. Dartanto (2013,</w:t>
      </w:r>
      <w:r>
        <w:t xml:space="preserve"> </w:t>
      </w:r>
      <w:r>
        <w:rPr>
          <w:iCs/>
          <w:i/>
        </w:rPr>
        <w:t xml:space="preserve">Energy Policy</w:t>
      </w:r>
      <w:r>
        <w:t xml:space="preserve">, SJR Q1) menunjukkan lewat simulasi bahwa subsidi BBM Indonesia lebih dinikmati kelompok mampu dan membebani fiskal, tetapi mencabutnya tanpa kompensasi menaikkan kemiskinan. Pemerintah akhirnya memilih jalan tengah: harga eceran bersubsidi ditahan, volume impor dikendalikan, dan substitusi domestik didorong. Burke dan Kurniawati (2018,</w:t>
      </w:r>
      <w:r>
        <w:t xml:space="preserve"> </w:t>
      </w:r>
      <w:r>
        <w:rPr>
          <w:iCs/>
          <w:i/>
        </w:rPr>
        <w:t xml:space="preserve">Energy Policy</w:t>
      </w:r>
      <w:r>
        <w:t xml:space="preserve">, SJR Q1) membuktikan pada kasus reformasi subsidi listrik Indonesia bahwa kenaikan harga memang menurunkan konsumsi secara berarti. Artinya pemerintah tahu harga adalah alat pengendali permintaan, tetapi memilih menahannya karena biaya politiknya, sehingga bebannya pindah ke kompensasi dan ke pembatasan jatah bagi swasta. Yang kedua agenda ketahanan energi dan substitusi impor. B50, target penghentian impor bensin seiring RDMP Balikpapan [VERIFIKASI: pernyataan resmi target 2027], dan prioritas pada kilang Pertamina menjadikan impor swasta sebagai variabel penyeimbang yang dikendalikan ketat. Henisz (2000) menjelaskan kenapa aturan seperti ini bisa berubah cepat di negara dengan rem institusional yang sedikit. Yang ketiga nasionalisme sumber daya dan hilirisasi. Warburton (2017,</w:t>
      </w:r>
      <w:r>
        <w:t xml:space="preserve"> </w:t>
      </w:r>
      <w:r>
        <w:rPr>
          <w:iCs/>
          <w:i/>
        </w:rPr>
        <w:t xml:space="preserve">Journal of East Asian Studies</w:t>
      </w:r>
      <w:r>
        <w:t xml:space="preserve">, SJR: VERIFIKASI) menunjukkan kebijakan hilirisasi Indonesia lahir dari koalisi politik domestik yang bertahan lintas pemerintahan, jadi insentif KEK untuk smelter bukan kebijakan musiman. Frick et al. (2019) menambahkan bahwa KEK yang menyediakan pelabuhan dan energi, bukan sekadar potongan pajak, yang berhasil menarik investasi.</w:t>
      </w:r>
    </w:p>
    <w:bookmarkEnd w:id="54"/>
    <w:bookmarkStart w:id="55" w:name="key-action"/>
    <w:p>
      <w:pPr>
        <w:pStyle w:val="Heading3"/>
      </w:pPr>
      <w:r>
        <w:t xml:space="preserve">4.1.4 Key Action</w:t>
      </w:r>
    </w:p>
    <w:p>
      <w:pPr>
        <w:pStyle w:val="FirstParagraph"/>
      </w:pPr>
      <w:r>
        <w:t xml:space="preserve">[Rekomendasi] Ada tiga tindakan yang penulis usulkan. Satu, melembagakan strategi nonpasar (Baron, 1995) dengan membentuk fungsi</w:t>
      </w:r>
      <w:r>
        <w:t xml:space="preserve"> </w:t>
      </w:r>
      <w:r>
        <w:rPr>
          <w:iCs/>
          <w:i/>
        </w:rPr>
        <w:t xml:space="preserve">Regulatory Affairs &amp; Energy Policy</w:t>
      </w:r>
      <w:r>
        <w:t xml:space="preserve"> </w:t>
      </w:r>
      <w:r>
        <w:t xml:space="preserve">di bawah Direktur Utama. Fungsi ini menyerahkan data kebutuhan pasokan ritel ke ESDM setiap semester, sejalan dengan permintaan pemerintah agar badan usaha menilai kebutuhan impornya sebagai dasar kebijakan 2026 (AKR Corporindo, 2026a, hlm. 140). Pemilik: Direktur Utama dan Sekretaris Perusahaan. Waktu: 0–6 bulan. Ukuran: kuota 2027 disetujui sebelum 31 Desember 2026, dan nol hari kehabisan stok bensin di bp AKR. Dua, mengurangi ketergantungan ritel pada impor lewat kontrak pasokan</w:t>
      </w:r>
      <w:r>
        <w:t xml:space="preserve"> </w:t>
      </w:r>
      <w:r>
        <w:rPr>
          <w:iCs/>
          <w:i/>
        </w:rPr>
        <w:t xml:space="preserve">base fuel</w:t>
      </w:r>
      <w:r>
        <w:t xml:space="preserve"> </w:t>
      </w:r>
      <w:r>
        <w:t xml:space="preserve">jangka panjang dengan Pertamina Patra Niaga dan uji kelayakan pencampuran domestik di terminal AKR, sehingga kuota menjadi pelengkap, bukan satu-satunya sumber. Pemilik: Direktur Trading &amp; Distribution dan Direksi PT Aneka Petroindo Raya. Waktu: 6–18 bulan. Ukuran: porsi pasokan non-kuota minimal 30% volume bp AKR [ESTIMASI: target penulis]. Tiga, mengamankan kepastian KEK dan ketenagalistrikan JIIPE dengan mengajukan perpanjangan fasilitas tenant dan kepastian aturan penjualan listrik EBT dalam wilayah usaha BKMS kepada Administrator KEK dan Kementerian ESDM. Pemilik: Direksi BKMS. Waktu: 6–18 bulan. Ukuran: surat kepastian regulasi untuk skema energi hijau JIIPE.</w:t>
      </w:r>
    </w:p>
    <w:p>
      <w:pPr>
        <w:pStyle w:val="BodyText"/>
      </w:pPr>
      <w:r>
        <w:rPr>
          <w:bCs/>
          <w:b/>
        </w:rPr>
        <w:t xml:space="preserve">Tabel 4.1 Ancaman, peluang, dan implikasi strategis faktor Pemerintah dan Regulasi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Ancaman</w:t>
            </w:r>
          </w:p>
        </w:tc>
        <w:tc>
          <w:tcPr/>
          <w:p>
            <w:pPr>
              <w:pStyle w:val="Compact"/>
              <w:jc w:val="left"/>
            </w:pPr>
            <w:r>
              <w:t xml:space="preserve">Peluang</w:t>
            </w:r>
          </w:p>
        </w:tc>
        <w:tc>
          <w:tcPr/>
          <w:p>
            <w:pPr>
              <w:pStyle w:val="Compact"/>
              <w:jc w:val="left"/>
            </w:pPr>
            <w:r>
              <w:t xml:space="preserve">Implikasi Strategis</w:t>
            </w:r>
          </w:p>
        </w:tc>
      </w:tr>
      <w:tr>
        <w:tc>
          <w:tcPr/>
          <w:p>
            <w:pPr>
              <w:pStyle w:val="Compact"/>
              <w:jc w:val="left"/>
            </w:pPr>
            <w:r>
              <w:t xml:space="preserve">Kuota impor ritel bisa dipangkas lagi; penugasan BPH Migas bergantung tender tahunan; perubahan skema kompensasi bisa menunda arus kas</w:t>
            </w:r>
          </w:p>
        </w:tc>
        <w:tc>
          <w:tcPr/>
          <w:p>
            <w:pPr>
              <w:pStyle w:val="Compact"/>
              <w:jc w:val="left"/>
            </w:pPr>
            <w:r>
              <w:t xml:space="preserve">B50 menaikkan volume FAME yang disalurkan AKR; KEK dan hilirisasi menarik tenant yang boros energi ke JIIPE; pemerintah butuh swasta yang andal untuk BBM Satu Harga</w:t>
            </w:r>
          </w:p>
        </w:tc>
        <w:tc>
          <w:tcPr/>
          <w:p>
            <w:pPr>
              <w:pStyle w:val="Compact"/>
              <w:jc w:val="left"/>
            </w:pPr>
            <w:r>
              <w:t xml:space="preserve">Perlakukan kebijakan sebagai sesuatu yang bisa ikut dibentuk; percepat porsi pendapatan yang tidak bergantung kuota (utilitas JIIPE, logistik); jadikan keandalan menjalankan penugasan sebagai modal reputasi</w:t>
            </w:r>
          </w:p>
        </w:tc>
      </w:tr>
    </w:tbl>
    <w:p>
      <w:pPr>
        <w:pStyle w:val="BodyText"/>
      </w:pPr>
      <w:r>
        <w:t xml:space="preserve">Sumber: analisis penulis.</w:t>
      </w:r>
    </w:p>
    <w:bookmarkEnd w:id="55"/>
    <w:bookmarkEnd w:id="56"/>
    <w:bookmarkStart w:id="61" w:name="faktor-ekonomi"/>
    <w:p>
      <w:pPr>
        <w:pStyle w:val="Heading2"/>
      </w:pPr>
      <w:r>
        <w:t xml:space="preserve">4.2 Faktor Ekonomi</w:t>
      </w:r>
    </w:p>
    <w:bookmarkStart w:id="57" w:name="issue-20242026-1"/>
    <w:p>
      <w:pPr>
        <w:pStyle w:val="Heading3"/>
      </w:pPr>
      <w:r>
        <w:t xml:space="preserve">4.2.1 Issue 2024–2026</w:t>
      </w:r>
    </w:p>
    <w:p>
      <w:pPr>
        <w:pStyle w:val="FirstParagraph"/>
      </w:pPr>
      <w:r>
        <w:t xml:space="preserve">[Fakta] Ekonomi Indonesia tumbuh 5,11% pada 2025 di tengah perang tarif, ketegangan geopolitik, dan harga energi yang naik turun (AKR Corporindo, 2026a, hlm. 44). [Fakta] Pada akhir Februari 2026 serangan udara Amerika Serikat dan Israel ke Iran mengganggu pasokan minyak dan gas. AKR mencatatnya sebagai peristiwa penting setelah tanggal laporan auditor (AKR Corporindo, 2026a, hlm. 138). Pertamina lalu menaikkan harga Pertamax Turbo, Dexlite, dan Pertamina Dex pada 18 April 2026 dengan alasan gangguan Selat Hormuz (Kompas, 18 April 2026). [Fakta] Kementerian Keuangan melaporkan rata-rata ICP USD 91,9 per barel dan kurs Rp17.449 per dolar AS sampai September 2026 (ANTARA, 9 Oktober 2026). [Fakta] Tambang adalah pelanggan utama BBM industri AKR, dan pemerintah menargetkan produksi batu bara 2026 di bawah 700 juta ton (AKR Corporindo, 2026a, hlm. 136, 140).</w:t>
      </w:r>
    </w:p>
    <w:bookmarkEnd w:id="57"/>
    <w:bookmarkStart w:id="58" w:name="dampak-terukur-pada-akr-1"/>
    <w:p>
      <w:pPr>
        <w:pStyle w:val="Heading3"/>
      </w:pPr>
      <w:r>
        <w:t xml:space="preserve">4.2.2 Dampak Terukur pada AKR</w:t>
      </w:r>
    </w:p>
    <w:p>
      <w:pPr>
        <w:pStyle w:val="FirstParagraph"/>
      </w:pPr>
      <w:r>
        <w:t xml:space="preserve">[Fakta] Pendapatan AKR mengikuti harga minyak. Naik 85% pada 2022, turun pada 2023–2024, lalu naik 19% pada 2025. Laba kotornya bergerak jauh lebih sempit (Tabel 3.2). [Fakta] Penjelasannya ada pada model harga berbasis formula dengan prinsip</w:t>
      </w:r>
      <w:r>
        <w:t xml:space="preserve"> </w:t>
      </w:r>
      <w:r>
        <w:rPr>
          <w:iCs/>
          <w:i/>
        </w:rPr>
        <w:t xml:space="preserve">zero net open position</w:t>
      </w:r>
      <w:r>
        <w:t xml:space="preserve"> </w:t>
      </w:r>
      <w:r>
        <w:t xml:space="preserve">yang memindahkan risiko harga dan kurs ke pelanggan (AKR Corporindo, 2026a, hlm. 115; AKR Corporindo, 2026b, hlm. 76). Catatan laporan keuangan menyebut penjualan BBM menyumbang lebih dari 50% penjualan dan perusahaan mengandalkan lindung nilai alami (AKR Corporindo, 2026a, hlm. 429). [Fakta] Yang tidak terlindungi adalah modal kerja. Piutang usaha naik 37% menjadi Rp10.769 miliar pada 2025 seiring kenaikan volume dan harga (AKR Corporindo, 2026a, hlm. 124). Arus kas operasi 2024 sempat anjlok ke Rp1.347 miliar sebelum pulih ke Rp3.941 miliar pada 2025 (hlm. 26). [Inferensi] Guncangan harga 2026 kemungkinan besar menaikkan pendapatan nominal dan laba kotor per liter dalam rupiah. Ini cocok dengan laba sembilan bulan 2026 yang dilaporkan tumbuh 34% (Kontan, Oktober 2026) [VERIFIKASI]. Tetapi guncangan yang sama menaikkan kebutuhan modal kerja dan risiko kredit pelanggan tambang. [Inferensi] Di JIIPE, siklus komoditas menentukan kapan tenant logam berani memutuskan investasi.</w:t>
      </w:r>
    </w:p>
    <w:bookmarkEnd w:id="58"/>
    <w:bookmarkStart w:id="59" w:name="key-factor-penyebab-1"/>
    <w:p>
      <w:pPr>
        <w:pStyle w:val="Heading3"/>
      </w:pPr>
      <w:r>
        <w:t xml:space="preserve">4.2.3 Key Factor Penyebab</w:t>
      </w:r>
    </w:p>
    <w:p>
      <w:pPr>
        <w:pStyle w:val="FirstParagraph"/>
      </w:pPr>
      <w:r>
        <w:t xml:space="preserve">Gejalanya adalah pendapatan yang naik turun, piutang yang membengkak, dan harga eceran yang naik. [Inferensi] Penyebab pertama adalah guncangan pasokan minyak dunia yang bersifat geopolitik. Kilian (2009) menunjukkan guncangan dari sisi pasokan menaikkan harga tetapi menekan ekonomi negara pengimpor, berbeda dari guncangan permintaan yang dibarengi pertumbuhan. Gangguan Hormuz 2026 termasuk guncangan pasokan, jadi harga naik tanpa permintaan pelanggan AKR ikut naik. Hamilton (2009) menunjukkan guncangan seperti ini menekan konsumsi rumah tangga, yang bagi AKR berarti tekanan pada volume ritel bp AKR. Penyebab kedua adalah jalur kurs. Basher et al. (2012) menemukan kenaikan harga minyak melemahkan kurs negara pengimpor. Pelemahan rupiah ke Rp17.449 menaikkan harga beli impor dalam rupiah, dan lewat formula, menaikkan nilai piutang serta kebutuhan dana modal kerja. Penyebab ketiga adalah struktur</w:t>
      </w:r>
      <w:r>
        <w:t xml:space="preserve"> </w:t>
      </w:r>
      <w:r>
        <w:rPr>
          <w:iCs/>
          <w:i/>
        </w:rPr>
        <w:t xml:space="preserve">pass-through</w:t>
      </w:r>
      <w:r>
        <w:t xml:space="preserve"> </w:t>
      </w:r>
      <w:r>
        <w:t xml:space="preserve">yang diatur negara. Borenstein et al. (1997) menunjukkan harga eceran di pasar bebas naik cepat dan turun lambat. Di Indonesia polanya dibalik oleh negara: harga bersubsidi tidak naik dan harga nonsubsidi naik dengan jeda, sehingga permintaan pindah ke produk bersubsidi dan bebannya ditanggung APBN. Froot et al. (1993) menjelaskan kenapa lindung nilai arus kas tetap penting walaupun margin per unit sudah berbasis formula: supaya kemampuan berinvestasi tetap terjaga saat pendanaan dari luar sedang mahal.</w:t>
      </w:r>
    </w:p>
    <w:bookmarkEnd w:id="59"/>
    <w:bookmarkStart w:id="60" w:name="key-action-1"/>
    <w:p>
      <w:pPr>
        <w:pStyle w:val="Heading3"/>
      </w:pPr>
      <w:r>
        <w:t xml:space="preserve">4.2.4 Key Action</w:t>
      </w:r>
    </w:p>
    <w:p>
      <w:pPr>
        <w:pStyle w:val="FirstParagraph"/>
      </w:pPr>
      <w:r>
        <w:t xml:space="preserve">[Rekomendasi] Tiga tindakan. Satu, menetapkan kebijakan modal kerja berbasis skenario harga, dengan fasilitas kredit siaga setara 15% piutang puncak dan lindung nilai kurs untuk eksposur impor yang belum tertagih [ESTIMASI: parameter penulis]. Pemilik: Direktur Keuangan. Waktu: 0–6 bulan. Ukuran: siklus konversi kas di bawah 30 hari dan nol pelanggaran kovenan. Dua, menggeser bauran pelanggan industri dari tambang batu bara ke smelter, pembangkit, dan tenant JIIPE yang permintaannya lebih stabil. Pemilik: Direktur Trading &amp; Distribution. Waktu: 6–18 bulan. Ukuran: porsi volume di luar batu bara naik 10 poin persentase [ESTIMASI]. Tiga, memasukkan klausul penyesuaian kurs dan harga ke kontrak jual lahan dan utilitas JIIPE supaya siklus komoditas tenant tidak menggerus margin kawasan. Pemilik: Direksi BKMS. Waktu: 6–18 bulan. Ukuran: semua kontrak baru memuat klausul penyesuaian.</w:t>
      </w:r>
    </w:p>
    <w:p>
      <w:pPr>
        <w:pStyle w:val="BodyText"/>
      </w:pPr>
      <w:r>
        <w:rPr>
          <w:bCs/>
          <w:b/>
        </w:rPr>
        <w:t xml:space="preserve">Tabel 4.2 Ancaman, peluang, dan implikasi strategis faktor Ekonomi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Ancaman</w:t>
            </w:r>
          </w:p>
        </w:tc>
        <w:tc>
          <w:tcPr/>
          <w:p>
            <w:pPr>
              <w:pStyle w:val="Compact"/>
              <w:jc w:val="left"/>
            </w:pPr>
            <w:r>
              <w:t xml:space="preserve">Peluang</w:t>
            </w:r>
          </w:p>
        </w:tc>
        <w:tc>
          <w:tcPr/>
          <w:p>
            <w:pPr>
              <w:pStyle w:val="Compact"/>
              <w:jc w:val="left"/>
            </w:pPr>
            <w:r>
              <w:t xml:space="preserve">Implikasi Strategis</w:t>
            </w:r>
          </w:p>
        </w:tc>
      </w:tr>
      <w:tr>
        <w:tc>
          <w:tcPr/>
          <w:p>
            <w:pPr>
              <w:pStyle w:val="Compact"/>
              <w:jc w:val="left"/>
            </w:pPr>
            <w:r>
              <w:t xml:space="preserve">Guncangan pasokan minyak menaikkan modal kerja dan risiko kredit; rupiah melemah; tambang batu bara melambat sehingga volume industri turun</w:t>
            </w:r>
          </w:p>
        </w:tc>
        <w:tc>
          <w:tcPr/>
          <w:p>
            <w:pPr>
              <w:pStyle w:val="Compact"/>
              <w:jc w:val="left"/>
            </w:pPr>
            <w:r>
              <w:t xml:space="preserve">Harga tinggi menaikkan laba kotor nominal berbasis formula; hilirisasi logam menopang permintaan energi industri; neraca kas bersih memungkinkan membeli aset saat pesaing kesulitan</w:t>
            </w:r>
          </w:p>
        </w:tc>
        <w:tc>
          <w:tcPr/>
          <w:p>
            <w:pPr>
              <w:pStyle w:val="Compact"/>
              <w:jc w:val="left"/>
            </w:pPr>
            <w:r>
              <w:t xml:space="preserve">Pertahankan disiplin</w:t>
            </w:r>
            <w:r>
              <w:t xml:space="preserve"> </w:t>
            </w:r>
            <w:r>
              <w:rPr>
                <w:iCs/>
                <w:i/>
              </w:rPr>
              <w:t xml:space="preserve">net open position</w:t>
            </w:r>
            <w:r>
              <w:t xml:space="preserve"> </w:t>
            </w:r>
            <w:r>
              <w:t xml:space="preserve">nol; kelola modal kerja sebagai risiko utama, bukan harga; percepat pendapatan berulang yang tidak ikut harga minyak</w:t>
            </w:r>
          </w:p>
        </w:tc>
      </w:tr>
    </w:tbl>
    <w:p>
      <w:pPr>
        <w:pStyle w:val="BodyText"/>
      </w:pPr>
      <w:r>
        <w:t xml:space="preserve">Sumber: analisis penulis.</w:t>
      </w:r>
    </w:p>
    <w:bookmarkEnd w:id="60"/>
    <w:bookmarkEnd w:id="61"/>
    <w:bookmarkStart w:id="66" w:name="X19fa34bbeac1645e912f933bca467b515958f25"/>
    <w:p>
      <w:pPr>
        <w:pStyle w:val="Heading2"/>
      </w:pPr>
      <w:r>
        <w:t xml:space="preserve">4.3 Faktor Teknologi dan Lingkungan (Transisi Energi)</w:t>
      </w:r>
    </w:p>
    <w:bookmarkStart w:id="62" w:name="issue-20242026-2"/>
    <w:p>
      <w:pPr>
        <w:pStyle w:val="Heading3"/>
      </w:pPr>
      <w:r>
        <w:t xml:space="preserve">4.3.1 Issue 2024–2026</w:t>
      </w:r>
    </w:p>
    <w:p>
      <w:pPr>
        <w:pStyle w:val="FirstParagraph"/>
      </w:pPr>
      <w:r>
        <w:t xml:space="preserve">[Fakta] Pangsa kendaraan elektrifikasi (HEV, PHEV, BEV) mencapai 26,8% dari pasar mobil nasional pada semester I 2026. BEV sendiri 15,9% atau 69.739 unit, naik sekitar 81% dari tahun sebelumnya (Kompas, 14 Juli 2026). [Fakta] Mandatori B50 berlaku 1 Juli 2026 dan mengubah spesifikasi solar yang disalurkan semua distributor (CNBC Indonesia, 1 Juli 2026). [Fakta] Di JIIPE, tenant eksportir menghadapi tuntutan karbon dari rantai pasoknya. Golden Elephant memproduksi asam nitrat dan amonium nitrat (AKR Corporindo, 2026a, hlm. 120), produk yang masuk cakupan</w:t>
      </w:r>
      <w:r>
        <w:t xml:space="preserve"> </w:t>
      </w:r>
      <w:r>
        <w:rPr>
          <w:iCs/>
          <w:i/>
        </w:rPr>
        <w:t xml:space="preserve">Carbon Border Adjustment Mechanism</w:t>
      </w:r>
      <w:r>
        <w:t xml:space="preserve"> </w:t>
      </w:r>
      <w:r>
        <w:t xml:space="preserve">Uni Eropa pada tahap definitif sejak 2026 [VERIFIKASI: Regulation (EU) 2023/956, Annex I]. Pabrik kaca surya dan</w:t>
      </w:r>
      <w:r>
        <w:t xml:space="preserve"> </w:t>
      </w:r>
      <w:r>
        <w:rPr>
          <w:iCs/>
          <w:i/>
        </w:rPr>
        <w:t xml:space="preserve">copper foil</w:t>
      </w:r>
      <w:r>
        <w:t xml:space="preserve"> </w:t>
      </w:r>
      <w:r>
        <w:t xml:space="preserve">melayani rantai pasok panel surya dan baterai yang meminta deklarasi jejak karbon [VERIFIKASI: EU Battery Regulation 2023/1542]. [Fakta] Posisi AKR sendiri: emisi Scope 1 dan 2 tahun 2025 sebesar 50.124 tCO₂e (2024: 53.596), Scope 3 sebesar 64.281 tCO₂e (2024: 91.637), bauran EBT internal 26% dengan target 30% pada 2030. AKR belum punya target</w:t>
      </w:r>
      <w:r>
        <w:t xml:space="preserve"> </w:t>
      </w:r>
      <w:r>
        <w:rPr>
          <w:iCs/>
          <w:i/>
        </w:rPr>
        <w:t xml:space="preserve">net zero</w:t>
      </w:r>
      <w:r>
        <w:t xml:space="preserve"> </w:t>
      </w:r>
      <w:r>
        <w:t xml:space="preserve">korporat yang berangka, meskipun menyatakan mendukung target nasional 2060. Peringkat MSCI ESG naik dari A ke AA dan skor Sustainalytics 20,9 (AKR Corporindo, 2026b, hlm. 7, 52, 164; AKR Corporindo, 2026a, hlm. 41). [Fakta] Infrastruktur rendah karbon yang sudah direncanakan: PLTS JIIPE 56 MWp tahap pertama (masih studi kelayakan) menuju 148 MWp pada 2032, PLTS terapung 55 MW oleh BREN, dan terminal LNG bersama bp Gas &amp; Power yang ditargetkan beroperasi 2029 (AKR Corporindo, 2026b, hlm. 42, 61, 92).</w:t>
      </w:r>
    </w:p>
    <w:bookmarkEnd w:id="62"/>
    <w:bookmarkStart w:id="63" w:name="dampak-terukur-pada-akr-2"/>
    <w:p>
      <w:pPr>
        <w:pStyle w:val="Heading3"/>
      </w:pPr>
      <w:r>
        <w:t xml:space="preserve">4.3.2 Dampak Terukur pada AKR</w:t>
      </w:r>
    </w:p>
    <w:p>
      <w:pPr>
        <w:pStyle w:val="FirstParagraph"/>
      </w:pPr>
      <w:r>
        <w:t xml:space="preserve">[Inferensi] Dampak jangka pendek pada laba kecil. Sebesar 73% laba kotor datang dari pelanggan industri, tambang, dan pembangkit yang belum punya pengganti listrik dalam skala besar. B50 bahkan menambah volume FAME yang disalurkan AKR. [Inferensi] Dampak jangka menengah terasa di ritel. Stok kendaraan bensin masih dominan sampai 2030, tetapi pertumbuhan permintaan bensin di koridor perkotaan Jawa, tempat 72 SPBU bp AKR berada, akan melandai. [Fakta] Laporan Tahunan mengakui risiko industri berupa transisi ke energi bersih dan risiko teknologi berupa keterlambatan adopsi sistem digital (AKR Corporindo, 2026a, hlm. 236). Laporan Keberlanjutan menyebut</w:t>
      </w:r>
      <w:r>
        <w:t xml:space="preserve"> </w:t>
      </w:r>
      <w:r>
        <w:t xml:space="preserve">“</w:t>
      </w:r>
      <w:r>
        <w:t xml:space="preserve">Advancing EV ecosystem</w:t>
      </w:r>
      <w:r>
        <w:t xml:space="preserve">”</w:t>
      </w:r>
      <w:r>
        <w:t xml:space="preserve"> </w:t>
      </w:r>
      <w:r>
        <w:t xml:space="preserve">sebagai peluang pasar, tanpa rincian (AKR Corporindo, 2026b, hlm. 65). [Inferensi] Dampak terbesar sebenarnya berupa peluang. Pendapatan utilitas JIIPE Rp727 miliar yang tumbuh 129% (AKR Corporindo, 2026a, hlm. 117) datang dari tenant yang butuh listrik dan gas dalam jumlah besar, dan pembelinya menuntut bukti rendah karbon. Setiap kWh yang bisa dibuktikan rendah karbon harganya lebih tinggi daripada kWh biasa.</w:t>
      </w:r>
    </w:p>
    <w:bookmarkEnd w:id="63"/>
    <w:bookmarkStart w:id="64" w:name="key-factor-penyebab-2"/>
    <w:p>
      <w:pPr>
        <w:pStyle w:val="Heading3"/>
      </w:pPr>
      <w:r>
        <w:t xml:space="preserve">4.3.3 Key Factor Penyebab</w:t>
      </w:r>
    </w:p>
    <w:p>
      <w:pPr>
        <w:pStyle w:val="FirstParagraph"/>
      </w:pPr>
      <w:r>
        <w:t xml:space="preserve">Gejalanya adalah pangsa EV yang naik, mandatori biofuel, dan tenant yang minta energi rendah karbon. [Inferensi] Penyebab pertama adalah turunnya biaya teknologi yang mengikuti kurva S (Geroski, 2000) dan efek jaringan antara jumlah EV dan stasiun pengisian (Li et al., 2017). Sierzchula et al. (2014) menunjukkan insentif fiskal dan kerapatan pengisi daya menentukan adopsi. Hardman et al. (2018,</w:t>
      </w:r>
      <w:r>
        <w:t xml:space="preserve"> </w:t>
      </w:r>
      <w:r>
        <w:rPr>
          <w:iCs/>
          <w:i/>
        </w:rPr>
        <w:t xml:space="preserve">Transportation Research Part D</w:t>
      </w:r>
      <w:r>
        <w:t xml:space="preserve">, SJR Q1) merangkum bahwa konsumen menilai keandalan dan lokasi pengisian cepat di koridor antarkota sebagai penentu adopsi, dan itu persis lokasi SPBU bp AKR di jalan tol. Penyebab kedua adalah tekanan dari luar (Geels, 2002) berupa kebijakan iklim pembeli global yang diterjemahkan menjadi syarat rantai pasok. Dechezleprêtre dan Sato (2017) menunjukkan beda regulasi karbon antarnegara menggeser pola perdagangan, jadi tenant eksportir di Indonesia mencari pasokan energi yang bisa diaudit. Penyebab ketiga adalah hambatan struktural EBT di Indonesia. Maulidia et al. (2019,</w:t>
      </w:r>
      <w:r>
        <w:t xml:space="preserve"> </w:t>
      </w:r>
      <w:r>
        <w:rPr>
          <w:iCs/>
          <w:i/>
        </w:rPr>
        <w:t xml:space="preserve">Renewable and Sustainable Energy Reviews</w:t>
      </w:r>
      <w:r>
        <w:t xml:space="preserve">, SJR Q1) dan Burke et al. (2019,</w:t>
      </w:r>
      <w:r>
        <w:t xml:space="preserve"> </w:t>
      </w:r>
      <w:r>
        <w:rPr>
          <w:iCs/>
          <w:i/>
        </w:rPr>
        <w:t xml:space="preserve">Energy Policy</w:t>
      </w:r>
      <w:r>
        <w:t xml:space="preserve">, SJR Q1) menyebut monopoli wilayah usaha PLN, tarif, dan ketidakpastian regulasi sebagai penghambat utama. Hambatan ini justru membuat lisensi ketenagalistrikan 515 MW milik JIIPE menjadi aset yang langka. Penyebab keempat adalah mekanisme</w:t>
      </w:r>
      <w:r>
        <w:t xml:space="preserve"> </w:t>
      </w:r>
      <w:r>
        <w:rPr>
          <w:iCs/>
          <w:i/>
        </w:rPr>
        <w:t xml:space="preserve">stranded assets</w:t>
      </w:r>
      <w:r>
        <w:t xml:space="preserve"> </w:t>
      </w:r>
      <w:r>
        <w:t xml:space="preserve">(Mercure et al., 2018; Semieniuk et al., 2022,</w:t>
      </w:r>
      <w:r>
        <w:t xml:space="preserve"> </w:t>
      </w:r>
      <w:r>
        <w:rPr>
          <w:iCs/>
          <w:i/>
        </w:rPr>
        <w:t xml:space="preserve">Nature Climate Change</w:t>
      </w:r>
      <w:r>
        <w:t xml:space="preserve">, SJR Q1): penyebaran teknologi yang sudah berjalan menggerus nilai infrastruktur fosil hilir, termasuk terminal dan SPBU, dalam jangka panjang.</w:t>
      </w:r>
    </w:p>
    <w:bookmarkEnd w:id="64"/>
    <w:bookmarkStart w:id="65" w:name="key-action-2"/>
    <w:p>
      <w:pPr>
        <w:pStyle w:val="Heading3"/>
      </w:pPr>
      <w:r>
        <w:t xml:space="preserve">4.3.4 Key Action</w:t>
      </w:r>
    </w:p>
    <w:p>
      <w:pPr>
        <w:pStyle w:val="FirstParagraph"/>
      </w:pPr>
      <w:r>
        <w:t xml:space="preserve">[Rekomendasi] Tiga tindakan. Satu, menetapkan</w:t>
      </w:r>
      <w:r>
        <w:t xml:space="preserve"> </w:t>
      </w:r>
      <w:r>
        <w:rPr>
          <w:iCs/>
          <w:i/>
        </w:rPr>
        <w:t xml:space="preserve">baseline</w:t>
      </w:r>
      <w:r>
        <w:t xml:space="preserve"> </w:t>
      </w:r>
      <w:r>
        <w:t xml:space="preserve">emisi dan target intensitas karbon per segmen yang berangka, serta menyiapkan pelaporan sesuai IFRS S1/S2 yang sedang diadopsi di Indonesia [VERIFIKASI: tanggal efektif adopsi DSAK]. Pemilik: Komite ESG dan Direktur Keuangan. Waktu: 0–6 bulan. Ukuran: target intensitas disetujui Dewan Komisaris. Dua, memulai pilot stasiun multi-energi di dua SPBU bp AKR di rest area tol bersama mitra penyedia pengisian cepat, untuk menguji ekonomi ritel non-BBM. Pemilik: Direksi PT Aneka Petroindo Raya. Waktu: 6–18 bulan. Ukuran: pendapatan non-BBM 15% dari pendapatan gerai pilot [ESTIMASI]. Tiga, mempercepat keputusan investasi PLTS 56 MWp dan PLTS terapung 55 MW dengan kontrak jual listrik hijau yang ditandatangani tenant lebih dulu, bukan dibangun dulu baru dicari pembelinya. Pemilik: Direksi BKMS dan BREN. Waktu: 6–18 bulan. Ukuran: kontrak minimal 30 MW sebelum keputusan investasi akhir [ESTIMASI].</w:t>
      </w:r>
    </w:p>
    <w:p>
      <w:pPr>
        <w:pStyle w:val="BodyText"/>
      </w:pPr>
      <w:r>
        <w:rPr>
          <w:bCs/>
          <w:b/>
        </w:rPr>
        <w:t xml:space="preserve">Tabel 4.3 Ancaman, peluang, dan implikasi strategis faktor Teknologi dan Lingkungan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Ancaman</w:t>
            </w:r>
          </w:p>
        </w:tc>
        <w:tc>
          <w:tcPr/>
          <w:p>
            <w:pPr>
              <w:pStyle w:val="Compact"/>
              <w:jc w:val="left"/>
            </w:pPr>
            <w:r>
              <w:t xml:space="preserve">Peluang</w:t>
            </w:r>
          </w:p>
        </w:tc>
        <w:tc>
          <w:tcPr/>
          <w:p>
            <w:pPr>
              <w:pStyle w:val="Compact"/>
              <w:jc w:val="left"/>
            </w:pPr>
            <w:r>
              <w:t xml:space="preserve">Implikasi Strategis</w:t>
            </w:r>
          </w:p>
        </w:tc>
      </w:tr>
      <w:tr>
        <w:tc>
          <w:tcPr/>
          <w:p>
            <w:pPr>
              <w:pStyle w:val="Compact"/>
              <w:jc w:val="left"/>
            </w:pPr>
            <w:r>
              <w:t xml:space="preserve">Permintaan bensin ritel di koridor Jawa tergerus; terminal dan SPBU berisiko kehilangan nilai dalam jangka panjang; tuntutan pelaporan dan pembeli global tidak terpenuhi</w:t>
            </w:r>
          </w:p>
        </w:tc>
        <w:tc>
          <w:tcPr/>
          <w:p>
            <w:pPr>
              <w:pStyle w:val="Compact"/>
              <w:jc w:val="left"/>
            </w:pPr>
            <w:r>
              <w:t xml:space="preserve">Tenant eksportir JIIPE butuh energi rendah karbon yang bisa diaudit; B50 menambah volume FAME; lisensi 515 MW dan lahan JIIPE memungkinkan AKR menjadi penyedia utilitas hijau</w:t>
            </w:r>
          </w:p>
        </w:tc>
        <w:tc>
          <w:tcPr/>
          <w:p>
            <w:pPr>
              <w:pStyle w:val="Compact"/>
              <w:jc w:val="left"/>
            </w:pPr>
            <w:r>
              <w:t xml:space="preserve">Jadikan JIIPE ceruk transisi energi, bukan sekadar kawasan; ubah utilitas dari komoditas menjadi layanan bersertifikat; siapkan ritel untuk multi-energi secara bertahap</w:t>
            </w:r>
          </w:p>
        </w:tc>
      </w:tr>
    </w:tbl>
    <w:p>
      <w:pPr>
        <w:pStyle w:val="BodyText"/>
      </w:pPr>
      <w:r>
        <w:t xml:space="preserve">Sumber: analisis penulis.</w:t>
      </w:r>
    </w:p>
    <w:bookmarkEnd w:id="65"/>
    <w:bookmarkEnd w:id="66"/>
    <w:bookmarkStart w:id="67" w:name="sintesis-matriks-faktor-dan-interaksi"/>
    <w:p>
      <w:pPr>
        <w:pStyle w:val="Heading2"/>
      </w:pPr>
      <w:r>
        <w:t xml:space="preserve">4.4 Sintesis: Matriks Faktor dan Interaksi</w:t>
      </w:r>
    </w:p>
    <w:p>
      <w:pPr>
        <w:pStyle w:val="FirstParagraph"/>
      </w:pPr>
      <w:r>
        <w:rPr>
          <w:bCs/>
          <w:b/>
        </w:rPr>
        <w:t xml:space="preserve">Tabel 4.4 Matriks penilaian faktor eksternal (skor 1–5; 5 = paling tinggi)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Faktor</w:t>
            </w:r>
          </w:p>
        </w:tc>
        <w:tc>
          <w:tcPr/>
          <w:p>
            <w:pPr>
              <w:pStyle w:val="Compact"/>
              <w:jc w:val="left"/>
            </w:pPr>
            <w:r>
              <w:t xml:space="preserve">Magnitudo</w:t>
            </w:r>
          </w:p>
        </w:tc>
        <w:tc>
          <w:tcPr/>
          <w:p>
            <w:pPr>
              <w:pStyle w:val="Compact"/>
              <w:jc w:val="left"/>
            </w:pPr>
            <w:r>
              <w:t xml:space="preserve">Probabilitas</w:t>
            </w:r>
          </w:p>
        </w:tc>
        <w:tc>
          <w:tcPr/>
          <w:p>
            <w:pPr>
              <w:pStyle w:val="Compact"/>
              <w:jc w:val="left"/>
            </w:pPr>
            <w:r>
              <w:t xml:space="preserve">Kecepatan</w:t>
            </w:r>
          </w:p>
        </w:tc>
        <w:tc>
          <w:tcPr/>
          <w:p>
            <w:pPr>
              <w:pStyle w:val="Compact"/>
              <w:jc w:val="left"/>
            </w:pPr>
            <w:r>
              <w:t xml:space="preserve">Kontrolabilitas (5 = paling sulit dikendalikan)</w:t>
            </w:r>
          </w:p>
        </w:tc>
        <w:tc>
          <w:tcPr/>
          <w:p>
            <w:pPr>
              <w:pStyle w:val="Compact"/>
              <w:jc w:val="left"/>
            </w:pPr>
            <w:r>
              <w:t xml:space="preserve">Total</w:t>
            </w:r>
          </w:p>
        </w:tc>
        <w:tc>
          <w:tcPr/>
          <w:p>
            <w:pPr>
              <w:pStyle w:val="Compact"/>
              <w:jc w:val="left"/>
            </w:pPr>
            <w:r>
              <w:t xml:space="preserve">Alasan ringkas</w:t>
            </w:r>
          </w:p>
        </w:tc>
      </w:tr>
      <w:tr>
        <w:tc>
          <w:tcPr/>
          <w:p>
            <w:pPr>
              <w:pStyle w:val="Compact"/>
              <w:jc w:val="left"/>
            </w:pPr>
            <w:r>
              <w:t xml:space="preserve">Pemerintah &amp; Regulasi</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19</w:t>
            </w:r>
          </w:p>
        </w:tc>
        <w:tc>
          <w:tcPr/>
          <w:p>
            <w:pPr>
              <w:pStyle w:val="Compact"/>
              <w:jc w:val="left"/>
            </w:pPr>
            <w:r>
              <w:t xml:space="preserve">Menentukan volume (kuota, penugasan), produk (B50), harga (subsidi), dan insentif KEK; berubah tiap tahun; hanya bisa dipengaruhi sedikit lewat strategi nonpasar</w:t>
            </w:r>
          </w:p>
        </w:tc>
      </w:tr>
      <w:tr>
        <w:tc>
          <w:tcPr/>
          <w:p>
            <w:pPr>
              <w:pStyle w:val="Compact"/>
              <w:jc w:val="left"/>
            </w:pPr>
            <w:r>
              <w:t xml:space="preserve">Ekonomi</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17</w:t>
            </w:r>
          </w:p>
        </w:tc>
        <w:tc>
          <w:tcPr/>
          <w:p>
            <w:pPr>
              <w:pStyle w:val="Compact"/>
              <w:jc w:val="left"/>
            </w:pPr>
            <w:r>
              <w:t xml:space="preserve">Guncangan 2026 nyata dan berulang, tetapi margin dilindungi formula; dampak terbesar pada modal kerja yang masih bisa dikelola</w:t>
            </w:r>
          </w:p>
        </w:tc>
      </w:tr>
      <w:tr>
        <w:tc>
          <w:tcPr/>
          <w:p>
            <w:pPr>
              <w:pStyle w:val="Compact"/>
              <w:jc w:val="left"/>
            </w:pPr>
            <w:r>
              <w:t xml:space="preserve">Teknologi &amp; Lingkungan</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16</w:t>
            </w:r>
          </w:p>
        </w:tc>
        <w:tc>
          <w:tcPr/>
          <w:p>
            <w:pPr>
              <w:pStyle w:val="Compact"/>
              <w:jc w:val="left"/>
            </w:pPr>
            <w:r>
              <w:t xml:space="preserve">Paling cepat bergerak (BEV 15,9%), tetapi dampak laba jangka pendek kecil karena basis pelanggan industri; AKR bisa memilih posisinya lewat JIIPE</w:t>
            </w:r>
          </w:p>
        </w:tc>
      </w:tr>
    </w:tbl>
    <w:p>
      <w:pPr>
        <w:pStyle w:val="BodyText"/>
      </w:pPr>
      <w:r>
        <w:t xml:space="preserve">Sumber: penilaian penulis berdasarkan Bab 4.1 sampai 4.3.</w:t>
      </w:r>
    </w:p>
    <w:p>
      <w:pPr>
        <w:pStyle w:val="BodyText"/>
      </w:pPr>
      <w:r>
        <w:t xml:space="preserve">[Inferensi] Matriks ini menguatkan posisi Bab 2.5: faktor Pemerintah dan Regulasi adalah yang terpenting. Ketiga faktor juga saling memengaruhi. Faktor ekonomi memperkuat faktor pemerintah. Guncangan harga minyak 2026 menaikkan beban kompensasi 54,1%, dan itu menaikkan peluang pemerintah mengetatkan kuota impor swasta dan mempercepat substitusi domestik lewat B50. Faktor pemerintah menjadi perantara faktor teknologi. Cepat lambatnya EV dan EBT di Indonesia ditentukan insentif fiskal dan aturan ketenagalistrikan, sehingga kebijakan yang mendukung JIIPE sebagai KEK sekaligus membuka jalan bagi utilitas hijau di dalamnya. Faktor teknologi pada gilirannya mengubah faktor ekonomi jangka panjang: permintaan bensin tidak lagi tumbuh sejalan dengan pertumbuhan ekonomi. Bagi pemilihan inovasi, artinya usulan yang paling layak adalah yang mengurangi ketergantungan pada kuota (faktor 1), menghasilkan pendapatan berulang yang tidak ikut harga minyak (faktor 2), dan menjadikan transisi energi sebagai sumber pendapatan, bukan hanya risiko (faktor 3).</w:t>
      </w:r>
    </w:p>
    <w:p>
      <w:r>
        <w:br w:type="page"/>
      </w:r>
    </w:p>
    <w:bookmarkEnd w:id="67"/>
    <w:bookmarkStart w:id="71" w:name="tiga-alternatif-inovasi"/>
    <w:p>
      <w:pPr>
        <w:pStyle w:val="Heading2"/>
      </w:pPr>
      <w:r>
        <w:t xml:space="preserve">4.5 Tiga Alternatif Inovasi</w:t>
      </w:r>
    </w:p>
    <w:p>
      <w:pPr>
        <w:pStyle w:val="FirstParagraph"/>
      </w:pPr>
      <w:r>
        <w:t xml:space="preserve">Tiga alternatif di bawah ini dirumuskan dari interaksi faktor pada 4.4. Masing-masing menjawab kombinasi faktor yang berbeda, dan deskripsinya dipertajam supaya lolos uji kebaruan terhadap rencana resmi AKR.</w:t>
      </w:r>
    </w:p>
    <w:bookmarkStart w:id="68" w:name="Xc958075e3273c519e3c78b1bad38acc219ca676"/>
    <w:p>
      <w:pPr>
        <w:pStyle w:val="Heading3"/>
      </w:pPr>
      <w:r>
        <w:t xml:space="preserve">4.5.1 Alternatif A: JIIPE Low-Carbon Industrial Energy-as-a-Service</w:t>
      </w:r>
    </w:p>
    <w:p>
      <w:pPr>
        <w:pStyle w:val="FirstParagraph"/>
      </w:pPr>
      <w:r>
        <w:t xml:space="preserve">Deskripsi: BKMS bersama BREN dan BBE menawarkan paket energi industri berlangganan kepada tenant JIIPE. Isinya pasokan listrik dengan kadar rendah karbon yang dikontrak (misalnya 30%, 60%, atau</w:t>
      </w:r>
      <w:r>
        <w:t xml:space="preserve"> </w:t>
      </w:r>
      <w:r>
        <w:rPr>
          <w:iCs/>
          <w:i/>
        </w:rPr>
        <w:t xml:space="preserve">24/7 matched</w:t>
      </w:r>
      <w:r>
        <w:t xml:space="preserve">), sertifikat energi terbarukan (</w:t>
      </w:r>
      <w:r>
        <w:rPr>
          <w:iCs/>
          <w:i/>
        </w:rPr>
        <w:t xml:space="preserve">renewable energy certificate</w:t>
      </w:r>
      <w:r>
        <w:t xml:space="preserve">, REC) yang bisa dilacak, gas pipa dan nantinya LNG sebagai pasokan dasar, serta laporan emisi</w:t>
      </w:r>
      <w:r>
        <w:t xml:space="preserve"> </w:t>
      </w:r>
      <w:r>
        <w:rPr>
          <w:iCs/>
          <w:i/>
        </w:rPr>
        <w:t xml:space="preserve">Scope 2</w:t>
      </w:r>
      <w:r>
        <w:t xml:space="preserve"> </w:t>
      </w:r>
      <w:r>
        <w:t xml:space="preserve">metode berbasis pasar yang diverifikasi pihak ketiga dan siap dipakai untuk pelaporan ke pembeli global dan CBAM. Faktor yang dijawab: faktor 3 (permintaan energi rendah karbon tenant), faktor 1 (memanfaatkan lisensi 515 MW dan status KEK, mengurangi ketergantungan laba pada kuota), dan faktor 2 (pendapatan berulang berbasis kontrak yang tidak ikut harga minyak). Investasi [ESTIMASI]: PLTS darat 56 MWp sekitar Rp600–750 miliar dan PLTS terapung 55 MW sekitar Rp750–950 miliar (asumsi biaya USD 0,65–0,8 juta per MWp dan USD 0,8–1,0 juta per MW terapung pada kurs Rp16.500–17.500), ditambah meter pintar, platform data, dan sertifikasi sekitar Rp60–100 miliar. Totalnya Rp1,4–1,8 triliun selama tiga tahun. Pendanaan: kas internal Rp6,4 triliun dan arus kas operasi Rp3,9 triliun per tahun, ditambah pinjaman hijau atau obligasi berwawasan lingkungan sesuai Taksonomi untuk Keuangan Berkelanjutan Indonesia, dengan kemungkinan mitra ekuitas di tingkat proyek PLTS. Risiko utama: aturan ketenagalistrikan dalam wilayah usaha dan harga jual listrik EBT, integritas REC (dibahas di 4.7), dan kemungkinan tenant tidak mau tingkat premium.</w:t>
      </w:r>
    </w:p>
    <w:p>
      <w:pPr>
        <w:pStyle w:val="BodyText"/>
      </w:pPr>
      <w:r>
        <w:t xml:space="preserve">Uji kebaruan: AKR sudah merencanakan PLTS 56 MWp menuju 148 MWp, PLTS terapung 55 MW, LNG 2029, dan gas pipa BBE. AKR juga sudah menjual utilitas senilai Rp727 miliar (AKR Corporindo, 2026a, hlm. 117; AKR Corporindo, 2026b, hlm. 42, 61, 92), dan JTT sudah memakai REC untuk operasinya sendiri (AKR Corporindo, 2026b, hlm. 90). Batas kebaruan usulan ini ada pada model bisnisnya. Energi dijual sebagai layanan berkontrak dengan atribut karbon yang dijamin dan dilaporkan, bukan sebagai kWh dan gas. Pendapatan bergeser dari tarif per volume ke langganan bertingkat dan jasa pelaporan. Keputusan investasi PLTS dikunci oleh kontrak tenant, bukan dibangun dulu sambil berharap ada pembeli.</w:t>
      </w:r>
    </w:p>
    <w:bookmarkEnd w:id="68"/>
    <w:bookmarkStart w:id="69" w:name="X8dccc055b8e3f32c77d014c2cd6ffa296416458"/>
    <w:p>
      <w:pPr>
        <w:pStyle w:val="Heading3"/>
      </w:pPr>
      <w:r>
        <w:t xml:space="preserve">4.5.2 Alternatif B: bp AKR Multi-Energy Mobility Hub</w:t>
      </w:r>
    </w:p>
    <w:p>
      <w:pPr>
        <w:pStyle w:val="FirstParagraph"/>
      </w:pPr>
      <w:r>
        <w:t xml:space="preserve">Deskripsi: mengubah SPBU bp AKR di koridor logistik dan tol Jawa (Cipularang, Trans-Jawa, Pasuruan sampai Probolinggo) menjadi stasiun multi-energi yang menjual bensin, B50, pengisian cepat EV minimal 120 kW lewat kemitraan dengan operator pengisian, serta ritel non-BBM dan layanan armada logistik. Faktor yang dijawab: faktor 3 (elektrifikasi dan B50) dan sebagian faktor 1 (mengurangi ketergantungan gerai pada kuota bensin). Investasi [ESTIMASI]: Rp3–5 miliar per gerai untuk dua sampai empat pengisi cepat dan penataan ritel, atau Rp150–250 miliar untuk 50 gerai dalam tiga tahun, didanai bp AKR (50,1% AKR) dan mitra pengisian dengan bagi hasil. Risiko utama: pengisi daya sepi di tahun-tahun awal, persaingan dengan Pertamina dan operator pengisian independen yang sudah ada di rest area, dan tarif listrik untuk pengisian yang diatur. Uji kebaruan: AKR menyebut</w:t>
      </w:r>
      <w:r>
        <w:t xml:space="preserve"> </w:t>
      </w:r>
      <w:r>
        <w:t xml:space="preserve">“</w:t>
      </w:r>
      <w:r>
        <w:t xml:space="preserve">Advancing EV ecosystem</w:t>
      </w:r>
      <w:r>
        <w:t xml:space="preserve">”</w:t>
      </w:r>
      <w:r>
        <w:t xml:space="preserve"> </w:t>
      </w:r>
      <w:r>
        <w:t xml:space="preserve">sebagai peluang tanpa rincian dan sedang memperluas jaringan SPBU (AKR Corporindo, 2026b, hlm. 65; AKR Corporindo, 2026a, hlm. 50). Pertamina dan Shell sudah mengoperasikan pengisi daya di sebagian SPBU [VERIFIKASI: jumlah SPKLU di SPBU Pertamina dan Shell 2026]. Baru bagi AKR, tetapi tidak baru bagi industri. Sifatnya mengikuti pesaing.</w:t>
      </w:r>
    </w:p>
    <w:bookmarkEnd w:id="69"/>
    <w:bookmarkStart w:id="70" w:name="X31cdd4a94af058854c723d16761afc3bbf717ec"/>
    <w:p>
      <w:pPr>
        <w:pStyle w:val="Heading3"/>
      </w:pPr>
      <w:r>
        <w:t xml:space="preserve">4.5.3 Alternatif C: AKR Integrated Energy &amp; Chemical Logistics Platform</w:t>
      </w:r>
    </w:p>
    <w:p>
      <w:pPr>
        <w:pStyle w:val="FirstParagraph"/>
      </w:pPr>
      <w:r>
        <w:t xml:space="preserve">Deskripsi: membuka kapasitas tangki 820.400 KL, 19 pelabuhan, 14 kapal, dan 250 truk sebagai layanan logistik pihak ketiga berbasis data (</w:t>
      </w:r>
      <w:r>
        <w:rPr>
          <w:iCs/>
          <w:i/>
        </w:rPr>
        <w:t xml:space="preserve">logistics-as-a-service</w:t>
      </w:r>
      <w:r>
        <w:t xml:space="preserve">) untuk industri hilirisasi di Sulawesi dan Indonesia Timur. Ada platform digital yang menampilkan ketersediaan tangki dan jadwal kapal secara waktu nyata, kontrak</w:t>
      </w:r>
      <w:r>
        <w:t xml:space="preserve"> </w:t>
      </w:r>
      <w:r>
        <w:rPr>
          <w:iCs/>
          <w:i/>
        </w:rPr>
        <w:t xml:space="preserve">take-or-pay</w:t>
      </w:r>
      <w:r>
        <w:t xml:space="preserve">, dan integrasi dengan sistem pelanggan. Faktor yang dijawab: faktor 2 (pendapatan jasa yang tidak ikut harga minyak) dan faktor 1 (pendapatan di luar kuota). Investasi [ESTIMASI]: Rp400–700 miliar untuk tangki dan kapal tambahan di Morowali dan Bitung, ditambah Rp50 miliar platform, didanai kas internal. Risiko utama: rebutan kapasitas antara dagang sendiri dan pihak ketiga, margin logistik yang tipis (3,3% pada 2025), dan ketergantungan pada siklus smelter nikel. Uji kebaruan: AKR sudah menyewakan tangki lewat JTT, sudah memakai AI untuk perencanaan distribusi sejak 2025, dan sudah merencanakan ekspansi logistik ke Indonesia Timur (AKR Corporindo, 2026a, hlm. 50, 117, 141; AKR Corporindo, 2026b, hlm. 42). Yang baru adalah membuka kapasitas secara sistematis ke pihak ketiga lewat platform, tetapi marginnya tipis dan keunikannya terhadap pesaing logistik curah terbatas.</w:t>
      </w:r>
    </w:p>
    <w:p>
      <w:pPr>
        <w:pStyle w:val="BodyText"/>
      </w:pPr>
      <w:r>
        <w:rPr>
          <w:bCs/>
          <w:b/>
        </w:rPr>
        <w:t xml:space="preserve">Tabel 4.5 Ringkasan tiga alternatif inovasi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Aspek</w:t>
            </w:r>
          </w:p>
        </w:tc>
        <w:tc>
          <w:tcPr/>
          <w:p>
            <w:pPr>
              <w:pStyle w:val="Compact"/>
              <w:jc w:val="left"/>
            </w:pPr>
            <w:r>
              <w:t xml:space="preserve">A. Low-Carbon Industrial EaaS</w:t>
            </w:r>
          </w:p>
        </w:tc>
        <w:tc>
          <w:tcPr/>
          <w:p>
            <w:pPr>
              <w:pStyle w:val="Compact"/>
              <w:jc w:val="left"/>
            </w:pPr>
            <w:r>
              <w:t xml:space="preserve">B. Multi-Energy Mobility Hub</w:t>
            </w:r>
          </w:p>
        </w:tc>
        <w:tc>
          <w:tcPr/>
          <w:p>
            <w:pPr>
              <w:pStyle w:val="Compact"/>
              <w:jc w:val="left"/>
            </w:pPr>
            <w:r>
              <w:t xml:space="preserve">C. Logistics Platform</w:t>
            </w:r>
          </w:p>
        </w:tc>
      </w:tr>
      <w:tr>
        <w:tc>
          <w:tcPr/>
          <w:p>
            <w:pPr>
              <w:pStyle w:val="Compact"/>
              <w:jc w:val="left"/>
            </w:pPr>
            <w:r>
              <w:t xml:space="preserve">Faktor yang dijawab</w:t>
            </w:r>
          </w:p>
        </w:tc>
        <w:tc>
          <w:tcPr/>
          <w:p>
            <w:pPr>
              <w:pStyle w:val="Compact"/>
              <w:jc w:val="left"/>
            </w:pPr>
            <w:r>
              <w:t xml:space="preserve">1, 2, 3</w:t>
            </w:r>
          </w:p>
        </w:tc>
        <w:tc>
          <w:tcPr/>
          <w:p>
            <w:pPr>
              <w:pStyle w:val="Compact"/>
              <w:jc w:val="left"/>
            </w:pPr>
            <w:r>
              <w:t xml:space="preserve">3, sebagian 1</w:t>
            </w:r>
          </w:p>
        </w:tc>
        <w:tc>
          <w:tcPr/>
          <w:p>
            <w:pPr>
              <w:pStyle w:val="Compact"/>
              <w:jc w:val="left"/>
            </w:pPr>
            <w:r>
              <w:t xml:space="preserve">2, sebagian 1</w:t>
            </w:r>
          </w:p>
        </w:tc>
      </w:tr>
      <w:tr>
        <w:tc>
          <w:tcPr/>
          <w:p>
            <w:pPr>
              <w:pStyle w:val="Compact"/>
              <w:jc w:val="left"/>
            </w:pPr>
            <w:r>
              <w:t xml:space="preserve">Investasi 3 tahun [ESTIMASI]</w:t>
            </w:r>
          </w:p>
        </w:tc>
        <w:tc>
          <w:tcPr/>
          <w:p>
            <w:pPr>
              <w:pStyle w:val="Compact"/>
              <w:jc w:val="left"/>
            </w:pPr>
            <w:r>
              <w:t xml:space="preserve">Rp1,4–1,8 triliun</w:t>
            </w:r>
          </w:p>
        </w:tc>
        <w:tc>
          <w:tcPr/>
          <w:p>
            <w:pPr>
              <w:pStyle w:val="Compact"/>
              <w:jc w:val="left"/>
            </w:pPr>
            <w:r>
              <w:t xml:space="preserve">Rp150–250 miliar</w:t>
            </w:r>
          </w:p>
        </w:tc>
        <w:tc>
          <w:tcPr/>
          <w:p>
            <w:pPr>
              <w:pStyle w:val="Compact"/>
              <w:jc w:val="left"/>
            </w:pPr>
            <w:r>
              <w:t xml:space="preserve">Rp450–750 miliar</w:t>
            </w:r>
          </w:p>
        </w:tc>
      </w:tr>
      <w:tr>
        <w:tc>
          <w:tcPr/>
          <w:p>
            <w:pPr>
              <w:pStyle w:val="Compact"/>
              <w:jc w:val="left"/>
            </w:pPr>
            <w:r>
              <w:t xml:space="preserve">Sumber pendanaan</w:t>
            </w:r>
          </w:p>
        </w:tc>
        <w:tc>
          <w:tcPr/>
          <w:p>
            <w:pPr>
              <w:pStyle w:val="Compact"/>
              <w:jc w:val="left"/>
            </w:pPr>
            <w:r>
              <w:t xml:space="preserve">Kas internal, pinjaman hijau, mitra proyek</w:t>
            </w:r>
          </w:p>
        </w:tc>
        <w:tc>
          <w:tcPr/>
          <w:p>
            <w:pPr>
              <w:pStyle w:val="Compact"/>
              <w:jc w:val="left"/>
            </w:pPr>
            <w:r>
              <w:t xml:space="preserve">bp AKR dan mitra pengisian</w:t>
            </w:r>
          </w:p>
        </w:tc>
        <w:tc>
          <w:tcPr/>
          <w:p>
            <w:pPr>
              <w:pStyle w:val="Compact"/>
              <w:jc w:val="left"/>
            </w:pPr>
            <w:r>
              <w:t xml:space="preserve">Kas internal</w:t>
            </w:r>
          </w:p>
        </w:tc>
      </w:tr>
      <w:tr>
        <w:tc>
          <w:tcPr/>
          <w:p>
            <w:pPr>
              <w:pStyle w:val="Compact"/>
              <w:jc w:val="left"/>
            </w:pPr>
            <w:r>
              <w:t xml:space="preserve">Sifat pendapatan</w:t>
            </w:r>
          </w:p>
        </w:tc>
        <w:tc>
          <w:tcPr/>
          <w:p>
            <w:pPr>
              <w:pStyle w:val="Compact"/>
              <w:jc w:val="left"/>
            </w:pPr>
            <w:r>
              <w:t xml:space="preserve">Berulang, berkontrak multi-tahun</w:t>
            </w:r>
          </w:p>
        </w:tc>
        <w:tc>
          <w:tcPr/>
          <w:p>
            <w:pPr>
              <w:pStyle w:val="Compact"/>
              <w:jc w:val="left"/>
            </w:pPr>
            <w:r>
              <w:t xml:space="preserve">Transaksional, bergantung lalu lintas</w:t>
            </w:r>
          </w:p>
        </w:tc>
        <w:tc>
          <w:tcPr/>
          <w:p>
            <w:pPr>
              <w:pStyle w:val="Compact"/>
              <w:jc w:val="left"/>
            </w:pPr>
            <w:r>
              <w:t xml:space="preserve">Berulang,</w:t>
            </w:r>
            <w:r>
              <w:t xml:space="preserve"> </w:t>
            </w:r>
            <w:r>
              <w:rPr>
                <w:iCs/>
                <w:i/>
              </w:rPr>
              <w:t xml:space="preserve">take-or-pay</w:t>
            </w:r>
          </w:p>
        </w:tc>
      </w:tr>
      <w:tr>
        <w:tc>
          <w:tcPr/>
          <w:p>
            <w:pPr>
              <w:pStyle w:val="Compact"/>
              <w:jc w:val="left"/>
            </w:pPr>
            <w:r>
              <w:t xml:space="preserve">Risiko regulasi</w:t>
            </w:r>
          </w:p>
        </w:tc>
        <w:tc>
          <w:tcPr/>
          <w:p>
            <w:pPr>
              <w:pStyle w:val="Compact"/>
              <w:jc w:val="left"/>
            </w:pPr>
            <w:r>
              <w:t xml:space="preserve">Sedang (aturan ketenagalistrikan, REC)</w:t>
            </w:r>
          </w:p>
        </w:tc>
        <w:tc>
          <w:tcPr/>
          <w:p>
            <w:pPr>
              <w:pStyle w:val="Compact"/>
              <w:jc w:val="left"/>
            </w:pPr>
            <w:r>
              <w:t xml:space="preserve">Sedang sampai tinggi (kuota bensin, tarif pengisian)</w:t>
            </w:r>
          </w:p>
        </w:tc>
        <w:tc>
          <w:tcPr/>
          <w:p>
            <w:pPr>
              <w:pStyle w:val="Compact"/>
              <w:jc w:val="left"/>
            </w:pPr>
            <w:r>
              <w:t xml:space="preserve">Rendah</w:t>
            </w:r>
          </w:p>
        </w:tc>
      </w:tr>
      <w:tr>
        <w:tc>
          <w:tcPr/>
          <w:p>
            <w:pPr>
              <w:pStyle w:val="Compact"/>
              <w:jc w:val="left"/>
            </w:pPr>
            <w:r>
              <w:t xml:space="preserve">Kebaruan vs rencana resmi</w:t>
            </w:r>
          </w:p>
        </w:tc>
        <w:tc>
          <w:tcPr/>
          <w:p>
            <w:pPr>
              <w:pStyle w:val="Compact"/>
              <w:jc w:val="left"/>
            </w:pPr>
            <w:r>
              <w:t xml:space="preserve">Tinggi pada model bisnis</w:t>
            </w:r>
          </w:p>
        </w:tc>
        <w:tc>
          <w:tcPr/>
          <w:p>
            <w:pPr>
              <w:pStyle w:val="Compact"/>
              <w:jc w:val="left"/>
            </w:pPr>
            <w:r>
              <w:t xml:space="preserve">Sedang</w:t>
            </w:r>
          </w:p>
        </w:tc>
        <w:tc>
          <w:tcPr/>
          <w:p>
            <w:pPr>
              <w:pStyle w:val="Compact"/>
              <w:jc w:val="left"/>
            </w:pPr>
            <w:r>
              <w:t xml:space="preserve">Sedang</w:t>
            </w:r>
          </w:p>
        </w:tc>
      </w:tr>
    </w:tbl>
    <w:p>
      <w:pPr>
        <w:pStyle w:val="BodyText"/>
      </w:pPr>
      <w:r>
        <w:t xml:space="preserve">Sumber: analisis penulis.</w:t>
      </w:r>
    </w:p>
    <w:bookmarkEnd w:id="70"/>
    <w:bookmarkEnd w:id="71"/>
    <w:bookmarkStart w:id="72" w:name="matriks-pemilihan"/>
    <w:p>
      <w:pPr>
        <w:pStyle w:val="Heading2"/>
      </w:pPr>
      <w:r>
        <w:t xml:space="preserve">4.6 Matriks Pemilihan</w:t>
      </w:r>
    </w:p>
    <w:p>
      <w:pPr>
        <w:pStyle w:val="FirstParagraph"/>
      </w:pPr>
      <w:r>
        <w:rPr>
          <w:bCs/>
          <w:b/>
        </w:rPr>
        <w:t xml:space="preserve">Tabel 4.6 Matriks pemilihan alternatif inovasi (skor 1–5, berbobot)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Kriteria</w:t>
            </w:r>
          </w:p>
        </w:tc>
        <w:tc>
          <w:tcPr/>
          <w:p>
            <w:pPr>
              <w:pStyle w:val="Compact"/>
              <w:jc w:val="left"/>
            </w:pPr>
            <w:r>
              <w:t xml:space="preserve">Bobot</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A × bobot</w:t>
            </w:r>
          </w:p>
        </w:tc>
        <w:tc>
          <w:tcPr/>
          <w:p>
            <w:pPr>
              <w:pStyle w:val="Compact"/>
              <w:jc w:val="left"/>
            </w:pPr>
            <w:r>
              <w:t xml:space="preserve">B × bobot</w:t>
            </w:r>
          </w:p>
        </w:tc>
        <w:tc>
          <w:tcPr/>
          <w:p>
            <w:pPr>
              <w:pStyle w:val="Compact"/>
              <w:jc w:val="left"/>
            </w:pPr>
            <w:r>
              <w:t xml:space="preserve">C × bobot</w:t>
            </w:r>
          </w:p>
        </w:tc>
      </w:tr>
      <w:tr>
        <w:tc>
          <w:tcPr/>
          <w:p>
            <w:pPr>
              <w:pStyle w:val="Compact"/>
              <w:jc w:val="left"/>
            </w:pPr>
            <w:r>
              <w:t xml:space="preserve">Kesesuaian dengan tiga faktor prioritas</w:t>
            </w:r>
          </w:p>
        </w:tc>
        <w:tc>
          <w:tcPr/>
          <w:p>
            <w:pPr>
              <w:pStyle w:val="Compact"/>
              <w:jc w:val="left"/>
            </w:pPr>
            <w:r>
              <w:t xml:space="preserve">25%</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1,25</w:t>
            </w:r>
          </w:p>
        </w:tc>
        <w:tc>
          <w:tcPr/>
          <w:p>
            <w:pPr>
              <w:pStyle w:val="Compact"/>
              <w:jc w:val="left"/>
            </w:pPr>
            <w:r>
              <w:t xml:space="preserve">0,75</w:t>
            </w:r>
          </w:p>
        </w:tc>
        <w:tc>
          <w:tcPr/>
          <w:p>
            <w:pPr>
              <w:pStyle w:val="Compact"/>
              <w:jc w:val="left"/>
            </w:pPr>
            <w:r>
              <w:t xml:space="preserve">0,75</w:t>
            </w:r>
          </w:p>
        </w:tc>
      </w:tr>
      <w:tr>
        <w:tc>
          <w:tcPr/>
          <w:p>
            <w:pPr>
              <w:pStyle w:val="Compact"/>
              <w:jc w:val="left"/>
            </w:pPr>
            <w:r>
              <w:t xml:space="preserve">Kelayakan finansial (kapasitas neraca)</w:t>
            </w:r>
          </w:p>
        </w:tc>
        <w:tc>
          <w:tcPr/>
          <w:p>
            <w:pPr>
              <w:pStyle w:val="Compact"/>
              <w:jc w:val="left"/>
            </w:pPr>
            <w:r>
              <w:t xml:space="preserve">20%</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0,80</w:t>
            </w:r>
          </w:p>
        </w:tc>
        <w:tc>
          <w:tcPr/>
          <w:p>
            <w:pPr>
              <w:pStyle w:val="Compact"/>
              <w:jc w:val="left"/>
            </w:pPr>
            <w:r>
              <w:t xml:space="preserve">1,00</w:t>
            </w:r>
          </w:p>
        </w:tc>
        <w:tc>
          <w:tcPr/>
          <w:p>
            <w:pPr>
              <w:pStyle w:val="Compact"/>
              <w:jc w:val="left"/>
            </w:pPr>
            <w:r>
              <w:t xml:space="preserve">0,80</w:t>
            </w:r>
          </w:p>
        </w:tc>
      </w:tr>
      <w:tr>
        <w:tc>
          <w:tcPr/>
          <w:p>
            <w:pPr>
              <w:pStyle w:val="Compact"/>
              <w:jc w:val="left"/>
            </w:pPr>
            <w:r>
              <w:t xml:space="preserve">Kecepatan implementasi</w:t>
            </w:r>
          </w:p>
        </w:tc>
        <w:tc>
          <w:tcPr/>
          <w:p>
            <w:pPr>
              <w:pStyle w:val="Compact"/>
              <w:jc w:val="left"/>
            </w:pPr>
            <w:r>
              <w:t xml:space="preserve">15%</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0,60</w:t>
            </w:r>
          </w:p>
        </w:tc>
      </w:tr>
      <w:tr>
        <w:tc>
          <w:tcPr/>
          <w:p>
            <w:pPr>
              <w:pStyle w:val="Compact"/>
              <w:jc w:val="left"/>
            </w:pPr>
            <w:r>
              <w:t xml:space="preserve">Risiko regulasi (5 = paling rendah)</w:t>
            </w:r>
          </w:p>
        </w:tc>
        <w:tc>
          <w:tcPr/>
          <w:p>
            <w:pPr>
              <w:pStyle w:val="Compact"/>
              <w:jc w:val="left"/>
            </w:pPr>
            <w:r>
              <w:t xml:space="preserve">15%</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0,60</w:t>
            </w:r>
          </w:p>
        </w:tc>
      </w:tr>
      <w:tr>
        <w:tc>
          <w:tcPr/>
          <w:p>
            <w:pPr>
              <w:pStyle w:val="Compact"/>
              <w:jc w:val="left"/>
            </w:pPr>
            <w:r>
              <w:t xml:space="preserve">Dampak keberlanjutan</w:t>
            </w:r>
          </w:p>
        </w:tc>
        <w:tc>
          <w:tcPr/>
          <w:p>
            <w:pPr>
              <w:pStyle w:val="Compact"/>
              <w:jc w:val="left"/>
            </w:pPr>
            <w:r>
              <w:t xml:space="preserve">10%</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0,50</w:t>
            </w:r>
          </w:p>
        </w:tc>
        <w:tc>
          <w:tcPr/>
          <w:p>
            <w:pPr>
              <w:pStyle w:val="Compact"/>
              <w:jc w:val="left"/>
            </w:pPr>
            <w:r>
              <w:t xml:space="preserve">0,30</w:t>
            </w:r>
          </w:p>
        </w:tc>
        <w:tc>
          <w:tcPr/>
          <w:p>
            <w:pPr>
              <w:pStyle w:val="Compact"/>
              <w:jc w:val="left"/>
            </w:pPr>
            <w:r>
              <w:t xml:space="preserve">0,20</w:t>
            </w:r>
          </w:p>
        </w:tc>
      </w:tr>
      <w:tr>
        <w:tc>
          <w:tcPr/>
          <w:p>
            <w:pPr>
              <w:pStyle w:val="Compact"/>
              <w:jc w:val="left"/>
            </w:pPr>
            <w:r>
              <w:t xml:space="preserve">Keunikan vs pesaing dan rencana resmi</w:t>
            </w:r>
          </w:p>
        </w:tc>
        <w:tc>
          <w:tcPr/>
          <w:p>
            <w:pPr>
              <w:pStyle w:val="Compact"/>
              <w:jc w:val="left"/>
            </w:pPr>
            <w:r>
              <w:t xml:space="preserve">15%</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0,45</w:t>
            </w:r>
          </w:p>
        </w:tc>
      </w:tr>
      <w:tr>
        <w:tc>
          <w:tcPr/>
          <w:p>
            <w:pPr>
              <w:pStyle w:val="Compact"/>
              <w:jc w:val="left"/>
            </w:pPr>
            <w:r>
              <w:t xml:space="preserve">Total</w:t>
            </w:r>
          </w:p>
        </w:tc>
        <w:tc>
          <w:tcPr/>
          <w:p>
            <w:pPr>
              <w:pStyle w:val="Compact"/>
              <w:jc w:val="left"/>
            </w:pPr>
            <w:r>
              <w:t xml:space="preserve">100%</w:t>
            </w:r>
          </w:p>
        </w:tc>
        <w:tc>
          <w:tcPr/>
          <w:p>
            <w:pPr>
              <w:pStyle w:val="Compact"/>
            </w:pPr>
          </w:p>
        </w:tc>
        <w:tc>
          <w:tcPr/>
          <w:p>
            <w:pPr>
              <w:pStyle w:val="Compact"/>
            </w:pPr>
          </w:p>
        </w:tc>
        <w:tc>
          <w:tcPr/>
          <w:p>
            <w:pPr>
              <w:pStyle w:val="Compact"/>
            </w:pPr>
          </w:p>
        </w:tc>
        <w:tc>
          <w:tcPr/>
          <w:p>
            <w:pPr>
              <w:pStyle w:val="Compact"/>
              <w:jc w:val="left"/>
            </w:pPr>
            <w:r>
              <w:t xml:space="preserve">4,20</w:t>
            </w:r>
          </w:p>
        </w:tc>
        <w:tc>
          <w:tcPr/>
          <w:p>
            <w:pPr>
              <w:pStyle w:val="Compact"/>
              <w:jc w:val="left"/>
            </w:pPr>
            <w:r>
              <w:t xml:space="preserve">3,25</w:t>
            </w:r>
          </w:p>
        </w:tc>
        <w:tc>
          <w:tcPr/>
          <w:p>
            <w:pPr>
              <w:pStyle w:val="Compact"/>
              <w:jc w:val="left"/>
            </w:pPr>
            <w:r>
              <w:t xml:space="preserve">3,40</w:t>
            </w:r>
          </w:p>
        </w:tc>
      </w:tr>
    </w:tbl>
    <w:p>
      <w:pPr>
        <w:pStyle w:val="BodyText"/>
      </w:pPr>
      <w:r>
        <w:t xml:space="preserve">Sumber: penilaian penulis.</w:t>
      </w:r>
    </w:p>
    <w:p>
      <w:pPr>
        <w:pStyle w:val="BodyText"/>
      </w:pPr>
      <w:r>
        <w:t xml:space="preserve">Alasan skornya begini. A unggul pada kesesuaian faktor karena satu-satunya yang menjawab ketiga faktor sekaligus, dan pada keunikan karena belum ada kawasan industri di Indonesia yang menjual energi sebagai layanan bersertifikat [VERIFIKASI: survei kawasan industri HKI]. A hanya dapat 3 pada kecepatan karena PLTS 56 MWp masih studi kelayakan, dan 3 pada risiko regulasi karena aturan jual beli listrik EBT dalam wilayah usaha swasta belum pasti. B unggul pada kelayakan finansial karena investasinya kecil, tetapi lemah pada risiko regulasi dan keunikan. C aman secara regulasi, tetapi dampak keberlanjutan dan keunikannya rendah. Kelayakan finansial A tetap 4 karena total investasi Rp1,4–1,8 triliun setara 22–28% kas akhir 2025 dan kurang dari setengah arus kas operasi tiga tahun, jauh di bawah ambang komitmen material 20% ekuitas (AKR Corporindo, 2026a, hlm. 135).</w:t>
      </w:r>
    </w:p>
    <w:bookmarkEnd w:id="72"/>
    <w:bookmarkStart w:id="84" w:name="X3db81349a7ab06152bf638949b97838d64e70bf"/>
    <w:p>
      <w:pPr>
        <w:pStyle w:val="Heading2"/>
      </w:pPr>
      <w:r>
        <w:t xml:space="preserve">4.7 Usulan Terpilih: JIIPE Low-Carbon Industrial Energy-as-a-Service</w:t>
      </w:r>
    </w:p>
    <w:bookmarkStart w:id="76" w:name="deskripsi-dan-proposisi-nilai"/>
    <w:p>
      <w:pPr>
        <w:pStyle w:val="Heading3"/>
      </w:pPr>
      <w:r>
        <w:t xml:space="preserve">4.7.1 Deskripsi dan Proposisi Nilai</w:t>
      </w:r>
    </w:p>
    <w:p>
      <w:pPr>
        <w:pStyle w:val="FirstParagraph"/>
      </w:pPr>
      <w:r>
        <w:t xml:space="preserve">[Rekomendasi] Usulan terpilih adalah membentuk unit bisnis</w:t>
      </w:r>
      <w:r>
        <w:t xml:space="preserve"> </w:t>
      </w:r>
      <w:r>
        <w:t xml:space="preserve">“</w:t>
      </w:r>
      <w:r>
        <w:t xml:space="preserve">JIIPE Energy Services</w:t>
      </w:r>
      <w:r>
        <w:t xml:space="preserve">”</w:t>
      </w:r>
      <w:r>
        <w:t xml:space="preserve"> </w:t>
      </w:r>
      <w:r>
        <w:t xml:space="preserve">di bawah BKMS. Unit ini menggabungkan aset BREN (PLTS), BBE (gas pipa), terminal LNG bersama bp (2029), dan pasokan PLN 500 MVA menjadi satu portofolio pasokan, lalu menjualnya sebagai layanan berlangganan tiga tingkat. Tingkat</w:t>
      </w:r>
      <w:r>
        <w:t xml:space="preserve"> </w:t>
      </w:r>
      <w:r>
        <w:rPr>
          <w:iCs/>
          <w:i/>
        </w:rPr>
        <w:t xml:space="preserve">Base</w:t>
      </w:r>
      <w:r>
        <w:t xml:space="preserve"> </w:t>
      </w:r>
      <w:r>
        <w:t xml:space="preserve">berisi listrik berbasis gas dengan laporan Scope 2 berbasis lokasi. Tingkat</w:t>
      </w:r>
      <w:r>
        <w:t xml:space="preserve"> </w:t>
      </w:r>
      <w:r>
        <w:rPr>
          <w:iCs/>
          <w:i/>
        </w:rPr>
        <w:t xml:space="preserve">Low-Carbon 50</w:t>
      </w:r>
      <w:r>
        <w:t xml:space="preserve"> </w:t>
      </w:r>
      <w:r>
        <w:t xml:space="preserve">berisi minimal 50% energi terbarukan dengan REC yang dilacak per jam. Tingkat</w:t>
      </w:r>
      <w:r>
        <w:t xml:space="preserve"> </w:t>
      </w:r>
      <w:r>
        <w:rPr>
          <w:iCs/>
          <w:i/>
        </w:rPr>
        <w:t xml:space="preserve">24/7 Carbon-Free</w:t>
      </w:r>
      <w:r>
        <w:t xml:space="preserve"> </w:t>
      </w:r>
      <w:r>
        <w:t xml:space="preserve">berisi pencocokan per jam dengan PLTS, baterai, dan REC pelengkap, untuk tenant yang menghadapi CBAM atau deklarasi jejak karbon produk. Bagi tenant, nilainya adalah satu kontrak, satu tagihan, dan satu laporan yang bisa diaudit, dengan intensitas karbon listrik yang dijamin dalam kontrak dan bisa dibuktikan ke pembeli di Eropa, Jepang, dan Korea. Bagi AKR, nilainya adalah utilitas JIIPE berubah dari penjual volume menjadi penjual atribut, margin per kWh naik, tenant terikat 5–10 tahun, dan JIIPE menjadi kawasan pilihan bagi investor yang mensyaratkan energi hijau.</w:t>
      </w:r>
    </w:p>
    <w:p>
      <w:pPr>
        <w:pStyle w:val="CaptionedFigure"/>
      </w:pPr>
      <w:r>
        <w:drawing>
          <wp:inline>
            <wp:extent cx="5334000" cy="3111500"/>
            <wp:effectExtent b="0" l="0" r="0" t="0"/>
            <wp:docPr descr="Gambar 4.1 Arsitektur model bisnis JIIPE Low-Carbon Industrial Energy-as-a-Service. Sumber: rancangan penulis." title="" id="74" name="Picture"/>
            <a:graphic>
              <a:graphicData uri="http://schemas.openxmlformats.org/drawingml/2006/picture">
                <pic:pic>
                  <pic:nvPicPr>
                    <pic:cNvPr descr="fig_4_1_eaas.png" id="75" name="Picture"/>
                    <pic:cNvPicPr>
                      <a:picLocks noChangeArrowheads="1" noChangeAspect="1"/>
                    </pic:cNvPicPr>
                  </pic:nvPicPr>
                  <pic:blipFill>
                    <a:blip r:embed="rId73"/>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Gambar 4.1 Arsitektur model bisnis JIIPE Low-Carbon Industrial Energy-as-a-Service. Sumber: rancangan penulis.</w:t>
      </w:r>
    </w:p>
    <w:bookmarkEnd w:id="76"/>
    <w:bookmarkStart w:id="77" w:name="X6c522c21826444c0e4a4f1558af1984e4409a99"/>
    <w:p>
      <w:pPr>
        <w:pStyle w:val="Heading3"/>
      </w:pPr>
      <w:r>
        <w:t xml:space="preserve">4.7.2 Model Bisnis: Sumber Pendapatan, Struktur Biaya, Mitra</w:t>
      </w:r>
    </w:p>
    <w:p>
      <w:pPr>
        <w:pStyle w:val="FirstParagraph"/>
      </w:pPr>
      <w:r>
        <w:t xml:space="preserve">Ada empat sumber pendapatan. Pertama, biaya langganan tetap per MW kapasitas terkontrak yang menggantikan sebagian tarif per volume dan memberi pendapatan berulang. Kedua, premi hijau per kWh untuk tingkat</w:t>
      </w:r>
      <w:r>
        <w:t xml:space="preserve"> </w:t>
      </w:r>
      <w:r>
        <w:rPr>
          <w:iCs/>
          <w:i/>
        </w:rPr>
        <w:t xml:space="preserve">Low-Carbon 50</w:t>
      </w:r>
      <w:r>
        <w:t xml:space="preserve"> </w:t>
      </w:r>
      <w:r>
        <w:t xml:space="preserve">dan</w:t>
      </w:r>
      <w:r>
        <w:t xml:space="preserve"> </w:t>
      </w:r>
      <w:r>
        <w:rPr>
          <w:iCs/>
          <w:i/>
        </w:rPr>
        <w:t xml:space="preserve">24/7</w:t>
      </w:r>
      <w:r>
        <w:t xml:space="preserve"> </w:t>
      </w:r>
      <w:r>
        <w:t xml:space="preserve">[ESTIMASI: premi 8–15% di atas tarif dasar, mengacu pada praktik premi REC dan PPA hijau korporasi di Asia Tenggara; perlu validasi dengan tenant]. Ketiga, biaya jasa pelaporan dan verifikasi Scope 2 per tenant per tahun. Keempat, pendapatan dari perdagangan sertifikat dan, kalau regulasi memungkinkan, unit karbon lewat Sistem Registri Nasional dan bursa karbon. Struktur biayanya didominasi belanja modal PLTS dan baterai yang bersifat tetap. Biaya gas dan LNG bersifat variabel dan diteruskan ke tenant lewat formula, sejalan dengan disiplin</w:t>
      </w:r>
      <w:r>
        <w:t xml:space="preserve"> </w:t>
      </w:r>
      <w:r>
        <w:rPr>
          <w:iCs/>
          <w:i/>
        </w:rPr>
        <w:t xml:space="preserve">net open position</w:t>
      </w:r>
      <w:r>
        <w:t xml:space="preserve"> </w:t>
      </w:r>
      <w:r>
        <w:t xml:space="preserve">AKR. Sisanya biaya sertifikasi dan verifikasi, serta platform meter dan data. Mitra utamanya PLN untuk interkoneksi,</w:t>
      </w:r>
      <w:r>
        <w:t xml:space="preserve"> </w:t>
      </w:r>
      <w:r>
        <w:rPr>
          <w:iCs/>
          <w:i/>
        </w:rPr>
        <w:t xml:space="preserve">wheeling</w:t>
      </w:r>
      <w:r>
        <w:t xml:space="preserve">, dan REC; bp Gas &amp; Power untuk LNG; penyedia baterai dan kontraktor PLTS; lembaga verifikasi independen; Administrator KEK dan Kementerian ESDM untuk kepastian regulasi; serta bank penyedia pembiayaan hijau. [Inferensi] Model ini memindahkan risiko volume dari AKR ke kontrak dan risiko harga bahan bakar ke tenant. Profil risikonya mirip bisnis inti AKR yang sudah teruji, tetapi dengan margin lebih tinggi dan kontrak lebih panjang.</w:t>
      </w:r>
    </w:p>
    <w:bookmarkEnd w:id="77"/>
    <w:bookmarkStart w:id="78" w:name="peta-jalan-tiga-tahun"/>
    <w:p>
      <w:pPr>
        <w:pStyle w:val="Heading3"/>
      </w:pPr>
      <w:r>
        <w:t xml:space="preserve">4.7.3 Peta Jalan Tiga Tahun</w:t>
      </w:r>
    </w:p>
    <w:p>
      <w:pPr>
        <w:pStyle w:val="FirstParagraph"/>
      </w:pPr>
      <w:r>
        <w:rPr>
          <w:bCs/>
          <w:b/>
        </w:rPr>
        <w:t xml:space="preserve">Tabel 4.7 Peta jalan implementasi 2027–2029 per semester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Semester</w:t>
            </w:r>
          </w:p>
        </w:tc>
        <w:tc>
          <w:tcPr/>
          <w:p>
            <w:pPr>
              <w:pStyle w:val="Compact"/>
              <w:jc w:val="left"/>
            </w:pPr>
            <w:r>
              <w:t xml:space="preserve">Kegiatan utama</w:t>
            </w:r>
          </w:p>
        </w:tc>
        <w:tc>
          <w:tcPr/>
          <w:p>
            <w:pPr>
              <w:pStyle w:val="Compact"/>
              <w:jc w:val="left"/>
            </w:pPr>
            <w:r>
              <w:t xml:space="preserve">Keluaran</w:t>
            </w:r>
          </w:p>
        </w:tc>
      </w:tr>
      <w:tr>
        <w:tc>
          <w:tcPr/>
          <w:p>
            <w:pPr>
              <w:pStyle w:val="Compact"/>
              <w:jc w:val="left"/>
            </w:pPr>
            <w:r>
              <w:t xml:space="preserve">S1 2027</w:t>
            </w:r>
          </w:p>
        </w:tc>
        <w:tc>
          <w:tcPr/>
          <w:p>
            <w:pPr>
              <w:pStyle w:val="Compact"/>
              <w:jc w:val="left"/>
            </w:pPr>
            <w:r>
              <w:t xml:space="preserve">Pembentukan unit JIIPE Energy Services; survei kebutuhan 33 tenant; rancangan produk tiga tingkat; pendaftaran REC; dialog regulasi dengan ESDM dan Administrator KEK</w:t>
            </w:r>
          </w:p>
        </w:tc>
        <w:tc>
          <w:tcPr/>
          <w:p>
            <w:pPr>
              <w:pStyle w:val="Compact"/>
              <w:jc w:val="left"/>
            </w:pPr>
            <w:r>
              <w:t xml:space="preserve">Katalog produk; surat minat dari 5 tenant jangkar; kepastian skema jual beli listrik EBT</w:t>
            </w:r>
          </w:p>
        </w:tc>
      </w:tr>
      <w:tr>
        <w:tc>
          <w:tcPr/>
          <w:p>
            <w:pPr>
              <w:pStyle w:val="Compact"/>
              <w:jc w:val="left"/>
            </w:pPr>
            <w:r>
              <w:t xml:space="preserve">S2 2027</w:t>
            </w:r>
          </w:p>
        </w:tc>
        <w:tc>
          <w:tcPr/>
          <w:p>
            <w:pPr>
              <w:pStyle w:val="Compact"/>
              <w:jc w:val="left"/>
            </w:pPr>
            <w:r>
              <w:t xml:space="preserve">Penawaran</w:t>
            </w:r>
            <w:r>
              <w:t xml:space="preserve"> </w:t>
            </w:r>
            <w:r>
              <w:rPr>
                <w:iCs/>
                <w:i/>
              </w:rPr>
              <w:t xml:space="preserve">Base</w:t>
            </w:r>
            <w:r>
              <w:t xml:space="preserve"> </w:t>
            </w:r>
            <w:r>
              <w:t xml:space="preserve">dan</w:t>
            </w:r>
            <w:r>
              <w:t xml:space="preserve"> </w:t>
            </w:r>
            <w:r>
              <w:rPr>
                <w:iCs/>
                <w:i/>
              </w:rPr>
              <w:t xml:space="preserve">Low-Carbon 50</w:t>
            </w:r>
            <w:r>
              <w:t xml:space="preserve"> </w:t>
            </w:r>
            <w:r>
              <w:t xml:space="preserve">berbasis REC PLN dan PLTS 400 kWp; kontrak percontohan 2–3 tenant; FID PLTS 56 MWp dikunci kontrak minimal 30 MW</w:t>
            </w:r>
          </w:p>
        </w:tc>
        <w:tc>
          <w:tcPr/>
          <w:p>
            <w:pPr>
              <w:pStyle w:val="Compact"/>
              <w:jc w:val="left"/>
            </w:pPr>
            <w:r>
              <w:t xml:space="preserve">Kontrak pertama; FID PLTS tahap 1; pendanaan hijau ditutup</w:t>
            </w:r>
          </w:p>
        </w:tc>
      </w:tr>
      <w:tr>
        <w:tc>
          <w:tcPr/>
          <w:p>
            <w:pPr>
              <w:pStyle w:val="Compact"/>
              <w:jc w:val="left"/>
            </w:pPr>
            <w:r>
              <w:t xml:space="preserve">S1 2028</w:t>
            </w:r>
          </w:p>
        </w:tc>
        <w:tc>
          <w:tcPr/>
          <w:p>
            <w:pPr>
              <w:pStyle w:val="Compact"/>
              <w:jc w:val="left"/>
            </w:pPr>
            <w:r>
              <w:t xml:space="preserve">Konstruksi PLTS 56 MWp; pemasangan meter pintar dan platform data; verifikasi pihak ketiga laporan Scope 2 pertama</w:t>
            </w:r>
          </w:p>
        </w:tc>
        <w:tc>
          <w:tcPr/>
          <w:p>
            <w:pPr>
              <w:pStyle w:val="Compact"/>
              <w:jc w:val="left"/>
            </w:pPr>
            <w:r>
              <w:t xml:space="preserve">Laporan Scope 2 terverifikasi untuk tenant percontohan</w:t>
            </w:r>
          </w:p>
        </w:tc>
      </w:tr>
      <w:tr>
        <w:tc>
          <w:tcPr/>
          <w:p>
            <w:pPr>
              <w:pStyle w:val="Compact"/>
              <w:jc w:val="left"/>
            </w:pPr>
            <w:r>
              <w:t xml:space="preserve">S2 2028</w:t>
            </w:r>
          </w:p>
        </w:tc>
        <w:tc>
          <w:tcPr/>
          <w:p>
            <w:pPr>
              <w:pStyle w:val="Compact"/>
              <w:jc w:val="left"/>
            </w:pPr>
            <w:r>
              <w:t xml:space="preserve">COD PLTS 56 MWp; peluncuran</w:t>
            </w:r>
            <w:r>
              <w:t xml:space="preserve"> </w:t>
            </w:r>
            <w:r>
              <w:rPr>
                <w:iCs/>
                <w:i/>
              </w:rPr>
              <w:t xml:space="preserve">24/7 Carbon-Free</w:t>
            </w:r>
            <w:r>
              <w:t xml:space="preserve"> </w:t>
            </w:r>
            <w:r>
              <w:t xml:space="preserve">skala kecil dengan baterai; FID PLTS terapung 55 MW</w:t>
            </w:r>
          </w:p>
        </w:tc>
        <w:tc>
          <w:tcPr/>
          <w:p>
            <w:pPr>
              <w:pStyle w:val="Compact"/>
              <w:jc w:val="left"/>
            </w:pPr>
            <w:r>
              <w:t xml:space="preserve">56 MWp beroperasi; kontrak 24/7 pertama</w:t>
            </w:r>
          </w:p>
        </w:tc>
      </w:tr>
      <w:tr>
        <w:tc>
          <w:tcPr/>
          <w:p>
            <w:pPr>
              <w:pStyle w:val="Compact"/>
              <w:jc w:val="left"/>
            </w:pPr>
            <w:r>
              <w:t xml:space="preserve">S1 2029</w:t>
            </w:r>
          </w:p>
        </w:tc>
        <w:tc>
          <w:tcPr/>
          <w:p>
            <w:pPr>
              <w:pStyle w:val="Compact"/>
              <w:jc w:val="left"/>
            </w:pPr>
            <w:r>
              <w:t xml:space="preserve">Integrasi terminal LNG ke portofolio</w:t>
            </w:r>
            <w:r>
              <w:t xml:space="preserve"> </w:t>
            </w:r>
            <w:r>
              <w:rPr>
                <w:iCs/>
                <w:i/>
              </w:rPr>
              <w:t xml:space="preserve">Base</w:t>
            </w:r>
            <w:r>
              <w:t xml:space="preserve">; perluasan ke tenant baru dengan tingkat rendah karbon sebagai syarat standar kontrak lahan</w:t>
            </w:r>
          </w:p>
        </w:tc>
        <w:tc>
          <w:tcPr/>
          <w:p>
            <w:pPr>
              <w:pStyle w:val="Compact"/>
              <w:jc w:val="left"/>
            </w:pPr>
            <w:r>
              <w:t xml:space="preserve">50% tenant berlangganan tingkat rendah karbon</w:t>
            </w:r>
          </w:p>
        </w:tc>
      </w:tr>
      <w:tr>
        <w:tc>
          <w:tcPr/>
          <w:p>
            <w:pPr>
              <w:pStyle w:val="Compact"/>
              <w:jc w:val="left"/>
            </w:pPr>
            <w:r>
              <w:t xml:space="preserve">S2 2029</w:t>
            </w:r>
          </w:p>
        </w:tc>
        <w:tc>
          <w:tcPr/>
          <w:p>
            <w:pPr>
              <w:pStyle w:val="Compact"/>
              <w:jc w:val="left"/>
            </w:pPr>
            <w:r>
              <w:t xml:space="preserve">Evaluasi; replikasi model ke kawasan industri pihak ketiga di Jawa Timur sebagai layanan AKR</w:t>
            </w:r>
          </w:p>
        </w:tc>
        <w:tc>
          <w:tcPr/>
          <w:p>
            <w:pPr>
              <w:pStyle w:val="Compact"/>
              <w:jc w:val="left"/>
            </w:pPr>
            <w:r>
              <w:t xml:space="preserve">Keputusan replikasi; target 148 MWp pada 2032 dikonfirmasi</w:t>
            </w:r>
          </w:p>
        </w:tc>
      </w:tr>
    </w:tbl>
    <w:p>
      <w:pPr>
        <w:pStyle w:val="BodyText"/>
      </w:pPr>
      <w:r>
        <w:t xml:space="preserve">Sumber: rancangan penulis; tahapan PLTS dan LNG mengacu pada AKR Corporindo (2026b, hlm. 42, 92).</w:t>
      </w:r>
    </w:p>
    <w:bookmarkEnd w:id="78"/>
    <w:bookmarkStart w:id="79" w:name="kebutuhan-sumber-daya-dan-organisasi"/>
    <w:p>
      <w:pPr>
        <w:pStyle w:val="Heading3"/>
      </w:pPr>
      <w:r>
        <w:t xml:space="preserve">4.7.4 Kebutuhan Sumber Daya dan Organisasi</w:t>
      </w:r>
    </w:p>
    <w:p>
      <w:pPr>
        <w:pStyle w:val="FirstParagraph"/>
      </w:pPr>
      <w:r>
        <w:t xml:space="preserve">Unit baru ini butuh sekitar 25–35 orang pada tahun pertama [ESTIMASI], mencakup tim komersial, operasi pembangkit, data dan pelaporan karbon, serta regulasi. Kemampuan yang belum dimiliki AKR dan harus dibeli atau dimitrakan adalah akuntansi karbon berbasis pasar, pengelolaan REC per jam, dan operasi baterai. Tata kelolanya: unit melapor ke Direksi BKMS dengan pengawasan Komite ESG AKR, dan keputusan investasi di atas Rp500 miliar diajukan ke Dewan Komisaris. Pendanaannya Rp1,4–1,8 triliun selama tiga tahun [ESTIMASI], 50–60% dari kas internal dan sisanya pinjaman hijau. Dengan asumsi arus kas operasi minimal Rp3 triliun per tahun dan rasio dividen tetap tinggi, posisi kas bersih AKR tetap positif.</w:t>
      </w:r>
    </w:p>
    <w:bookmarkEnd w:id="79"/>
    <w:bookmarkStart w:id="80" w:name="kpi-finansial-dan-non-finansial"/>
    <w:p>
      <w:pPr>
        <w:pStyle w:val="Heading3"/>
      </w:pPr>
      <w:r>
        <w:t xml:space="preserve">4.7.5 KPI Finansial dan Non-Finansial</w:t>
      </w:r>
    </w:p>
    <w:p>
      <w:pPr>
        <w:pStyle w:val="FirstParagraph"/>
      </w:pPr>
      <w:r>
        <w:rPr>
          <w:bCs/>
          <w:b/>
        </w:rPr>
        <w:t xml:space="preserve">Tabel 4.8 KPI usulan terpilih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Baseline 2025</w:t>
            </w:r>
          </w:p>
        </w:tc>
        <w:tc>
          <w:tcPr/>
          <w:p>
            <w:pPr>
              <w:pStyle w:val="Compact"/>
              <w:jc w:val="left"/>
            </w:pPr>
            <w:r>
              <w:t xml:space="preserve">Target 2029 [ESTIMASI]</w:t>
            </w:r>
          </w:p>
        </w:tc>
      </w:tr>
      <w:tr>
        <w:tc>
          <w:tcPr/>
          <w:p>
            <w:pPr>
              <w:pStyle w:val="Compact"/>
              <w:jc w:val="left"/>
            </w:pPr>
            <w:r>
              <w:t xml:space="preserve">Pendapatan utilitas JIIPE (Rp miliar)</w:t>
            </w:r>
          </w:p>
        </w:tc>
        <w:tc>
          <w:tcPr/>
          <w:p>
            <w:pPr>
              <w:pStyle w:val="Compact"/>
              <w:jc w:val="left"/>
            </w:pPr>
            <w:r>
              <w:t xml:space="preserve">727 (AKR Corporindo, 2026a, hlm. 117)</w:t>
            </w:r>
          </w:p>
        </w:tc>
        <w:tc>
          <w:tcPr/>
          <w:p>
            <w:pPr>
              <w:pStyle w:val="Compact"/>
              <w:jc w:val="left"/>
            </w:pPr>
            <w:r>
              <w:t xml:space="preserve">1.500–1.800</w:t>
            </w:r>
          </w:p>
        </w:tc>
      </w:tr>
      <w:tr>
        <w:tc>
          <w:tcPr/>
          <w:p>
            <w:pPr>
              <w:pStyle w:val="Compact"/>
              <w:jc w:val="left"/>
            </w:pPr>
            <w:r>
              <w:t xml:space="preserve">Porsi pendapatan berulang dalam segmen JIIPE</w:t>
            </w:r>
          </w:p>
        </w:tc>
        <w:tc>
          <w:tcPr/>
          <w:p>
            <w:pPr>
              <w:pStyle w:val="Compact"/>
              <w:jc w:val="left"/>
            </w:pPr>
            <w:r>
              <w:t xml:space="preserve">34% (727 dari 2.741)</w:t>
            </w:r>
          </w:p>
        </w:tc>
        <w:tc>
          <w:tcPr/>
          <w:p>
            <w:pPr>
              <w:pStyle w:val="Compact"/>
              <w:jc w:val="left"/>
            </w:pPr>
            <w:r>
              <w:t xml:space="preserve">di atas 50%</w:t>
            </w:r>
          </w:p>
        </w:tc>
      </w:tr>
      <w:tr>
        <w:tc>
          <w:tcPr/>
          <w:p>
            <w:pPr>
              <w:pStyle w:val="Compact"/>
              <w:jc w:val="left"/>
            </w:pPr>
            <w:r>
              <w:t xml:space="preserve">Kapasitas terkontrak tingkat rendah karbon (MW)</w:t>
            </w:r>
          </w:p>
        </w:tc>
        <w:tc>
          <w:tcPr/>
          <w:p>
            <w:pPr>
              <w:pStyle w:val="Compact"/>
              <w:jc w:val="left"/>
            </w:pPr>
            <w:r>
              <w:t xml:space="preserve">0</w:t>
            </w:r>
          </w:p>
        </w:tc>
        <w:tc>
          <w:tcPr/>
          <w:p>
            <w:pPr>
              <w:pStyle w:val="Compact"/>
              <w:jc w:val="left"/>
            </w:pPr>
            <w:r>
              <w:t xml:space="preserve">80–100</w:t>
            </w:r>
          </w:p>
        </w:tc>
      </w:tr>
      <w:tr>
        <w:tc>
          <w:tcPr/>
          <w:p>
            <w:pPr>
              <w:pStyle w:val="Compact"/>
              <w:jc w:val="left"/>
            </w:pPr>
            <w:r>
              <w:t xml:space="preserve">Jumlah tenant dengan laporan Scope 2 terverifikasi</w:t>
            </w:r>
          </w:p>
        </w:tc>
        <w:tc>
          <w:tcPr/>
          <w:p>
            <w:pPr>
              <w:pStyle w:val="Compact"/>
              <w:jc w:val="left"/>
            </w:pPr>
            <w:r>
              <w:t xml:space="preserve">0</w:t>
            </w:r>
          </w:p>
        </w:tc>
        <w:tc>
          <w:tcPr/>
          <w:p>
            <w:pPr>
              <w:pStyle w:val="Compact"/>
              <w:jc w:val="left"/>
            </w:pPr>
            <w:r>
              <w:t xml:space="preserve">15</w:t>
            </w:r>
          </w:p>
        </w:tc>
      </w:tr>
      <w:tr>
        <w:tc>
          <w:tcPr/>
          <w:p>
            <w:pPr>
              <w:pStyle w:val="Compact"/>
              <w:jc w:val="left"/>
            </w:pPr>
            <w:r>
              <w:t xml:space="preserve">Margin EBITDA unit energi</w:t>
            </w:r>
          </w:p>
        </w:tc>
        <w:tc>
          <w:tcPr/>
          <w:p>
            <w:pPr>
              <w:pStyle w:val="Compact"/>
              <w:jc w:val="left"/>
            </w:pPr>
            <w:r>
              <w:t xml:space="preserve">belum ada</w:t>
            </w:r>
          </w:p>
        </w:tc>
        <w:tc>
          <w:tcPr/>
          <w:p>
            <w:pPr>
              <w:pStyle w:val="Compact"/>
              <w:jc w:val="left"/>
            </w:pPr>
            <w:r>
              <w:t xml:space="preserve">di atas 35%</w:t>
            </w:r>
          </w:p>
        </w:tc>
      </w:tr>
      <w:tr>
        <w:tc>
          <w:tcPr/>
          <w:p>
            <w:pPr>
              <w:pStyle w:val="Compact"/>
              <w:jc w:val="left"/>
            </w:pPr>
            <w:r>
              <w:t xml:space="preserve">IRR proyek PLTS dengan kontrak tenant</w:t>
            </w:r>
          </w:p>
        </w:tc>
        <w:tc>
          <w:tcPr/>
          <w:p>
            <w:pPr>
              <w:pStyle w:val="Compact"/>
              <w:jc w:val="left"/>
            </w:pPr>
            <w:r>
              <w:t xml:space="preserve">belum ada</w:t>
            </w:r>
          </w:p>
        </w:tc>
        <w:tc>
          <w:tcPr/>
          <w:p>
            <w:pPr>
              <w:pStyle w:val="Compact"/>
              <w:jc w:val="left"/>
            </w:pPr>
            <w:r>
              <w:t xml:space="preserve">biaya modal AKR ditambah 2 poin</w:t>
            </w:r>
          </w:p>
        </w:tc>
      </w:tr>
      <w:tr>
        <w:tc>
          <w:tcPr/>
          <w:p>
            <w:pPr>
              <w:pStyle w:val="Compact"/>
              <w:jc w:val="left"/>
            </w:pPr>
            <w:r>
              <w:t xml:space="preserve">Bauran EBT internal AKR</w:t>
            </w:r>
          </w:p>
        </w:tc>
        <w:tc>
          <w:tcPr/>
          <w:p>
            <w:pPr>
              <w:pStyle w:val="Compact"/>
              <w:jc w:val="left"/>
            </w:pPr>
            <w:r>
              <w:t xml:space="preserve">26% (AKR Corporindo, 2026b, hlm. 52)</w:t>
            </w:r>
          </w:p>
        </w:tc>
        <w:tc>
          <w:tcPr/>
          <w:p>
            <w:pPr>
              <w:pStyle w:val="Compact"/>
              <w:jc w:val="left"/>
            </w:pPr>
            <w:r>
              <w:t xml:space="preserve">30% tercapai sebelum 2030</w:t>
            </w:r>
          </w:p>
        </w:tc>
      </w:tr>
      <w:tr>
        <w:tc>
          <w:tcPr/>
          <w:p>
            <w:pPr>
              <w:pStyle w:val="Compact"/>
              <w:jc w:val="left"/>
            </w:pPr>
            <w:r>
              <w:t xml:space="preserve">Emisi yang dihindari tenant (tCO₂e per tahun)</w:t>
            </w:r>
          </w:p>
        </w:tc>
        <w:tc>
          <w:tcPr/>
          <w:p>
            <w:pPr>
              <w:pStyle w:val="Compact"/>
              <w:jc w:val="left"/>
            </w:pPr>
            <w:r>
              <w:t xml:space="preserve">belum ada</w:t>
            </w:r>
          </w:p>
        </w:tc>
        <w:tc>
          <w:tcPr/>
          <w:p>
            <w:pPr>
              <w:pStyle w:val="Compact"/>
              <w:jc w:val="left"/>
            </w:pPr>
            <w:r>
              <w:t xml:space="preserve">60.000–80.000 pada 56 MWp [ESTIMASI: faktor emisi jaringan Jawa–Bali sekitar 0,8 tCO₂e/MWh]</w:t>
            </w:r>
          </w:p>
        </w:tc>
      </w:tr>
    </w:tbl>
    <w:p>
      <w:pPr>
        <w:pStyle w:val="BodyText"/>
      </w:pPr>
      <w:r>
        <w:t xml:space="preserve">Sumber: rancangan penulis.</w:t>
      </w:r>
    </w:p>
    <w:bookmarkEnd w:id="80"/>
    <w:bookmarkStart w:id="81" w:name="risiko-dan-mitigasi"/>
    <w:p>
      <w:pPr>
        <w:pStyle w:val="Heading3"/>
      </w:pPr>
      <w:r>
        <w:t xml:space="preserve">4.7.6 Risiko dan Mitigasi</w:t>
      </w:r>
    </w:p>
    <w:p>
      <w:pPr>
        <w:pStyle w:val="FirstParagraph"/>
      </w:pPr>
      <w:r>
        <w:rPr>
          <w:bCs/>
          <w:b/>
        </w:rPr>
        <w:t xml:space="preserve">Tabel 4.9 Risiko dan mitigasi usulan terpilih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Risiko</w:t>
            </w:r>
          </w:p>
        </w:tc>
        <w:tc>
          <w:tcPr/>
          <w:p>
            <w:pPr>
              <w:pStyle w:val="Compact"/>
              <w:jc w:val="left"/>
            </w:pPr>
            <w:r>
              <w:t xml:space="preserve">Mekanisme</w:t>
            </w:r>
          </w:p>
        </w:tc>
        <w:tc>
          <w:tcPr/>
          <w:p>
            <w:pPr>
              <w:pStyle w:val="Compact"/>
              <w:jc w:val="left"/>
            </w:pPr>
            <w:r>
              <w:t xml:space="preserve">Mitigasi</w:t>
            </w:r>
          </w:p>
        </w:tc>
      </w:tr>
      <w:tr>
        <w:tc>
          <w:tcPr/>
          <w:p>
            <w:pPr>
              <w:pStyle w:val="Compact"/>
              <w:jc w:val="left"/>
            </w:pPr>
            <w:r>
              <w:t xml:space="preserve">Integritas klaim hijau</w:t>
            </w:r>
          </w:p>
        </w:tc>
        <w:tc>
          <w:tcPr/>
          <w:p>
            <w:pPr>
              <w:pStyle w:val="Compact"/>
              <w:jc w:val="left"/>
            </w:pPr>
            <w:r>
              <w:t xml:space="preserve">Bjørn et al. (2022,</w:t>
            </w:r>
            <w:r>
              <w:t xml:space="preserve"> </w:t>
            </w:r>
            <w:r>
              <w:rPr>
                <w:iCs/>
                <w:i/>
              </w:rPr>
              <w:t xml:space="preserve">Nature Climate Change</w:t>
            </w:r>
            <w:r>
              <w:t xml:space="preserve">, SJR Q1) menunjukkan REC tanpa tambahan nyata bisa merusak kredibilitas target berbasis sains; Brander et al. (2018,</w:t>
            </w:r>
            <w:r>
              <w:t xml:space="preserve"> </w:t>
            </w:r>
            <w:r>
              <w:rPr>
                <w:iCs/>
                <w:i/>
              </w:rPr>
              <w:t xml:space="preserve">Energy Policy</w:t>
            </w:r>
            <w:r>
              <w:t xml:space="preserve">, SJR Q1) mengkritik metode Scope 2 berbasis pasar yang tidak mencerminkan pengurangan emisi fisik</w:t>
            </w:r>
          </w:p>
        </w:tc>
        <w:tc>
          <w:tcPr/>
          <w:p>
            <w:pPr>
              <w:pStyle w:val="Compact"/>
              <w:jc w:val="left"/>
            </w:pPr>
            <w:r>
              <w:t xml:space="preserve">Utamakan REC dari PLTS milik sendiri di dalam kawasan (tambahan fisik nyata), pakai pencocokan per jam untuk tingkat 24/7, dan laporkan metode berbasis lokasi dan pasar bersamaan</w:t>
            </w:r>
          </w:p>
        </w:tc>
      </w:tr>
      <w:tr>
        <w:tc>
          <w:tcPr/>
          <w:p>
            <w:pPr>
              <w:pStyle w:val="Compact"/>
              <w:jc w:val="left"/>
            </w:pPr>
            <w:r>
              <w:t xml:space="preserve">Regulasi ketenagalistrikan</w:t>
            </w:r>
          </w:p>
        </w:tc>
        <w:tc>
          <w:tcPr/>
          <w:p>
            <w:pPr>
              <w:pStyle w:val="Compact"/>
              <w:jc w:val="left"/>
            </w:pPr>
            <w:r>
              <w:t xml:space="preserve">Aturan jual beli listrik EBT dan</w:t>
            </w:r>
            <w:r>
              <w:t xml:space="preserve"> </w:t>
            </w:r>
            <w:r>
              <w:rPr>
                <w:iCs/>
                <w:i/>
              </w:rPr>
              <w:t xml:space="preserve">wheeling</w:t>
            </w:r>
            <w:r>
              <w:t xml:space="preserve"> </w:t>
            </w:r>
            <w:r>
              <w:t xml:space="preserve">dalam wilayah usaha swasta bisa berubah</w:t>
            </w:r>
          </w:p>
        </w:tc>
        <w:tc>
          <w:tcPr/>
          <w:p>
            <w:pPr>
              <w:pStyle w:val="Compact"/>
              <w:jc w:val="left"/>
            </w:pPr>
            <w:r>
              <w:t xml:space="preserve">Dialog regulasi sejak awal (key action 4.1), kontrak yang lentur, dan REC PLN sebagai cadangan pasokan</w:t>
            </w:r>
          </w:p>
        </w:tc>
      </w:tr>
      <w:tr>
        <w:tc>
          <w:tcPr/>
          <w:p>
            <w:pPr>
              <w:pStyle w:val="Compact"/>
              <w:jc w:val="left"/>
            </w:pPr>
            <w:r>
              <w:t xml:space="preserve">Penyerapan tenant</w:t>
            </w:r>
          </w:p>
        </w:tc>
        <w:tc>
          <w:tcPr/>
          <w:p>
            <w:pPr>
              <w:pStyle w:val="Compact"/>
              <w:jc w:val="left"/>
            </w:pPr>
            <w:r>
              <w:t xml:space="preserve">Tenant memilih tingkat</w:t>
            </w:r>
            <w:r>
              <w:t xml:space="preserve"> </w:t>
            </w:r>
            <w:r>
              <w:rPr>
                <w:iCs/>
                <w:i/>
              </w:rPr>
              <w:t xml:space="preserve">Base</w:t>
            </w:r>
            <w:r>
              <w:t xml:space="preserve"> </w:t>
            </w:r>
            <w:r>
              <w:t xml:space="preserve">kalau premi terlalu mahal</w:t>
            </w:r>
          </w:p>
        </w:tc>
        <w:tc>
          <w:tcPr/>
          <w:p>
            <w:pPr>
              <w:pStyle w:val="Compact"/>
              <w:jc w:val="left"/>
            </w:pPr>
            <w:r>
              <w:t xml:space="preserve">Mulai dari tenant yang menghadapi CBAM dan deklarasi karbon produk; sediakan jalur migrasi bertahap; jadikan tingkat rendah karbon syarat standar kontrak lahan baru</w:t>
            </w:r>
          </w:p>
        </w:tc>
      </w:tr>
      <w:tr>
        <w:tc>
          <w:tcPr/>
          <w:p>
            <w:pPr>
              <w:pStyle w:val="Compact"/>
              <w:jc w:val="left"/>
            </w:pPr>
            <w:r>
              <w:t xml:space="preserve">Teknologi dan operasi</w:t>
            </w:r>
          </w:p>
        </w:tc>
        <w:tc>
          <w:tcPr/>
          <w:p>
            <w:pPr>
              <w:pStyle w:val="Compact"/>
              <w:jc w:val="left"/>
            </w:pPr>
            <w:r>
              <w:t xml:space="preserve">Kinerja PLTS terapung dan baterai di bawah rencana</w:t>
            </w:r>
          </w:p>
        </w:tc>
        <w:tc>
          <w:tcPr/>
          <w:p>
            <w:pPr>
              <w:pStyle w:val="Compact"/>
              <w:jc w:val="left"/>
            </w:pPr>
            <w:r>
              <w:t xml:space="preserve">Kontrak EPC berbasis kinerja; tahap bertahap dengan FID terpisah</w:t>
            </w:r>
          </w:p>
        </w:tc>
      </w:tr>
      <w:tr>
        <w:tc>
          <w:tcPr/>
          <w:p>
            <w:pPr>
              <w:pStyle w:val="Compact"/>
              <w:jc w:val="left"/>
            </w:pPr>
            <w:r>
              <w:t xml:space="preserve">Pendanaan</w:t>
            </w:r>
          </w:p>
        </w:tc>
        <w:tc>
          <w:tcPr/>
          <w:p>
            <w:pPr>
              <w:pStyle w:val="Compact"/>
              <w:jc w:val="left"/>
            </w:pPr>
            <w:r>
              <w:t xml:space="preserve">Pinjaman hijau mensyaratkan taksonomi dan pelaporan</w:t>
            </w:r>
          </w:p>
        </w:tc>
        <w:tc>
          <w:tcPr/>
          <w:p>
            <w:pPr>
              <w:pStyle w:val="Compact"/>
              <w:jc w:val="left"/>
            </w:pPr>
            <w:r>
              <w:t xml:space="preserve">Selaraskan dengan Taksonomi untuk Keuangan Berkelanjutan Indonesia dan POJK 51/2017 sejak awal</w:t>
            </w:r>
          </w:p>
        </w:tc>
      </w:tr>
    </w:tbl>
    <w:p>
      <w:pPr>
        <w:pStyle w:val="BodyText"/>
      </w:pPr>
      <w:r>
        <w:t xml:space="preserve">Sumber: analisis penulis.</w:t>
      </w:r>
    </w:p>
    <w:bookmarkEnd w:id="81"/>
    <w:bookmarkStart w:id="82" w:name="Xe52f0afb8556d38db5e010adcc1c9a2a4e15b26"/>
    <w:p>
      <w:pPr>
        <w:pStyle w:val="Heading3"/>
      </w:pPr>
      <w:r>
        <w:t xml:space="preserve">4.7.7 Keterkaitan dengan Key Action 4.1 sampai 4.3</w:t>
      </w:r>
    </w:p>
    <w:p>
      <w:pPr>
        <w:pStyle w:val="FirstParagraph"/>
      </w:pPr>
      <w:r>
        <w:t xml:space="preserve">Usulan ini langsung menjalankan</w:t>
      </w:r>
      <w:r>
        <w:t xml:space="preserve"> </w:t>
      </w:r>
      <w:r>
        <w:rPr>
          <w:iCs/>
          <w:i/>
        </w:rPr>
        <w:t xml:space="preserve">key action</w:t>
      </w:r>
      <w:r>
        <w:t xml:space="preserve"> </w:t>
      </w:r>
      <w:r>
        <w:t xml:space="preserve">ketiga pada 4.1 (kepastian regulasi KEK dan ketenagalistrikan JIIPE),</w:t>
      </w:r>
      <w:r>
        <w:t xml:space="preserve"> </w:t>
      </w:r>
      <w:r>
        <w:rPr>
          <w:iCs/>
          <w:i/>
        </w:rPr>
        <w:t xml:space="preserve">key action</w:t>
      </w:r>
      <w:r>
        <w:t xml:space="preserve"> </w:t>
      </w:r>
      <w:r>
        <w:t xml:space="preserve">ketiga pada 4.2 (klausul penyesuaian dalam kontrak utilitas dan pergeseran pelanggan ke tenant JIIPE), serta</w:t>
      </w:r>
      <w:r>
        <w:t xml:space="preserve"> </w:t>
      </w:r>
      <w:r>
        <w:rPr>
          <w:iCs/>
          <w:i/>
        </w:rPr>
        <w:t xml:space="preserve">key action</w:t>
      </w:r>
      <w:r>
        <w:t xml:space="preserve"> </w:t>
      </w:r>
      <w:r>
        <w:t xml:space="preserve">pertama dan ketiga pada 4.3 (</w:t>
      </w:r>
      <w:r>
        <w:rPr>
          <w:iCs/>
          <w:i/>
        </w:rPr>
        <w:t xml:space="preserve">baseline</w:t>
      </w:r>
      <w:r>
        <w:t xml:space="preserve"> </w:t>
      </w:r>
      <w:r>
        <w:t xml:space="preserve">emisi dan FID PLTS yang dikunci kontrak). Fungsi</w:t>
      </w:r>
      <w:r>
        <w:t xml:space="preserve"> </w:t>
      </w:r>
      <w:r>
        <w:rPr>
          <w:iCs/>
          <w:i/>
        </w:rPr>
        <w:t xml:space="preserve">Regulatory Affairs</w:t>
      </w:r>
      <w:r>
        <w:t xml:space="preserve"> </w:t>
      </w:r>
      <w:r>
        <w:t xml:space="preserve">yang diusulkan pada 4.1 menjadi pemilik dialog regulasi unit energi. Kebijakan modal kerja pada 4.2 menjaga arus kas yang mendanai PLTS. Pilot multi-energi pada 4.3 berjalan sejajar sebagai opsi bagi ritel tanpa berebut modal dengan JIIPE.</w:t>
      </w:r>
    </w:p>
    <w:bookmarkEnd w:id="82"/>
    <w:bookmarkStart w:id="83" w:name="Xa670f0dc021e69bc38edb017f151a6615b46953"/>
    <w:p>
      <w:pPr>
        <w:pStyle w:val="Heading3"/>
      </w:pPr>
      <w:r>
        <w:t xml:space="preserve">4.7.8 Mengapa Ini Inovatif, Bukan Sekadar Perbaikan</w:t>
      </w:r>
    </w:p>
    <w:p>
      <w:pPr>
        <w:pStyle w:val="FirstParagraph"/>
      </w:pPr>
      <w:r>
        <w:t xml:space="preserve">Infrastruktur yang dipakai usulan ini sebagian besar sudah ada dalam rencana resmi AKR. Yang baru adalah cara nilainya diciptakan dan ditangkap. Dalam kerangka Zott dan Amit (2010), kebaruan terjadi pada ketiga dimensi: isi (aktivitas baru berupa sertifikasi, pencocokan per jam, dan pelaporan), struktur (BREN, BBE, LNG, dan PLN dihubungkan dalam satu portofolio yang dikontrak sebagai satu layanan), dan tata kelola (keputusan investasi dikunci kontrak tenant, bukan rencana pengembang). Tukker (2004,</w:t>
      </w:r>
      <w:r>
        <w:t xml:space="preserve"> </w:t>
      </w:r>
      <w:r>
        <w:rPr>
          <w:iCs/>
          <w:i/>
        </w:rPr>
        <w:t xml:space="preserve">Business Strategy and the Environment</w:t>
      </w:r>
      <w:r>
        <w:t xml:space="preserve">, SJR Q1) membagi sistem produk-layanan ke beberapa jenis dan menunjukkan model berorientasi hasil, yaitu pelanggan membayar hasil yang dijamin dan bukan produknya, punya potensi keberlanjutan dan keterikatan pelanggan paling tinggi. Usulan ini masuk jenis itu, karena tenant membeli intensitas karbon yang dijamin, bukan kWh. Richter (2013,</w:t>
      </w:r>
      <w:r>
        <w:t xml:space="preserve"> </w:t>
      </w:r>
      <w:r>
        <w:rPr>
          <w:iCs/>
          <w:i/>
        </w:rPr>
        <w:t xml:space="preserve">Energy Policy</w:t>
      </w:r>
      <w:r>
        <w:t xml:space="preserve">, SJR Q1) menemukan utilitas lama di Jerman gagal menangkap nilai energi terbarukan ketika hanya menambah pembangkit tanpa mengubah model bisnis di sisi pelanggan. Helms (2016,</w:t>
      </w:r>
      <w:r>
        <w:t xml:space="preserve"> </w:t>
      </w:r>
      <w:r>
        <w:rPr>
          <w:iCs/>
          <w:i/>
        </w:rPr>
        <w:t xml:space="preserve">Energy Policy</w:t>
      </w:r>
      <w:r>
        <w:t xml:space="preserve">, SJR Q1) menunjukkan servitisasi model bisnis utilitas menuntut perubahan dari penjual energi menjadi penyedia layanan dengan kontrak berbasis hasil. Hartmann et al. (2021,</w:t>
      </w:r>
      <w:r>
        <w:t xml:space="preserve"> </w:t>
      </w:r>
      <w:r>
        <w:rPr>
          <w:iCs/>
          <w:i/>
        </w:rPr>
        <w:t xml:space="preserve">Journal of International Business Studies</w:t>
      </w:r>
      <w:r>
        <w:t xml:space="preserve">, SJR Q1) menemukan perusahaan migas lama yang berhasil di energi terbarukan adalah yang memadukan aset lama dengan kemampuan baru pada segmen pelanggan tertentu, bukan yang sekadar menambah portofolio. Dalam perspektif multi-level Geels (2002), usulan ini menjadikan JIIPE ceruk terlindung tempat AKR, sebagai pemain sistem fosil, membangun kemampuan untuk sistem baru dengan risiko yang terkendali. Itu yang membedakannya dari perbaikan operasional dan dari sekadar menambah kapasitas PLTS.</w:t>
      </w:r>
    </w:p>
    <w:p>
      <w:r>
        <w:br w:type="page"/>
      </w:r>
    </w:p>
    <w:bookmarkEnd w:id="83"/>
    <w:bookmarkEnd w:id="84"/>
    <w:bookmarkEnd w:id="85"/>
    <w:bookmarkStart w:id="89" w:name="bab-5-kesimpulan-dan-rekomendasi"/>
    <w:p>
      <w:pPr>
        <w:pStyle w:val="Heading1"/>
      </w:pPr>
      <w:r>
        <w:t xml:space="preserve">BAB 5 KESIMPULAN DAN REKOMENDASI</w:t>
      </w:r>
    </w:p>
    <w:bookmarkStart w:id="86" w:name="jawaban-atas-pertanyaan-penelitian"/>
    <w:p>
      <w:pPr>
        <w:pStyle w:val="Heading2"/>
      </w:pPr>
      <w:r>
        <w:t xml:space="preserve">5.1 Jawaban atas Pertanyaan Penelitian</w:t>
      </w:r>
    </w:p>
    <w:p>
      <w:pPr>
        <w:pStyle w:val="FirstParagraph"/>
      </w:pPr>
      <w:r>
        <w:t xml:space="preserve">PP1 (Pemerintah dan Regulasi). Faktor ini memengaruhi AKR secara langsung, dan arahnya berbeda tiap segmen. Kuota impor yang habis pada Agustus 2025 menghentikan penjualan bensin bp AKR. Di saat yang sama, penugasan BPH Migas, alokasi FAME, dan mandatori B50 menaikkan volume BBM industri dan bersubsidi, dan fasilitas KEK menarik tenant yang membuat pendapatan JIIPE naik 99%.</w:t>
      </w:r>
      <w:r>
        <w:t xml:space="preserve"> </w:t>
      </w:r>
      <w:r>
        <w:rPr>
          <w:iCs/>
          <w:i/>
        </w:rPr>
        <w:t xml:space="preserve">Key factor</w:t>
      </w:r>
      <w:r>
        <w:t xml:space="preserve"> </w:t>
      </w:r>
      <w:r>
        <w:t xml:space="preserve">penyebabnya adalah tekanan fiskal subsidi energi (Rp376,8 triliun sampai September 2026), agenda ketahanan energi dan substitusi impor, serta koalisi politik hilirisasi yang stabil. Ketiganya di luar kendali AKR dan hanya bisa dipengaruhi lewat strategi nonpasar.</w:t>
      </w:r>
    </w:p>
    <w:p>
      <w:pPr>
        <w:pStyle w:val="BodyText"/>
      </w:pPr>
      <w:r>
        <w:t xml:space="preserve">PP2 (Ekonomi). Guncangan harga minyak 2026, rupiah yang melemah, dan siklus komoditas pelanggan menggerakkan pendapatan nominal AKR dengan tajam, tetapi margin per unit dilindungi model harga berbasis formula dengan posisi terbuka neto nol. Yang tidak terlindungi adalah modal kerja, risiko kredit, dan waktu keputusan investasi tenant JIIPE.</w:t>
      </w:r>
      <w:r>
        <w:t xml:space="preserve"> </w:t>
      </w:r>
      <w:r>
        <w:rPr>
          <w:iCs/>
          <w:i/>
        </w:rPr>
        <w:t xml:space="preserve">Key factor</w:t>
      </w:r>
      <w:r>
        <w:t xml:space="preserve"> </w:t>
      </w:r>
      <w:r>
        <w:t xml:space="preserve">penyebabnya adalah guncangan pasokan minyak yang bersifat geopolitik, jalur kurs, dan struktur</w:t>
      </w:r>
      <w:r>
        <w:t xml:space="preserve"> </w:t>
      </w:r>
      <w:r>
        <w:rPr>
          <w:iCs/>
          <w:i/>
        </w:rPr>
        <w:t xml:space="preserve">pass-through</w:t>
      </w:r>
      <w:r>
        <w:t xml:space="preserve"> </w:t>
      </w:r>
      <w:r>
        <w:t xml:space="preserve">yang diatur negara.</w:t>
      </w:r>
    </w:p>
    <w:p>
      <w:pPr>
        <w:pStyle w:val="BodyText"/>
      </w:pPr>
      <w:r>
        <w:t xml:space="preserve">PP3 (Teknologi dan Lingkungan). Elektrifikasi kendaraan (BEV 15,9% pada semester I 2026), B50, dan tuntutan karbon rantai pasok berdampak kecil pada laba jangka pendek karena pelanggan AKR kebanyakan industri. Tetapi faktor ini mengancam ritel bensin dalam jangka panjang dan membuka peluang utilitas rendah karbon di JIIPE.</w:t>
      </w:r>
      <w:r>
        <w:t xml:space="preserve"> </w:t>
      </w:r>
      <w:r>
        <w:rPr>
          <w:iCs/>
          <w:i/>
        </w:rPr>
        <w:t xml:space="preserve">Key factor</w:t>
      </w:r>
      <w:r>
        <w:t xml:space="preserve"> </w:t>
      </w:r>
      <w:r>
        <w:t xml:space="preserve">penyebabnya adalah turunnya biaya teknologi dan efek jaringan, tekanan kebijakan iklim pembeli global, hambatan struktural EBT yang justru membuat lisensi listrik JIIPE langka, dan mekanisme</w:t>
      </w:r>
      <w:r>
        <w:t xml:space="preserve"> </w:t>
      </w:r>
      <w:r>
        <w:rPr>
          <w:iCs/>
          <w:i/>
        </w:rPr>
        <w:t xml:space="preserve">stranded assets</w:t>
      </w:r>
      <w:r>
        <w:t xml:space="preserve">.</w:t>
      </w:r>
    </w:p>
    <w:p>
      <w:pPr>
        <w:pStyle w:val="BodyText"/>
      </w:pPr>
      <w:r>
        <w:t xml:space="preserve">PP4 (Inovasi). Inovasi yang paling layak adalah JIIPE Low-Carbon Industrial Energy-as-a-Service, dengan skor berbobot 4,20 dibanding 3,25 untuk stasiun multi-energi dan 3,40 untuk platform logistik. Usulan ini unggul karena menjawab ketiga faktor sekaligus, menghasilkan pendapatan berulang berkontrak yang tidak bergantung kuota maupun harga minyak, memakai infrastruktur yang sudah direncanakan tanpa belanja modal spekulatif, dan belum ditiru pesaing. Kebaruannya ada pada model bisnis layanan berbasis hasil, bukan pada asetnya.</w:t>
      </w:r>
    </w:p>
    <w:bookmarkEnd w:id="86"/>
    <w:bookmarkStart w:id="87" w:name="rekomendasi-bertingkat"/>
    <w:p>
      <w:pPr>
        <w:pStyle w:val="Heading2"/>
      </w:pPr>
      <w:r>
        <w:t xml:space="preserve">5.2 Rekomendasi Bertingkat</w:t>
      </w:r>
    </w:p>
    <w:p>
      <w:pPr>
        <w:pStyle w:val="FirstParagraph"/>
      </w:pPr>
      <w:r>
        <w:rPr>
          <w:bCs/>
          <w:b/>
        </w:rPr>
        <w:t xml:space="preserve">Tabel 5.1 Rekomendasi bertingkat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Horizon</w:t>
            </w:r>
          </w:p>
        </w:tc>
        <w:tc>
          <w:tcPr/>
          <w:p>
            <w:pPr>
              <w:pStyle w:val="Compact"/>
              <w:jc w:val="left"/>
            </w:pPr>
            <w:r>
              <w:t xml:space="preserve">Rekomendasi</w:t>
            </w:r>
          </w:p>
        </w:tc>
        <w:tc>
          <w:tcPr/>
          <w:p>
            <w:pPr>
              <w:pStyle w:val="Compact"/>
              <w:jc w:val="left"/>
            </w:pPr>
            <w:r>
              <w:t xml:space="preserve">Pemilik</w:t>
            </w:r>
          </w:p>
        </w:tc>
      </w:tr>
      <w:tr>
        <w:tc>
          <w:tcPr/>
          <w:p>
            <w:pPr>
              <w:pStyle w:val="Compact"/>
              <w:jc w:val="left"/>
            </w:pPr>
            <w:r>
              <w:t xml:space="preserve">0–6 bulan</w:t>
            </w:r>
          </w:p>
        </w:tc>
        <w:tc>
          <w:tcPr/>
          <w:p>
            <w:pPr>
              <w:pStyle w:val="Compact"/>
              <w:jc w:val="left"/>
            </w:pPr>
            <w:r>
              <w:t xml:space="preserve">Bentuk fungsi</w:t>
            </w:r>
            <w:r>
              <w:t xml:space="preserve"> </w:t>
            </w:r>
            <w:r>
              <w:rPr>
                <w:iCs/>
                <w:i/>
              </w:rPr>
              <w:t xml:space="preserve">Regulatory Affairs &amp; Energy Policy</w:t>
            </w:r>
            <w:r>
              <w:t xml:space="preserve">; serahkan data kebutuhan impor 2027 ke ESDM; tetapkan kebijakan modal kerja berbasis skenario harga; tetapkan</w:t>
            </w:r>
            <w:r>
              <w:t xml:space="preserve"> </w:t>
            </w:r>
            <w:r>
              <w:rPr>
                <w:iCs/>
                <w:i/>
              </w:rPr>
              <w:t xml:space="preserve">baseline</w:t>
            </w:r>
            <w:r>
              <w:t xml:space="preserve"> </w:t>
            </w:r>
            <w:r>
              <w:t xml:space="preserve">emisi dan target intensitas; bentuk unit JIIPE Energy Services dan survei tenant</w:t>
            </w:r>
          </w:p>
        </w:tc>
        <w:tc>
          <w:tcPr/>
          <w:p>
            <w:pPr>
              <w:pStyle w:val="Compact"/>
              <w:jc w:val="left"/>
            </w:pPr>
            <w:r>
              <w:t xml:space="preserve">Direktur Utama, Direktur Keuangan, Komite ESG, Direksi BKMS</w:t>
            </w:r>
          </w:p>
        </w:tc>
      </w:tr>
      <w:tr>
        <w:tc>
          <w:tcPr/>
          <w:p>
            <w:pPr>
              <w:pStyle w:val="Compact"/>
              <w:jc w:val="left"/>
            </w:pPr>
            <w:r>
              <w:t xml:space="preserve">6–18 bulan</w:t>
            </w:r>
          </w:p>
        </w:tc>
        <w:tc>
          <w:tcPr/>
          <w:p>
            <w:pPr>
              <w:pStyle w:val="Compact"/>
              <w:jc w:val="left"/>
            </w:pPr>
            <w:r>
              <w:t xml:space="preserve">Kontrak</w:t>
            </w:r>
            <w:r>
              <w:t xml:space="preserve"> </w:t>
            </w:r>
            <w:r>
              <w:rPr>
                <w:iCs/>
                <w:i/>
              </w:rPr>
              <w:t xml:space="preserve">base fuel</w:t>
            </w:r>
            <w:r>
              <w:t xml:space="preserve"> </w:t>
            </w:r>
            <w:r>
              <w:t xml:space="preserve">jangka panjang dan uji pencampuran domestik untuk bp AKR; kontrak percontohan EaaS dengan 2–3 tenant jangkar; FID PLTS 56 MWp dikunci kontrak minimal 30 MW; pilot dua SPBU multi-energi; klausul penyesuaian pada semua kontrak JIIPE baru</w:t>
            </w:r>
          </w:p>
        </w:tc>
        <w:tc>
          <w:tcPr/>
          <w:p>
            <w:pPr>
              <w:pStyle w:val="Compact"/>
              <w:jc w:val="left"/>
            </w:pPr>
            <w:r>
              <w:t xml:space="preserve">Direksi APR, Direksi BKMS/BREN, Direktur Trading &amp; Distribution</w:t>
            </w:r>
          </w:p>
        </w:tc>
      </w:tr>
      <w:tr>
        <w:tc>
          <w:tcPr/>
          <w:p>
            <w:pPr>
              <w:pStyle w:val="Compact"/>
              <w:jc w:val="left"/>
            </w:pPr>
            <w:r>
              <w:t xml:space="preserve">18–36 bulan</w:t>
            </w:r>
          </w:p>
        </w:tc>
        <w:tc>
          <w:tcPr/>
          <w:p>
            <w:pPr>
              <w:pStyle w:val="Compact"/>
              <w:jc w:val="left"/>
            </w:pPr>
            <w:r>
              <w:t xml:space="preserve">COD PLTS 56 MWp; peluncuran tingkat</w:t>
            </w:r>
            <w:r>
              <w:t xml:space="preserve"> </w:t>
            </w:r>
            <w:r>
              <w:rPr>
                <w:iCs/>
                <w:i/>
              </w:rPr>
              <w:t xml:space="preserve">24/7 Carbon-Free</w:t>
            </w:r>
            <w:r>
              <w:t xml:space="preserve">; FID PLTS terapung 55 MW; integrasi LNG 2029; evaluasi replikasi model ke kawasan lain; keputusan skala ekspansi multi-energi berdasarkan hasil pilot</w:t>
            </w:r>
          </w:p>
        </w:tc>
        <w:tc>
          <w:tcPr/>
          <w:p>
            <w:pPr>
              <w:pStyle w:val="Compact"/>
              <w:jc w:val="left"/>
            </w:pPr>
            <w:r>
              <w:t xml:space="preserve">Direksi AKR dan Dewan Komisaris</w:t>
            </w:r>
          </w:p>
        </w:tc>
      </w:tr>
    </w:tbl>
    <w:p>
      <w:pPr>
        <w:pStyle w:val="BodyText"/>
      </w:pPr>
      <w:r>
        <w:t xml:space="preserve">Sumber: rangkuman Bab 4.</w:t>
      </w:r>
    </w:p>
    <w:bookmarkEnd w:id="87"/>
    <w:bookmarkStart w:id="88" w:name="keterbatasan-studi"/>
    <w:p>
      <w:pPr>
        <w:pStyle w:val="Heading2"/>
      </w:pPr>
      <w:r>
        <w:t xml:space="preserve">5.3 Keterbatasan Studi</w:t>
      </w:r>
    </w:p>
    <w:p>
      <w:pPr>
        <w:pStyle w:val="FirstParagraph"/>
      </w:pPr>
      <w:r>
        <w:t xml:space="preserve">Studi ini bertumpu pada data sekunder, terutama Laporan Tahunan dan Keberlanjutan AKR yang tidak mengungkapkan volume fisik BBM dan kimia maupun rincian tarif utilitas, sehingga beberapa angka ditandai [VERIFIKASI] dan estimasi investasi masih kasar. Kesediaan tenant membayar premi energi rendah karbon belum diuji lewat wawancara atau survei, dan asumsi regulasi ketenagalistrikan di dalam KEK bisa berubah. Peristiwa 2026 yang dikutip dari media masih baru dan belum tercermin dalam laporan auditan, jadi tafsir dampaknya pada laba 2026 masih berupa perkiraan penulis.</w:t>
      </w:r>
    </w:p>
    <w:p>
      <w:r>
        <w:br w:type="page"/>
      </w:r>
    </w:p>
    <w:bookmarkEnd w:id="88"/>
    <w:bookmarkEnd w:id="89"/>
    <w:bookmarkStart w:id="90" w:name="daftar-pustaka"/>
    <w:p>
      <w:pPr>
        <w:pStyle w:val="Heading1"/>
      </w:pPr>
      <w:r>
        <w:t xml:space="preserve">DAFTAR PUSTAKA</w:t>
      </w:r>
    </w:p>
    <w:p>
      <w:pPr>
        <w:pStyle w:val="FirstParagraph"/>
      </w:pPr>
      <w:r>
        <w:t xml:space="preserve">Aguilar, F. J. (1967).</w:t>
      </w:r>
      <w:r>
        <w:t xml:space="preserve"> </w:t>
      </w:r>
      <w:r>
        <w:rPr>
          <w:iCs/>
          <w:i/>
        </w:rPr>
        <w:t xml:space="preserve">Scanning the business environment</w:t>
      </w:r>
      <w:r>
        <w:t xml:space="preserve">. Macmillan.</w:t>
      </w:r>
    </w:p>
    <w:p>
      <w:pPr>
        <w:pStyle w:val="BodyText"/>
      </w:pPr>
      <w:r>
        <w:t xml:space="preserve">AKR Corporindo. (2025).</w:t>
      </w:r>
      <w:r>
        <w:t xml:space="preserve"> </w:t>
      </w:r>
      <w:r>
        <w:rPr>
          <w:iCs/>
          <w:i/>
        </w:rPr>
        <w:t xml:space="preserve">Laporan Tahunan 2024: Beyond Strategy, Value, and Legacy</w:t>
      </w:r>
      <w:r>
        <w:t xml:space="preserve"> </w:t>
      </w:r>
      <w:r>
        <w:t xml:space="preserve">[Annual Report 2024]. PT AKR Corporindo Tbk. [VERIFIKASI: judul resmi AR 2024]</w:t>
      </w:r>
    </w:p>
    <w:p>
      <w:pPr>
        <w:pStyle w:val="BodyText"/>
      </w:pPr>
      <w:r>
        <w:t xml:space="preserve">AKR Corporindo. (2026a).</w:t>
      </w:r>
      <w:r>
        <w:t xml:space="preserve"> </w:t>
      </w:r>
      <w:r>
        <w:rPr>
          <w:iCs/>
          <w:i/>
        </w:rPr>
        <w:t xml:space="preserve">Laporan Tahunan 2025: Raising the Bar, Progressing Further</w:t>
      </w:r>
      <w:r>
        <w:t xml:space="preserve"> </w:t>
      </w:r>
      <w:r>
        <w:t xml:space="preserve">[Annual Report 2025]. PT AKR Corporindo Tbk.</w:t>
      </w:r>
    </w:p>
    <w:p>
      <w:pPr>
        <w:pStyle w:val="BodyText"/>
      </w:pPr>
      <w:r>
        <w:t xml:space="preserve">AKR Corporindo. (2026b).</w:t>
      </w:r>
      <w:r>
        <w:t xml:space="preserve"> </w:t>
      </w:r>
      <w:r>
        <w:rPr>
          <w:iCs/>
          <w:i/>
        </w:rPr>
        <w:t xml:space="preserve">Laporan Keberlanjutan 2025</w:t>
      </w:r>
      <w:r>
        <w:t xml:space="preserve"> </w:t>
      </w:r>
      <w:r>
        <w:t xml:space="preserve">[Sustainability Report 2025]. PT AKR Corporindo Tbk.</w:t>
      </w:r>
    </w:p>
    <w:p>
      <w:pPr>
        <w:pStyle w:val="BodyText"/>
      </w:pPr>
      <w:r>
        <w:t xml:space="preserve">ANTARA. (2026, 9 Oktober).</w:t>
      </w:r>
      <w:r>
        <w:t xml:space="preserve"> </w:t>
      </w:r>
      <w:r>
        <w:rPr>
          <w:iCs/>
          <w:i/>
        </w:rPr>
        <w:t xml:space="preserve">Subsidi dan kompensasi energi capai Rp376,8 T hingga September</w:t>
      </w:r>
      <w:r>
        <w:t xml:space="preserve">. ANTARA News. https://www.antaranews.com/berita/5778778/subsidi-dan-kompensasi-energi-capai-rp3768-t-hingga-september</w:t>
      </w:r>
    </w:p>
    <w:p>
      <w:pPr>
        <w:pStyle w:val="BodyText"/>
      </w:pPr>
      <w:r>
        <w:t xml:space="preserve">Baron, D. P. (1995). Integrated strategy: Market and nonmarket components.</w:t>
      </w:r>
      <w:r>
        <w:t xml:space="preserve"> </w:t>
      </w:r>
      <w:r>
        <w:rPr>
          <w:iCs/>
          <w:i/>
        </w:rPr>
        <w:t xml:space="preserve">California Management Review, 37</w:t>
      </w:r>
      <w:r>
        <w:t xml:space="preserve">(2), 47–65. https://doi.org/10.2307/41165788</w:t>
      </w:r>
    </w:p>
    <w:p>
      <w:pPr>
        <w:pStyle w:val="BodyText"/>
      </w:pPr>
      <w:r>
        <w:t xml:space="preserve">Basher, S. A., Haug, A. A., &amp; Sadorsky, P. (2012). Oil prices, exchange rates and emerging stock markets.</w:t>
      </w:r>
      <w:r>
        <w:t xml:space="preserve"> </w:t>
      </w:r>
      <w:r>
        <w:rPr>
          <w:iCs/>
          <w:i/>
        </w:rPr>
        <w:t xml:space="preserve">Energy Economics, 34</w:t>
      </w:r>
      <w:r>
        <w:t xml:space="preserve">(1), 227–240. https://doi.org/10.1016/j.eneco.2011.10.005</w:t>
      </w:r>
    </w:p>
    <w:p>
      <w:pPr>
        <w:pStyle w:val="BodyText"/>
      </w:pPr>
      <w:r>
        <w:t xml:space="preserve">Bisnis Indonesia. (2025, 24 November).</w:t>
      </w:r>
      <w:r>
        <w:t xml:space="preserve"> </w:t>
      </w:r>
      <w:r>
        <w:rPr>
          <w:iCs/>
          <w:i/>
        </w:rPr>
        <w:t xml:space="preserve">BP dan Vivo sudah beli base fuel Pertamina, bagaimana dengan Shell?</w:t>
      </w:r>
      <w:r>
        <w:t xml:space="preserve"> </w:t>
      </w:r>
      <w:r>
        <w:t xml:space="preserve">Bisnis.com. https://ekonomi.bisnis.com/read/20251124/44/1931220/bp-dan-vivo-sudah-beli-base-fuel-pertamina-bagaimana-dengan-shell</w:t>
      </w:r>
    </w:p>
    <w:p>
      <w:pPr>
        <w:pStyle w:val="BodyText"/>
      </w:pPr>
      <w:r>
        <w:t xml:space="preserve">Bjørn, A., Lloyd, S. M., Brander, M., &amp; Matthews, H. D. (2022). Renewable energy certificates threaten the integrity of corporate science-based targets.</w:t>
      </w:r>
      <w:r>
        <w:t xml:space="preserve"> </w:t>
      </w:r>
      <w:r>
        <w:rPr>
          <w:iCs/>
          <w:i/>
        </w:rPr>
        <w:t xml:space="preserve">Nature Climate Change, 12</w:t>
      </w:r>
      <w:r>
        <w:t xml:space="preserve">(6), 539–546. https://doi.org/10.1038/s41558-022-01379-5</w:t>
      </w:r>
    </w:p>
    <w:p>
      <w:pPr>
        <w:pStyle w:val="BodyText"/>
      </w:pPr>
      <w:r>
        <w:t xml:space="preserve">Bloomberg Technoz. (2026, 26 Januari).</w:t>
      </w:r>
      <w:r>
        <w:t xml:space="preserve"> </w:t>
      </w:r>
      <w:r>
        <w:rPr>
          <w:iCs/>
          <w:i/>
        </w:rPr>
        <w:t xml:space="preserve">Persetujuan kuota impor BBM SPBU swasta dikembalikan per 6 bulan</w:t>
      </w:r>
      <w:r>
        <w:t xml:space="preserve">. https://www.bloombergtechnoz.com/detail-news/97492/persetujuan-kuota-impor-bbm-spbu-swasta-dikembalikan-per-6-bulan</w:t>
      </w:r>
    </w:p>
    <w:p>
      <w:pPr>
        <w:pStyle w:val="BodyText"/>
      </w:pPr>
      <w:r>
        <w:t xml:space="preserve">Borenstein, S., Cameron, A. C., &amp; Gilbert, R. (1997). Do gasoline prices respond asymmetrically to crude oil price changes?</w:t>
      </w:r>
      <w:r>
        <w:t xml:space="preserve"> </w:t>
      </w:r>
      <w:r>
        <w:rPr>
          <w:iCs/>
          <w:i/>
        </w:rPr>
        <w:t xml:space="preserve">Quarterly Journal of Economics, 112</w:t>
      </w:r>
      <w:r>
        <w:t xml:space="preserve">(1), 305–339. https://doi.org/10.1162/003355397555118</w:t>
      </w:r>
    </w:p>
    <w:p>
      <w:pPr>
        <w:pStyle w:val="BodyText"/>
      </w:pPr>
      <w:r>
        <w:t xml:space="preserve">Bower, J. L., &amp; Christensen, C. M. (1995). Disruptive technologies: Catching the wave.</w:t>
      </w:r>
      <w:r>
        <w:t xml:space="preserve"> </w:t>
      </w:r>
      <w:r>
        <w:rPr>
          <w:iCs/>
          <w:i/>
        </w:rPr>
        <w:t xml:space="preserve">Harvard Business Review, 73</w:t>
      </w:r>
      <w:r>
        <w:t xml:space="preserve">(1), 43–53.</w:t>
      </w:r>
    </w:p>
    <w:p>
      <w:pPr>
        <w:pStyle w:val="BodyText"/>
      </w:pPr>
      <w:r>
        <w:t xml:space="preserve">Brander, M., Gillenwater, M., &amp; Ascui, F. (2018). Creative accounting: A critical perspective on the market-based method for reporting purchased electricity (scope 2) emissions.</w:t>
      </w:r>
      <w:r>
        <w:t xml:space="preserve"> </w:t>
      </w:r>
      <w:r>
        <w:rPr>
          <w:iCs/>
          <w:i/>
        </w:rPr>
        <w:t xml:space="preserve">Energy Policy, 112</w:t>
      </w:r>
      <w:r>
        <w:t xml:space="preserve">, 29–33. https://doi.org/10.1016/j.enpol.2017.09.051</w:t>
      </w:r>
    </w:p>
    <w:p>
      <w:pPr>
        <w:pStyle w:val="BodyText"/>
      </w:pPr>
      <w:r>
        <w:t xml:space="preserve">Burke, P. J., &amp; Kurniawati, S. (2018). Electricity subsidy reform in Indonesia: Demand-side effects on electricity use.</w:t>
      </w:r>
      <w:r>
        <w:t xml:space="preserve"> </w:t>
      </w:r>
      <w:r>
        <w:rPr>
          <w:iCs/>
          <w:i/>
        </w:rPr>
        <w:t xml:space="preserve">Energy Policy, 116</w:t>
      </w:r>
      <w:r>
        <w:t xml:space="preserve">, 410–421. https://doi.org/10.1016/j.enpol.2018.02.018</w:t>
      </w:r>
    </w:p>
    <w:p>
      <w:pPr>
        <w:pStyle w:val="BodyText"/>
      </w:pPr>
      <w:r>
        <w:t xml:space="preserve">Burke, P. J., Widnyana, J., Anjum, Z., Aisbett, E., Resosudarmo, B., &amp; Baldwin, K. G. H. (2019). Overcoming barriers to solar and wind energy adoption in two Asian giants: India and Indonesia.</w:t>
      </w:r>
      <w:r>
        <w:t xml:space="preserve"> </w:t>
      </w:r>
      <w:r>
        <w:rPr>
          <w:iCs/>
          <w:i/>
        </w:rPr>
        <w:t xml:space="preserve">Energy Policy, 132</w:t>
      </w:r>
      <w:r>
        <w:t xml:space="preserve">, 1216–1228. https://doi.org/10.1016/j.enpol.2019.05.055</w:t>
      </w:r>
    </w:p>
    <w:p>
      <w:pPr>
        <w:pStyle w:val="BodyText"/>
      </w:pPr>
      <w:r>
        <w:t xml:space="preserve">Christensen, C. M., Raynor, M. E., &amp; McDonald, R. (2015). What is disruptive innovation?</w:t>
      </w:r>
      <w:r>
        <w:t xml:space="preserve"> </w:t>
      </w:r>
      <w:r>
        <w:rPr>
          <w:iCs/>
          <w:i/>
        </w:rPr>
        <w:t xml:space="preserve">Harvard Business Review, 93</w:t>
      </w:r>
      <w:r>
        <w:t xml:space="preserve">(12), 44–53.</w:t>
      </w:r>
    </w:p>
    <w:p>
      <w:pPr>
        <w:pStyle w:val="BodyText"/>
      </w:pPr>
      <w:r>
        <w:t xml:space="preserve">CNBC Indonesia. (2026, 1 Juli).</w:t>
      </w:r>
      <w:r>
        <w:t xml:space="preserve"> </w:t>
      </w:r>
      <w:r>
        <w:rPr>
          <w:iCs/>
          <w:i/>
        </w:rPr>
        <w:t xml:space="preserve">Resmi! Mandatori BBM biodiesel B50 berlaku 1 Juli 2026, ini aturannya</w:t>
      </w:r>
      <w:r>
        <w:t xml:space="preserve">. https://www.cnbcindonesia.com/news/20260701080925-4-747027/resmi-mandatori-bbm-biodiesel-b50-berlaku-1-juli-2026-ini-aturannya</w:t>
      </w:r>
    </w:p>
    <w:p>
      <w:pPr>
        <w:pStyle w:val="BodyText"/>
      </w:pPr>
      <w:r>
        <w:t xml:space="preserve">CNBC Indonesia. (2026, 10 Juli).</w:t>
      </w:r>
      <w:r>
        <w:t xml:space="preserve"> </w:t>
      </w:r>
      <w:r>
        <w:rPr>
          <w:iCs/>
          <w:i/>
        </w:rPr>
        <w:t xml:space="preserve">BBM Biosolar B50 beredar secara nasional di SPBU mulai 1 Oktober 2026</w:t>
      </w:r>
      <w:r>
        <w:t xml:space="preserve">. https://www.cnbcindonesia.com/news/20260710100507-4-749715/bbm-biosolar-b50-beredar-secara-nasional-di-spbu-mulai-1-oktober-2026</w:t>
      </w:r>
    </w:p>
    <w:p>
      <w:pPr>
        <w:pStyle w:val="BodyText"/>
      </w:pPr>
      <w:r>
        <w:t xml:space="preserve">Coady, D., Parry, I., Sears, L., &amp; Shang, B. (2017). How large are global fossil fuel subsidies?</w:t>
      </w:r>
      <w:r>
        <w:t xml:space="preserve"> </w:t>
      </w:r>
      <w:r>
        <w:rPr>
          <w:iCs/>
          <w:i/>
        </w:rPr>
        <w:t xml:space="preserve">World Development, 91</w:t>
      </w:r>
      <w:r>
        <w:t xml:space="preserve">, 11–27. https://doi.org/10.1016/j.worlddev.2016.10.004</w:t>
      </w:r>
    </w:p>
    <w:p>
      <w:pPr>
        <w:pStyle w:val="BodyText"/>
      </w:pPr>
      <w:r>
        <w:t xml:space="preserve">Dartanto, T. (2013). Reducing fuel subsidies and the implication on fiscal balance and poverty in Indonesia: A simulation analysis.</w:t>
      </w:r>
      <w:r>
        <w:t xml:space="preserve"> </w:t>
      </w:r>
      <w:r>
        <w:rPr>
          <w:iCs/>
          <w:i/>
        </w:rPr>
        <w:t xml:space="preserve">Energy Policy, 58</w:t>
      </w:r>
      <w:r>
        <w:t xml:space="preserve">, 117–134. https://doi.org/10.1016/j.enpol.2013.02.040</w:t>
      </w:r>
    </w:p>
    <w:p>
      <w:pPr>
        <w:pStyle w:val="BodyText"/>
      </w:pPr>
      <w:r>
        <w:t xml:space="preserve">Dechezleprêtre, A., &amp; Sato, M. (2017). The impacts of environmental regulations on competitiveness.</w:t>
      </w:r>
      <w:r>
        <w:t xml:space="preserve"> </w:t>
      </w:r>
      <w:r>
        <w:rPr>
          <w:iCs/>
          <w:i/>
        </w:rPr>
        <w:t xml:space="preserve">Review of Environmental Economics and Policy, 11</w:t>
      </w:r>
      <w:r>
        <w:t xml:space="preserve">(2), 183–206. https://doi.org/10.1093/reep/rex013</w:t>
      </w:r>
    </w:p>
    <w:p>
      <w:pPr>
        <w:pStyle w:val="BodyText"/>
      </w:pPr>
      <w:r>
        <w:t xml:space="preserve">Fahey, L., &amp; Narayanan, V. K. (1986).</w:t>
      </w:r>
      <w:r>
        <w:t xml:space="preserve"> </w:t>
      </w:r>
      <w:r>
        <w:rPr>
          <w:iCs/>
          <w:i/>
        </w:rPr>
        <w:t xml:space="preserve">Macroenvironmental analysis for strategic management</w:t>
      </w:r>
      <w:r>
        <w:t xml:space="preserve">. West Publishing.</w:t>
      </w:r>
    </w:p>
    <w:p>
      <w:pPr>
        <w:pStyle w:val="BodyText"/>
      </w:pPr>
      <w:r>
        <w:t xml:space="preserve">Frick, S. A., Rodríguez-Pose, A., &amp; Wong, M. D. (2019). Toward economically dynamic special economic zones in emerging countries.</w:t>
      </w:r>
      <w:r>
        <w:t xml:space="preserve"> </w:t>
      </w:r>
      <w:r>
        <w:rPr>
          <w:iCs/>
          <w:i/>
        </w:rPr>
        <w:t xml:space="preserve">Economic Geography, 95</w:t>
      </w:r>
      <w:r>
        <w:t xml:space="preserve">(1), 30–64. https://doi.org/10.1080/00130095.2018.1467732</w:t>
      </w:r>
    </w:p>
    <w:p>
      <w:pPr>
        <w:pStyle w:val="BodyText"/>
      </w:pPr>
      <w:r>
        <w:t xml:space="preserve">Froot, K. A., Scharfstein, D. S., &amp; Stein, J. C. (1993). Risk management: Coordinating corporate investment and financing policies.</w:t>
      </w:r>
      <w:r>
        <w:t xml:space="preserve"> </w:t>
      </w:r>
      <w:r>
        <w:rPr>
          <w:iCs/>
          <w:i/>
        </w:rPr>
        <w:t xml:space="preserve">Journal of Finance, 48</w:t>
      </w:r>
      <w:r>
        <w:t xml:space="preserve">(5), 1629–1658. https://doi.org/10.1111/j.1540-6261.1993.tb05123.x</w:t>
      </w:r>
    </w:p>
    <w:p>
      <w:pPr>
        <w:pStyle w:val="BodyText"/>
      </w:pPr>
      <w:r>
        <w:t xml:space="preserve">Geels, F. W. (2002). Technological transitions as evolutionary reconfiguration processes: A multi-level perspective and a case-study.</w:t>
      </w:r>
      <w:r>
        <w:t xml:space="preserve"> </w:t>
      </w:r>
      <w:r>
        <w:rPr>
          <w:iCs/>
          <w:i/>
        </w:rPr>
        <w:t xml:space="preserve">Research Policy, 31</w:t>
      </w:r>
      <w:r>
        <w:t xml:space="preserve">(8–9), 1257–1274. https://doi.org/10.1016/S0048-7333(02)00062-8</w:t>
      </w:r>
    </w:p>
    <w:p>
      <w:pPr>
        <w:pStyle w:val="BodyText"/>
      </w:pPr>
      <w:r>
        <w:t xml:space="preserve">Geroski, P. A. (2000). Models of technology diffusion.</w:t>
      </w:r>
      <w:r>
        <w:t xml:space="preserve"> </w:t>
      </w:r>
      <w:r>
        <w:rPr>
          <w:iCs/>
          <w:i/>
        </w:rPr>
        <w:t xml:space="preserve">Research Policy, 29</w:t>
      </w:r>
      <w:r>
        <w:t xml:space="preserve">(4–5), 603–625. https://doi.org/10.1016/S0048-7333(99)00092-X</w:t>
      </w:r>
    </w:p>
    <w:p>
      <w:pPr>
        <w:pStyle w:val="BodyText"/>
      </w:pPr>
      <w:r>
        <w:t xml:space="preserve">Grant, R. M. (2021).</w:t>
      </w:r>
      <w:r>
        <w:t xml:space="preserve"> </w:t>
      </w:r>
      <w:r>
        <w:rPr>
          <w:iCs/>
          <w:i/>
        </w:rPr>
        <w:t xml:space="preserve">Contemporary strategy analysis</w:t>
      </w:r>
      <w:r>
        <w:t xml:space="preserve"> </w:t>
      </w:r>
      <w:r>
        <w:t xml:space="preserve">(11th ed.). Wiley.</w:t>
      </w:r>
    </w:p>
    <w:p>
      <w:pPr>
        <w:pStyle w:val="BodyText"/>
      </w:pPr>
      <w:r>
        <w:t xml:space="preserve">Hamilton, J. D. (2009). Causes and consequences of the oil shock of 2007–08.</w:t>
      </w:r>
      <w:r>
        <w:t xml:space="preserve"> </w:t>
      </w:r>
      <w:r>
        <w:rPr>
          <w:iCs/>
          <w:i/>
        </w:rPr>
        <w:t xml:space="preserve">Brookings Papers on Economic Activity, 2009</w:t>
      </w:r>
      <w:r>
        <w:t xml:space="preserve">(1), 215–261. https://doi.org/10.1353/eca.0.0047</w:t>
      </w:r>
    </w:p>
    <w:p>
      <w:pPr>
        <w:pStyle w:val="BodyText"/>
      </w:pPr>
      <w:r>
        <w:t xml:space="preserve">Hardman, S., Jenn, A., Tal, G., Axsen, J., Beard, G., Daina, N., Figenbaum, E., Jakobsson, N., Jochem, P., Kinnear, N., Plötz, P., Pontes, J., Refa, N., Sprei, F., Turrentine, T., &amp; Witkamp, B. (2018). A review of consumer preferences of and interactions with electric vehicle charging infrastructure.</w:t>
      </w:r>
      <w:r>
        <w:t xml:space="preserve"> </w:t>
      </w:r>
      <w:r>
        <w:rPr>
          <w:iCs/>
          <w:i/>
        </w:rPr>
        <w:t xml:space="preserve">Transportation Research Part D: Transport and Environment, 62</w:t>
      </w:r>
      <w:r>
        <w:t xml:space="preserve">, 508–523. https://doi.org/10.1016/j.trd.2018.04.002</w:t>
      </w:r>
    </w:p>
    <w:p>
      <w:pPr>
        <w:pStyle w:val="BodyText"/>
      </w:pPr>
      <w:r>
        <w:t xml:space="preserve">Hartmann, J., Inkpen, A. C., &amp; Ramaswamy, K. (2021). Different shades of green: Global oil and gas companies and renewable energy.</w:t>
      </w:r>
      <w:r>
        <w:t xml:space="preserve"> </w:t>
      </w:r>
      <w:r>
        <w:rPr>
          <w:iCs/>
          <w:i/>
        </w:rPr>
        <w:t xml:space="preserve">Journal of International Business Studies, 52</w:t>
      </w:r>
      <w:r>
        <w:t xml:space="preserve">(5), 879–903. https://doi.org/10.1057/s41267-020-00326-w</w:t>
      </w:r>
    </w:p>
    <w:p>
      <w:pPr>
        <w:pStyle w:val="BodyText"/>
      </w:pPr>
      <w:r>
        <w:t xml:space="preserve">Helms, T. (2016). Asset transformation and the challenges to servitize a utility business model.</w:t>
      </w:r>
      <w:r>
        <w:t xml:space="preserve"> </w:t>
      </w:r>
      <w:r>
        <w:rPr>
          <w:iCs/>
          <w:i/>
        </w:rPr>
        <w:t xml:space="preserve">Energy Policy, 91</w:t>
      </w:r>
      <w:r>
        <w:t xml:space="preserve">, 98–112. https://doi.org/10.1016/j.enpol.2015.12.046</w:t>
      </w:r>
    </w:p>
    <w:p>
      <w:pPr>
        <w:pStyle w:val="BodyText"/>
      </w:pPr>
      <w:r>
        <w:t xml:space="preserve">Henisz, W. J. (2000). The institutional environment for economic growth.</w:t>
      </w:r>
      <w:r>
        <w:t xml:space="preserve"> </w:t>
      </w:r>
      <w:r>
        <w:rPr>
          <w:iCs/>
          <w:i/>
        </w:rPr>
        <w:t xml:space="preserve">Economics &amp; Politics, 12</w:t>
      </w:r>
      <w:r>
        <w:t xml:space="preserve">(1), 1–31. https://doi.org/10.1111/1468-0343.00066</w:t>
      </w:r>
    </w:p>
    <w:p>
      <w:pPr>
        <w:pStyle w:val="BodyText"/>
      </w:pPr>
      <w:r>
        <w:t xml:space="preserve">Hillman, A. J., Keim, G. D., &amp; Schuler, D. (2004). Corporate political activity: A review and research agenda.</w:t>
      </w:r>
      <w:r>
        <w:t xml:space="preserve"> </w:t>
      </w:r>
      <w:r>
        <w:rPr>
          <w:iCs/>
          <w:i/>
        </w:rPr>
        <w:t xml:space="preserve">Journal of Management, 30</w:t>
      </w:r>
      <w:r>
        <w:t xml:space="preserve">(6), 837–857. https://doi.org/10.1016/j.jm.2004.06.003</w:t>
      </w:r>
    </w:p>
    <w:p>
      <w:pPr>
        <w:pStyle w:val="BodyText"/>
      </w:pPr>
      <w:r>
        <w:t xml:space="preserve">Hitt, M. A., Ireland, R. D., &amp; Hoskisson, R. E. (2020).</w:t>
      </w:r>
      <w:r>
        <w:t xml:space="preserve"> </w:t>
      </w:r>
      <w:r>
        <w:rPr>
          <w:iCs/>
          <w:i/>
        </w:rPr>
        <w:t xml:space="preserve">Strategic management: Competitiveness and globalization</w:t>
      </w:r>
      <w:r>
        <w:t xml:space="preserve"> </w:t>
      </w:r>
      <w:r>
        <w:t xml:space="preserve">(13th ed.). Cengage.</w:t>
      </w:r>
    </w:p>
    <w:p>
      <w:pPr>
        <w:pStyle w:val="BodyText"/>
      </w:pPr>
      <w:r>
        <w:t xml:space="preserve">Katadata. (2025, 7 November).</w:t>
      </w:r>
      <w:r>
        <w:t xml:space="preserve"> </w:t>
      </w:r>
      <w:r>
        <w:rPr>
          <w:iCs/>
          <w:i/>
        </w:rPr>
        <w:t xml:space="preserve">BP-AKR tambah impor 100 ribu barel base fuel BBM dari Pertamina</w:t>
      </w:r>
      <w:r>
        <w:t xml:space="preserve">. Katadata.co.id. https://katadata.co.id/berita/energi/690da9444a349/bp-akr-tambah-impor-100-ribu-barel-base-fuel-bbm-dari-pertamina</w:t>
      </w:r>
    </w:p>
    <w:p>
      <w:pPr>
        <w:pStyle w:val="BodyText"/>
      </w:pPr>
      <w:r>
        <w:t xml:space="preserve">Katadata. (2026, 5 Januari).</w:t>
      </w:r>
      <w:r>
        <w:t xml:space="preserve"> </w:t>
      </w:r>
      <w:r>
        <w:rPr>
          <w:iCs/>
          <w:i/>
        </w:rPr>
        <w:t xml:space="preserve">ESDM sebut kuota impor BBM SPBU swasta naik sekitar 10% di 2026</w:t>
      </w:r>
      <w:r>
        <w:t xml:space="preserve">. Katadata.co.id. https://katadata.co.id/berita/energi/695c7ff1e246f/esdm-sebut-kuota-impor-bbm-spbu-swasta-naik-sekitar-10-di-2026</w:t>
      </w:r>
    </w:p>
    <w:p>
      <w:pPr>
        <w:pStyle w:val="BodyText"/>
      </w:pPr>
      <w:r>
        <w:t xml:space="preserve">Kementerian Energi dan Sumber Daya Mineral. (2026).</w:t>
      </w:r>
      <w:r>
        <w:t xml:space="preserve"> </w:t>
      </w:r>
      <w:r>
        <w:rPr>
          <w:iCs/>
          <w:i/>
        </w:rPr>
        <w:t xml:space="preserve">Keputusan Menteri ESDM Nomor 257.K/EK.01/MEM.E/2026 tentang implementasi pencampuran bahan bakar nabati jenis biodiesel 50 persen</w:t>
      </w:r>
      <w:r>
        <w:t xml:space="preserve"> </w:t>
      </w:r>
      <w:r>
        <w:t xml:space="preserve">[VERIFIKASI: judul resmi dan tanggal penetapan 17 Juni 2026].</w:t>
      </w:r>
    </w:p>
    <w:p>
      <w:pPr>
        <w:pStyle w:val="BodyText"/>
      </w:pPr>
      <w:r>
        <w:t xml:space="preserve">Kilian, L. (2009). Not all oil price shocks are alike: Disentangling demand and supply shocks in the crude oil market.</w:t>
      </w:r>
      <w:r>
        <w:t xml:space="preserve"> </w:t>
      </w:r>
      <w:r>
        <w:rPr>
          <w:iCs/>
          <w:i/>
        </w:rPr>
        <w:t xml:space="preserve">American Economic Review, 99</w:t>
      </w:r>
      <w:r>
        <w:t xml:space="preserve">(3), 1053–1069. https://doi.org/10.1257/aer.99.3.1053</w:t>
      </w:r>
    </w:p>
    <w:p>
      <w:pPr>
        <w:pStyle w:val="BodyText"/>
      </w:pPr>
      <w:r>
        <w:t xml:space="preserve">Kompas. (2026, 18 April).</w:t>
      </w:r>
      <w:r>
        <w:t xml:space="preserve"> </w:t>
      </w:r>
      <w:r>
        <w:rPr>
          <w:iCs/>
          <w:i/>
        </w:rPr>
        <w:t xml:space="preserve">Harga 3 jenis BBM Pertamina ini naik per 18 April 2026</w:t>
      </w:r>
      <w:r>
        <w:t xml:space="preserve">. Kompas.com. https://money.kompas.com/read/2026/04/18/070446926/harga-3-jenis-bbm-pertamina-ini-naik-per-18-april-2026</w:t>
      </w:r>
    </w:p>
    <w:p>
      <w:pPr>
        <w:pStyle w:val="BodyText"/>
      </w:pPr>
      <w:r>
        <w:t xml:space="preserve">Kompas. (2026, 14 Juli).</w:t>
      </w:r>
      <w:r>
        <w:t xml:space="preserve"> </w:t>
      </w:r>
      <w:r>
        <w:rPr>
          <w:iCs/>
          <w:i/>
        </w:rPr>
        <w:t xml:space="preserve">Pangsa pasar mobil listrik tembus 26,8 persen semester I/2026</w:t>
      </w:r>
      <w:r>
        <w:t xml:space="preserve">. Kompas.com. https://otomotif.kompas.com/read/2026/07/14/100200215/pangsa-pasar-mobil-listrik-tembus-26-8-persen-semester-i-2026</w:t>
      </w:r>
    </w:p>
    <w:p>
      <w:pPr>
        <w:pStyle w:val="BodyText"/>
      </w:pPr>
      <w:r>
        <w:t xml:space="preserve">Kontan. (2026, 10 Oktober).</w:t>
      </w:r>
      <w:r>
        <w:t xml:space="preserve"> </w:t>
      </w:r>
      <w:r>
        <w:rPr>
          <w:iCs/>
          <w:i/>
        </w:rPr>
        <w:t xml:space="preserve">Subsidi dan kompensasi energi naik 54,1% tembus Rp376,8 triliun per September 2026</w:t>
      </w:r>
      <w:r>
        <w:t xml:space="preserve">. Kontan.co.id. https://nasional.kontan.co.id/news/subsidi-dan-kompensasi-energi-naik-541-tembus-rp3768-triliun-per-september-2026</w:t>
      </w:r>
    </w:p>
    <w:p>
      <w:pPr>
        <w:pStyle w:val="BodyText"/>
      </w:pPr>
      <w:r>
        <w:t xml:space="preserve">Kontan. (2026, Oktober).</w:t>
      </w:r>
      <w:r>
        <w:t xml:space="preserve"> </w:t>
      </w:r>
      <w:r>
        <w:rPr>
          <w:iCs/>
          <w:i/>
        </w:rPr>
        <w:t xml:space="preserve">Laba AKR (AKRA) melonjak 34% menjadi Rp2,21 triliun per kuartal III-2026</w:t>
      </w:r>
      <w:r>
        <w:t xml:space="preserve">. Kontan.co.id. https://investasi.kontan.co.id/news/laba-akr-akra-melonjak-34-menjadi-rp-221-triliun-per-kuartal-iii-2026 [VERIFIKASI: tanggal terbit]</w:t>
      </w:r>
    </w:p>
    <w:p>
      <w:pPr>
        <w:pStyle w:val="BodyText"/>
      </w:pPr>
      <w:r>
        <w:t xml:space="preserve">Li, S., Tong, L., Xing, J., &amp; Zhou, Y. (2017). The market for electric vehicles: Indirect network effects and policy design.</w:t>
      </w:r>
      <w:r>
        <w:t xml:space="preserve"> </w:t>
      </w:r>
      <w:r>
        <w:rPr>
          <w:iCs/>
          <w:i/>
        </w:rPr>
        <w:t xml:space="preserve">Journal of the Association of Environmental and Resource Economists, 4</w:t>
      </w:r>
      <w:r>
        <w:t xml:space="preserve">(1), 89–133. https://doi.org/10.1086/689702</w:t>
      </w:r>
    </w:p>
    <w:p>
      <w:pPr>
        <w:pStyle w:val="BodyText"/>
      </w:pPr>
      <w:r>
        <w:t xml:space="preserve">Maulidia, M., Dargusch, P., Ashworth, P., &amp; Ardiansyah, F. (2019). Rethinking renewable energy targets and electricity sector reform in Indonesia: A private sector perspective.</w:t>
      </w:r>
      <w:r>
        <w:t xml:space="preserve"> </w:t>
      </w:r>
      <w:r>
        <w:rPr>
          <w:iCs/>
          <w:i/>
        </w:rPr>
        <w:t xml:space="preserve">Renewable and Sustainable Energy Reviews, 101</w:t>
      </w:r>
      <w:r>
        <w:t xml:space="preserve">, 231–247. https://doi.org/10.1016/j.rser.2018.11.005</w:t>
      </w:r>
    </w:p>
    <w:p>
      <w:pPr>
        <w:pStyle w:val="BodyText"/>
      </w:pPr>
      <w:r>
        <w:t xml:space="preserve">Mercure, J.-F., Pollitt, H., Viñuales, J. E., Edwards, N. R., Holden, P. B., Chewpreecha, U., Salas, P., Sognnaes, I., Lam, A., &amp; Knobloch, F. (2018). Macroeconomic impact of stranded fossil fuel assets.</w:t>
      </w:r>
      <w:r>
        <w:t xml:space="preserve"> </w:t>
      </w:r>
      <w:r>
        <w:rPr>
          <w:iCs/>
          <w:i/>
        </w:rPr>
        <w:t xml:space="preserve">Nature Climate Change, 8</w:t>
      </w:r>
      <w:r>
        <w:t xml:space="preserve">(7), 588–593. https://doi.org/10.1038/s41558-018-0182-1</w:t>
      </w:r>
    </w:p>
    <w:p>
      <w:pPr>
        <w:pStyle w:val="BodyText"/>
      </w:pPr>
      <w:r>
        <w:t xml:space="preserve">Peraturan Pemerintah Republik Indonesia Nomor 40 Tahun 2021 tentang Penyelenggaraan Kawasan Ekonomi Khusus.</w:t>
      </w:r>
    </w:p>
    <w:p>
      <w:pPr>
        <w:pStyle w:val="BodyText"/>
      </w:pPr>
      <w:r>
        <w:t xml:space="preserve">Peraturan Pemerintah Republik Indonesia Nomor 71 Tahun 2021 tentang Kawasan Ekonomi Khusus Gresik.</w:t>
      </w:r>
    </w:p>
    <w:p>
      <w:pPr>
        <w:pStyle w:val="BodyText"/>
      </w:pPr>
      <w:r>
        <w:t xml:space="preserve">Peraturan Otoritas Jasa Keuangan Nomor 51/POJK.03/2017 tentang Penerapan Keuangan Berkelanjutan bagi Lembaga Jasa Keuangan, Emiten, dan Perusahaan Publik.</w:t>
      </w:r>
    </w:p>
    <w:p>
      <w:pPr>
        <w:pStyle w:val="BodyText"/>
      </w:pPr>
      <w:r>
        <w:t xml:space="preserve">Porter, M. E. (2008). The five competitive forces that shape strategy.</w:t>
      </w:r>
      <w:r>
        <w:t xml:space="preserve"> </w:t>
      </w:r>
      <w:r>
        <w:rPr>
          <w:iCs/>
          <w:i/>
        </w:rPr>
        <w:t xml:space="preserve">Harvard Business Review, 86</w:t>
      </w:r>
      <w:r>
        <w:t xml:space="preserve">(1), 78–93.</w:t>
      </w:r>
    </w:p>
    <w:p>
      <w:pPr>
        <w:pStyle w:val="BodyText"/>
      </w:pPr>
      <w:r>
        <w:t xml:space="preserve">Rentschler, J., &amp; Bazilian, M. (2017). Reforming fossil fuel subsidies: Drivers, barriers and the state of progress.</w:t>
      </w:r>
      <w:r>
        <w:t xml:space="preserve"> </w:t>
      </w:r>
      <w:r>
        <w:rPr>
          <w:iCs/>
          <w:i/>
        </w:rPr>
        <w:t xml:space="preserve">Climate Policy, 17</w:t>
      </w:r>
      <w:r>
        <w:t xml:space="preserve">(7), 891–914. https://doi.org/10.1080/14693062.2016.1169393</w:t>
      </w:r>
    </w:p>
    <w:p>
      <w:pPr>
        <w:pStyle w:val="BodyText"/>
      </w:pPr>
      <w:r>
        <w:t xml:space="preserve">Richter, M. (2013). Business model innovation for sustainable energy: German utilities and renewable energy.</w:t>
      </w:r>
      <w:r>
        <w:t xml:space="preserve"> </w:t>
      </w:r>
      <w:r>
        <w:rPr>
          <w:iCs/>
          <w:i/>
        </w:rPr>
        <w:t xml:space="preserve">Energy Policy, 62</w:t>
      </w:r>
      <w:r>
        <w:t xml:space="preserve">, 1226–1237. https://doi.org/10.1016/j.enpol.2013.05.038</w:t>
      </w:r>
    </w:p>
    <w:p>
      <w:pPr>
        <w:pStyle w:val="BodyText"/>
      </w:pPr>
      <w:r>
        <w:t xml:space="preserve">Semieniuk, G., Holden, P. B., Mercure, J.-F., Salas, P., Pollitt, H., Jobson, K., Vercoulen, P., Chewpreecha, U., Edwards, N. R., &amp; Viñuales, J. E. (2022). Stranded fossil-fuel assets translate to major losses for investors in advanced economies.</w:t>
      </w:r>
      <w:r>
        <w:t xml:space="preserve"> </w:t>
      </w:r>
      <w:r>
        <w:rPr>
          <w:iCs/>
          <w:i/>
        </w:rPr>
        <w:t xml:space="preserve">Nature Climate Change, 12</w:t>
      </w:r>
      <w:r>
        <w:t xml:space="preserve">(6), 532–538. https://doi.org/10.1038/s41558-022-01356-y</w:t>
      </w:r>
    </w:p>
    <w:p>
      <w:pPr>
        <w:pStyle w:val="BodyText"/>
      </w:pPr>
      <w:r>
        <w:t xml:space="preserve">Sierzchula, W., Bakker, S., Maat, K., &amp; van Wee, B. (2014). The influence of financial incentives and other socio-economic factors on electric vehicle adoption.</w:t>
      </w:r>
      <w:r>
        <w:t xml:space="preserve"> </w:t>
      </w:r>
      <w:r>
        <w:rPr>
          <w:iCs/>
          <w:i/>
        </w:rPr>
        <w:t xml:space="preserve">Energy Policy, 68</w:t>
      </w:r>
      <w:r>
        <w:t xml:space="preserve">, 183–194. https://doi.org/10.1016/j.enpol.2014.01.043</w:t>
      </w:r>
    </w:p>
    <w:p>
      <w:pPr>
        <w:pStyle w:val="BodyText"/>
      </w:pPr>
      <w:r>
        <w:t xml:space="preserve">Teece, D. J. (2010). Business models, business strategy and innovation.</w:t>
      </w:r>
      <w:r>
        <w:t xml:space="preserve"> </w:t>
      </w:r>
      <w:r>
        <w:rPr>
          <w:iCs/>
          <w:i/>
        </w:rPr>
        <w:t xml:space="preserve">Long Range Planning, 43</w:t>
      </w:r>
      <w:r>
        <w:t xml:space="preserve">(2–3), 172–194. https://doi.org/10.1016/j.lrp.2009.07.003</w:t>
      </w:r>
    </w:p>
    <w:p>
      <w:pPr>
        <w:pStyle w:val="BodyText"/>
      </w:pPr>
      <w:r>
        <w:t xml:space="preserve">Thompson, A. A., Peteraf, M. A., Gamble, J. E., &amp; Strickland, A. J. (2022).</w:t>
      </w:r>
      <w:r>
        <w:t xml:space="preserve"> </w:t>
      </w:r>
      <w:r>
        <w:rPr>
          <w:iCs/>
          <w:i/>
        </w:rPr>
        <w:t xml:space="preserve">Crafting and executing strategy: The quest for competitive advantage</w:t>
      </w:r>
      <w:r>
        <w:t xml:space="preserve"> </w:t>
      </w:r>
      <w:r>
        <w:t xml:space="preserve">(23rd ed.). McGraw-Hill.</w:t>
      </w:r>
    </w:p>
    <w:p>
      <w:pPr>
        <w:pStyle w:val="BodyText"/>
      </w:pPr>
      <w:r>
        <w:t xml:space="preserve">Tukker, A. (2004). Eight types of product–service system: Eight ways to sustainability? Experiences from SusProNet.</w:t>
      </w:r>
      <w:r>
        <w:t xml:space="preserve"> </w:t>
      </w:r>
      <w:r>
        <w:rPr>
          <w:iCs/>
          <w:i/>
        </w:rPr>
        <w:t xml:space="preserve">Business Strategy and the Environment, 13</w:t>
      </w:r>
      <w:r>
        <w:t xml:space="preserve">(4), 246–260. https://doi.org/10.1002/bse.414</w:t>
      </w:r>
    </w:p>
    <w:p>
      <w:pPr>
        <w:pStyle w:val="BodyText"/>
      </w:pPr>
      <w:r>
        <w:t xml:space="preserve">Undang-Undang Republik Indonesia Nomor 39 Tahun 2009 tentang Kawasan Ekonomi Khusus.</w:t>
      </w:r>
    </w:p>
    <w:p>
      <w:pPr>
        <w:pStyle w:val="BodyText"/>
      </w:pPr>
      <w:r>
        <w:t xml:space="preserve">Wang, J. (2013). The economic impact of Special Economic Zones: Evidence from Chinese municipalities.</w:t>
      </w:r>
      <w:r>
        <w:t xml:space="preserve"> </w:t>
      </w:r>
      <w:r>
        <w:rPr>
          <w:iCs/>
          <w:i/>
        </w:rPr>
        <w:t xml:space="preserve">Journal of Development Economics, 101</w:t>
      </w:r>
      <w:r>
        <w:t xml:space="preserve">, 133–147. https://doi.org/10.1016/j.jdeveco.2012.10.009</w:t>
      </w:r>
    </w:p>
    <w:p>
      <w:pPr>
        <w:pStyle w:val="BodyText"/>
      </w:pPr>
      <w:r>
        <w:t xml:space="preserve">Warburton, E. (2017). Resource nationalism in Indonesia: Ownership structures and sectoral variation in mining and oil and gas.</w:t>
      </w:r>
      <w:r>
        <w:t xml:space="preserve"> </w:t>
      </w:r>
      <w:r>
        <w:rPr>
          <w:iCs/>
          <w:i/>
        </w:rPr>
        <w:t xml:space="preserve">Journal of East Asian Studies, 17</w:t>
      </w:r>
      <w:r>
        <w:t xml:space="preserve">(3), 285–312. https://doi.org/10.1017/jea.2017.13</w:t>
      </w:r>
    </w:p>
    <w:p>
      <w:pPr>
        <w:pStyle w:val="BodyText"/>
      </w:pPr>
      <w:r>
        <w:t xml:space="preserve">Zott, C., &amp; Amit, R. (2010). Business model design: An activity system perspective.</w:t>
      </w:r>
      <w:r>
        <w:t xml:space="preserve"> </w:t>
      </w:r>
      <w:r>
        <w:rPr>
          <w:iCs/>
          <w:i/>
        </w:rPr>
        <w:t xml:space="preserve">Long Range Planning, 43</w:t>
      </w:r>
      <w:r>
        <w:t xml:space="preserve">(2–3), 216–226. https://doi.org/10.1016/j.lrp.2009.07.004</w:t>
      </w:r>
    </w:p>
    <w:p>
      <w:r>
        <w:br w:type="page"/>
      </w:r>
    </w:p>
    <w:bookmarkEnd w:id="90"/>
    <w:bookmarkStart w:id="91" w:name="lampiran-tabel-audit-artikel-jurnal"/>
    <w:p>
      <w:pPr>
        <w:pStyle w:val="Heading1"/>
      </w:pPr>
      <w:r>
        <w:t xml:space="preserve">LAMPIRAN: TABEL AUDIT ARTIKEL JURNAL</w:t>
      </w:r>
    </w:p>
    <w:p>
      <w:pPr>
        <w:pStyle w:val="FirstParagraph"/>
      </w:pPr>
      <w:r>
        <w:rPr>
          <w:bCs/>
          <w:b/>
        </w:rPr>
        <w:t xml:space="preserve">Tabel L.1 Tabel audit artikel jurnal yang dikutip</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left"/>
            </w:pPr>
            <w:r>
              <w:t xml:space="preserve">Sitasi singkat</w:t>
            </w:r>
          </w:p>
        </w:tc>
        <w:tc>
          <w:tcPr/>
          <w:p>
            <w:pPr>
              <w:pStyle w:val="Compact"/>
              <w:jc w:val="left"/>
            </w:pPr>
            <w:r>
              <w:t xml:space="preserve">Jurnal</w:t>
            </w:r>
          </w:p>
        </w:tc>
        <w:tc>
          <w:tcPr/>
          <w:p>
            <w:pPr>
              <w:pStyle w:val="Compact"/>
              <w:jc w:val="left"/>
            </w:pPr>
            <w:r>
              <w:t xml:space="preserve">Kuartil SJR yang diklaim</w:t>
            </w:r>
          </w:p>
        </w:tc>
        <w:tc>
          <w:tcPr/>
          <w:p>
            <w:pPr>
              <w:pStyle w:val="Compact"/>
              <w:jc w:val="left"/>
            </w:pPr>
            <w:r>
              <w:t xml:space="preserve">DOI</w:t>
            </w:r>
          </w:p>
        </w:tc>
        <w:tc>
          <w:tcPr/>
          <w:p>
            <w:pPr>
              <w:pStyle w:val="Compact"/>
              <w:jc w:val="left"/>
            </w:pPr>
            <w:r>
              <w:t xml:space="preserve">Sub-bab</w:t>
            </w:r>
          </w:p>
        </w:tc>
        <w:tc>
          <w:tcPr/>
          <w:p>
            <w:pPr>
              <w:pStyle w:val="Compact"/>
              <w:jc w:val="left"/>
            </w:pPr>
            <w:r>
              <w:t xml:space="preserve">Keyakinan artikel ada</w:t>
            </w:r>
          </w:p>
        </w:tc>
      </w:tr>
      <w:tr>
        <w:tc>
          <w:tcPr/>
          <w:p>
            <w:pPr>
              <w:pStyle w:val="Compact"/>
              <w:jc w:val="left"/>
            </w:pPr>
            <w:r>
              <w:t xml:space="preserve">1</w:t>
            </w:r>
          </w:p>
        </w:tc>
        <w:tc>
          <w:tcPr/>
          <w:p>
            <w:pPr>
              <w:pStyle w:val="Compact"/>
              <w:jc w:val="left"/>
            </w:pPr>
            <w:r>
              <w:t xml:space="preserve">Baron (1995)</w:t>
            </w:r>
          </w:p>
        </w:tc>
        <w:tc>
          <w:tcPr/>
          <w:p>
            <w:pPr>
              <w:pStyle w:val="Compact"/>
              <w:jc w:val="left"/>
            </w:pPr>
            <w:r>
              <w:t xml:space="preserve">California Management Review</w:t>
            </w:r>
          </w:p>
        </w:tc>
        <w:tc>
          <w:tcPr/>
          <w:p>
            <w:pPr>
              <w:pStyle w:val="Compact"/>
              <w:jc w:val="left"/>
            </w:pPr>
            <w:r>
              <w:t xml:space="preserve">Q1</w:t>
            </w:r>
          </w:p>
        </w:tc>
        <w:tc>
          <w:tcPr/>
          <w:p>
            <w:pPr>
              <w:pStyle w:val="Compact"/>
              <w:jc w:val="left"/>
            </w:pPr>
            <w:r>
              <w:t xml:space="preserve">10.2307/41165788</w:t>
            </w:r>
          </w:p>
        </w:tc>
        <w:tc>
          <w:tcPr/>
          <w:p>
            <w:pPr>
              <w:pStyle w:val="Compact"/>
              <w:jc w:val="left"/>
            </w:pPr>
            <w:r>
              <w:t xml:space="preserve">2.2, 4.1.4</w:t>
            </w:r>
          </w:p>
        </w:tc>
        <w:tc>
          <w:tcPr/>
          <w:p>
            <w:pPr>
              <w:pStyle w:val="Compact"/>
              <w:jc w:val="left"/>
            </w:pPr>
            <w:r>
              <w:t xml:space="preserve">Tinggi</w:t>
            </w:r>
          </w:p>
        </w:tc>
      </w:tr>
      <w:tr>
        <w:tc>
          <w:tcPr/>
          <w:p>
            <w:pPr>
              <w:pStyle w:val="Compact"/>
              <w:jc w:val="left"/>
            </w:pPr>
            <w:r>
              <w:t xml:space="preserve">2</w:t>
            </w:r>
          </w:p>
        </w:tc>
        <w:tc>
          <w:tcPr/>
          <w:p>
            <w:pPr>
              <w:pStyle w:val="Compact"/>
              <w:jc w:val="left"/>
            </w:pPr>
            <w:r>
              <w:t xml:space="preserve">Hillman, Keim &amp; Schuler (2004)</w:t>
            </w:r>
          </w:p>
        </w:tc>
        <w:tc>
          <w:tcPr/>
          <w:p>
            <w:pPr>
              <w:pStyle w:val="Compact"/>
              <w:jc w:val="left"/>
            </w:pPr>
            <w:r>
              <w:t xml:space="preserve">Journal of Management</w:t>
            </w:r>
          </w:p>
        </w:tc>
        <w:tc>
          <w:tcPr/>
          <w:p>
            <w:pPr>
              <w:pStyle w:val="Compact"/>
              <w:jc w:val="left"/>
            </w:pPr>
            <w:r>
              <w:t xml:space="preserve">Q1</w:t>
            </w:r>
          </w:p>
        </w:tc>
        <w:tc>
          <w:tcPr/>
          <w:p>
            <w:pPr>
              <w:pStyle w:val="Compact"/>
              <w:jc w:val="left"/>
            </w:pPr>
            <w:r>
              <w:t xml:space="preserve">10.1016/j.jm.2004.06.003</w:t>
            </w:r>
          </w:p>
        </w:tc>
        <w:tc>
          <w:tcPr/>
          <w:p>
            <w:pPr>
              <w:pStyle w:val="Compact"/>
              <w:jc w:val="left"/>
            </w:pPr>
            <w:r>
              <w:t xml:space="preserve">2.2</w:t>
            </w:r>
          </w:p>
        </w:tc>
        <w:tc>
          <w:tcPr/>
          <w:p>
            <w:pPr>
              <w:pStyle w:val="Compact"/>
              <w:jc w:val="left"/>
            </w:pPr>
            <w:r>
              <w:t xml:space="preserve">Tinggi</w:t>
            </w:r>
          </w:p>
        </w:tc>
      </w:tr>
      <w:tr>
        <w:tc>
          <w:tcPr/>
          <w:p>
            <w:pPr>
              <w:pStyle w:val="Compact"/>
              <w:jc w:val="left"/>
            </w:pPr>
            <w:r>
              <w:t xml:space="preserve">3</w:t>
            </w:r>
          </w:p>
        </w:tc>
        <w:tc>
          <w:tcPr/>
          <w:p>
            <w:pPr>
              <w:pStyle w:val="Compact"/>
              <w:jc w:val="left"/>
            </w:pPr>
            <w:r>
              <w:t xml:space="preserve">Henisz (2000)</w:t>
            </w:r>
          </w:p>
        </w:tc>
        <w:tc>
          <w:tcPr/>
          <w:p>
            <w:pPr>
              <w:pStyle w:val="Compact"/>
              <w:jc w:val="left"/>
            </w:pPr>
            <w:r>
              <w:t xml:space="preserve">Economics &amp; Politics</w:t>
            </w:r>
          </w:p>
        </w:tc>
        <w:tc>
          <w:tcPr/>
          <w:p>
            <w:pPr>
              <w:pStyle w:val="Compact"/>
              <w:jc w:val="left"/>
            </w:pPr>
            <w:r>
              <w:t xml:space="preserve">VERIFIKASI (diperkirakan Q1/Q2)</w:t>
            </w:r>
          </w:p>
        </w:tc>
        <w:tc>
          <w:tcPr/>
          <w:p>
            <w:pPr>
              <w:pStyle w:val="Compact"/>
              <w:jc w:val="left"/>
            </w:pPr>
            <w:r>
              <w:t xml:space="preserve">10.1111/1468-0343.00066</w:t>
            </w:r>
          </w:p>
        </w:tc>
        <w:tc>
          <w:tcPr/>
          <w:p>
            <w:pPr>
              <w:pStyle w:val="Compact"/>
              <w:jc w:val="left"/>
            </w:pPr>
            <w:r>
              <w:t xml:space="preserve">2.2, 4.1.3</w:t>
            </w:r>
          </w:p>
        </w:tc>
        <w:tc>
          <w:tcPr/>
          <w:p>
            <w:pPr>
              <w:pStyle w:val="Compact"/>
              <w:jc w:val="left"/>
            </w:pPr>
            <w:r>
              <w:t xml:space="preserve">Tinggi</w:t>
            </w:r>
          </w:p>
        </w:tc>
      </w:tr>
      <w:tr>
        <w:tc>
          <w:tcPr/>
          <w:p>
            <w:pPr>
              <w:pStyle w:val="Compact"/>
              <w:jc w:val="left"/>
            </w:pPr>
            <w:r>
              <w:t xml:space="preserve">4</w:t>
            </w:r>
          </w:p>
        </w:tc>
        <w:tc>
          <w:tcPr/>
          <w:p>
            <w:pPr>
              <w:pStyle w:val="Compact"/>
              <w:jc w:val="left"/>
            </w:pPr>
            <w:r>
              <w:t xml:space="preserve">Coady, Parry, Sears &amp; Shang (2017)</w:t>
            </w:r>
          </w:p>
        </w:tc>
        <w:tc>
          <w:tcPr/>
          <w:p>
            <w:pPr>
              <w:pStyle w:val="Compact"/>
              <w:jc w:val="left"/>
            </w:pPr>
            <w:r>
              <w:t xml:space="preserve">World Development</w:t>
            </w:r>
          </w:p>
        </w:tc>
        <w:tc>
          <w:tcPr/>
          <w:p>
            <w:pPr>
              <w:pStyle w:val="Compact"/>
              <w:jc w:val="left"/>
            </w:pPr>
            <w:r>
              <w:t xml:space="preserve">Q1</w:t>
            </w:r>
          </w:p>
        </w:tc>
        <w:tc>
          <w:tcPr/>
          <w:p>
            <w:pPr>
              <w:pStyle w:val="Compact"/>
              <w:jc w:val="left"/>
            </w:pPr>
            <w:r>
              <w:t xml:space="preserve">10.1016/j.worlddev.2016.10.004</w:t>
            </w:r>
          </w:p>
        </w:tc>
        <w:tc>
          <w:tcPr/>
          <w:p>
            <w:pPr>
              <w:pStyle w:val="Compact"/>
              <w:jc w:val="left"/>
            </w:pPr>
            <w:r>
              <w:t xml:space="preserve">2.2</w:t>
            </w:r>
          </w:p>
        </w:tc>
        <w:tc>
          <w:tcPr/>
          <w:p>
            <w:pPr>
              <w:pStyle w:val="Compact"/>
              <w:jc w:val="left"/>
            </w:pPr>
            <w:r>
              <w:t xml:space="preserve">Tinggi</w:t>
            </w:r>
          </w:p>
        </w:tc>
      </w:tr>
      <w:tr>
        <w:tc>
          <w:tcPr/>
          <w:p>
            <w:pPr>
              <w:pStyle w:val="Compact"/>
              <w:jc w:val="left"/>
            </w:pPr>
            <w:r>
              <w:t xml:space="preserve">5</w:t>
            </w:r>
          </w:p>
        </w:tc>
        <w:tc>
          <w:tcPr/>
          <w:p>
            <w:pPr>
              <w:pStyle w:val="Compact"/>
              <w:jc w:val="left"/>
            </w:pPr>
            <w:r>
              <w:t xml:space="preserve">Rentschler &amp; Bazilian (2017)</w:t>
            </w:r>
          </w:p>
        </w:tc>
        <w:tc>
          <w:tcPr/>
          <w:p>
            <w:pPr>
              <w:pStyle w:val="Compact"/>
              <w:jc w:val="left"/>
            </w:pPr>
            <w:r>
              <w:t xml:space="preserve">Climate Policy</w:t>
            </w:r>
          </w:p>
        </w:tc>
        <w:tc>
          <w:tcPr/>
          <w:p>
            <w:pPr>
              <w:pStyle w:val="Compact"/>
              <w:jc w:val="left"/>
            </w:pPr>
            <w:r>
              <w:t xml:space="preserve">Q1</w:t>
            </w:r>
          </w:p>
        </w:tc>
        <w:tc>
          <w:tcPr/>
          <w:p>
            <w:pPr>
              <w:pStyle w:val="Compact"/>
              <w:jc w:val="left"/>
            </w:pPr>
            <w:r>
              <w:t xml:space="preserve">10.1080/14693062.2016.1169393</w:t>
            </w:r>
          </w:p>
        </w:tc>
        <w:tc>
          <w:tcPr/>
          <w:p>
            <w:pPr>
              <w:pStyle w:val="Compact"/>
              <w:jc w:val="left"/>
            </w:pPr>
            <w:r>
              <w:t xml:space="preserve">2.2</w:t>
            </w:r>
          </w:p>
        </w:tc>
        <w:tc>
          <w:tcPr/>
          <w:p>
            <w:pPr>
              <w:pStyle w:val="Compact"/>
              <w:jc w:val="left"/>
            </w:pPr>
            <w:r>
              <w:t xml:space="preserve">Tinggi</w:t>
            </w:r>
          </w:p>
        </w:tc>
      </w:tr>
      <w:tr>
        <w:tc>
          <w:tcPr/>
          <w:p>
            <w:pPr>
              <w:pStyle w:val="Compact"/>
              <w:jc w:val="left"/>
            </w:pPr>
            <w:r>
              <w:t xml:space="preserve">6</w:t>
            </w:r>
          </w:p>
        </w:tc>
        <w:tc>
          <w:tcPr/>
          <w:p>
            <w:pPr>
              <w:pStyle w:val="Compact"/>
              <w:jc w:val="left"/>
            </w:pPr>
            <w:r>
              <w:t xml:space="preserve">Frick, Rodríguez-Pose &amp; Wong (2019)</w:t>
            </w:r>
          </w:p>
        </w:tc>
        <w:tc>
          <w:tcPr/>
          <w:p>
            <w:pPr>
              <w:pStyle w:val="Compact"/>
              <w:jc w:val="left"/>
            </w:pPr>
            <w:r>
              <w:t xml:space="preserve">Economic Geography</w:t>
            </w:r>
          </w:p>
        </w:tc>
        <w:tc>
          <w:tcPr/>
          <w:p>
            <w:pPr>
              <w:pStyle w:val="Compact"/>
              <w:jc w:val="left"/>
            </w:pPr>
            <w:r>
              <w:t xml:space="preserve">Q1</w:t>
            </w:r>
          </w:p>
        </w:tc>
        <w:tc>
          <w:tcPr/>
          <w:p>
            <w:pPr>
              <w:pStyle w:val="Compact"/>
              <w:jc w:val="left"/>
            </w:pPr>
            <w:r>
              <w:t xml:space="preserve">10.1080/00130095.2018.1467732</w:t>
            </w:r>
          </w:p>
        </w:tc>
        <w:tc>
          <w:tcPr/>
          <w:p>
            <w:pPr>
              <w:pStyle w:val="Compact"/>
              <w:jc w:val="left"/>
            </w:pPr>
            <w:r>
              <w:t xml:space="preserve">2.2, 3.2, 4.1.3</w:t>
            </w:r>
          </w:p>
        </w:tc>
        <w:tc>
          <w:tcPr/>
          <w:p>
            <w:pPr>
              <w:pStyle w:val="Compact"/>
              <w:jc w:val="left"/>
            </w:pPr>
            <w:r>
              <w:t xml:space="preserve">Tinggi</w:t>
            </w:r>
          </w:p>
        </w:tc>
      </w:tr>
      <w:tr>
        <w:tc>
          <w:tcPr/>
          <w:p>
            <w:pPr>
              <w:pStyle w:val="Compact"/>
              <w:jc w:val="left"/>
            </w:pPr>
            <w:r>
              <w:t xml:space="preserve">7</w:t>
            </w:r>
          </w:p>
        </w:tc>
        <w:tc>
          <w:tcPr/>
          <w:p>
            <w:pPr>
              <w:pStyle w:val="Compact"/>
              <w:jc w:val="left"/>
            </w:pPr>
            <w:r>
              <w:t xml:space="preserve">Wang (2013)</w:t>
            </w:r>
          </w:p>
        </w:tc>
        <w:tc>
          <w:tcPr/>
          <w:p>
            <w:pPr>
              <w:pStyle w:val="Compact"/>
              <w:jc w:val="left"/>
            </w:pPr>
            <w:r>
              <w:t xml:space="preserve">Journal of Development Economics</w:t>
            </w:r>
          </w:p>
        </w:tc>
        <w:tc>
          <w:tcPr/>
          <w:p>
            <w:pPr>
              <w:pStyle w:val="Compact"/>
              <w:jc w:val="left"/>
            </w:pPr>
            <w:r>
              <w:t xml:space="preserve">Q1</w:t>
            </w:r>
          </w:p>
        </w:tc>
        <w:tc>
          <w:tcPr/>
          <w:p>
            <w:pPr>
              <w:pStyle w:val="Compact"/>
              <w:jc w:val="left"/>
            </w:pPr>
            <w:r>
              <w:t xml:space="preserve">10.1016/j.jdeveco.2012.10.009</w:t>
            </w:r>
          </w:p>
        </w:tc>
        <w:tc>
          <w:tcPr/>
          <w:p>
            <w:pPr>
              <w:pStyle w:val="Compact"/>
              <w:jc w:val="left"/>
            </w:pPr>
            <w:r>
              <w:t xml:space="preserve">3.2</w:t>
            </w:r>
          </w:p>
        </w:tc>
        <w:tc>
          <w:tcPr/>
          <w:p>
            <w:pPr>
              <w:pStyle w:val="Compact"/>
              <w:jc w:val="left"/>
            </w:pPr>
            <w:r>
              <w:t xml:space="preserve">Tinggi</w:t>
            </w:r>
          </w:p>
        </w:tc>
      </w:tr>
      <w:tr>
        <w:tc>
          <w:tcPr/>
          <w:p>
            <w:pPr>
              <w:pStyle w:val="Compact"/>
              <w:jc w:val="left"/>
            </w:pPr>
            <w:r>
              <w:t xml:space="preserve">8</w:t>
            </w:r>
          </w:p>
        </w:tc>
        <w:tc>
          <w:tcPr/>
          <w:p>
            <w:pPr>
              <w:pStyle w:val="Compact"/>
              <w:jc w:val="left"/>
            </w:pPr>
            <w:r>
              <w:t xml:space="preserve">Kilian (2009)</w:t>
            </w:r>
          </w:p>
        </w:tc>
        <w:tc>
          <w:tcPr/>
          <w:p>
            <w:pPr>
              <w:pStyle w:val="Compact"/>
              <w:jc w:val="left"/>
            </w:pPr>
            <w:r>
              <w:t xml:space="preserve">American Economic Review</w:t>
            </w:r>
          </w:p>
        </w:tc>
        <w:tc>
          <w:tcPr/>
          <w:p>
            <w:pPr>
              <w:pStyle w:val="Compact"/>
              <w:jc w:val="left"/>
            </w:pPr>
            <w:r>
              <w:t xml:space="preserve">Q1</w:t>
            </w:r>
          </w:p>
        </w:tc>
        <w:tc>
          <w:tcPr/>
          <w:p>
            <w:pPr>
              <w:pStyle w:val="Compact"/>
              <w:jc w:val="left"/>
            </w:pPr>
            <w:r>
              <w:t xml:space="preserve">10.1257/aer.99.3.1053</w:t>
            </w:r>
          </w:p>
        </w:tc>
        <w:tc>
          <w:tcPr/>
          <w:p>
            <w:pPr>
              <w:pStyle w:val="Compact"/>
              <w:jc w:val="left"/>
            </w:pPr>
            <w:r>
              <w:t xml:space="preserve">2.3, 4.2.3</w:t>
            </w:r>
          </w:p>
        </w:tc>
        <w:tc>
          <w:tcPr/>
          <w:p>
            <w:pPr>
              <w:pStyle w:val="Compact"/>
              <w:jc w:val="left"/>
            </w:pPr>
            <w:r>
              <w:t xml:space="preserve">Tinggi</w:t>
            </w:r>
          </w:p>
        </w:tc>
      </w:tr>
      <w:tr>
        <w:tc>
          <w:tcPr/>
          <w:p>
            <w:pPr>
              <w:pStyle w:val="Compact"/>
              <w:jc w:val="left"/>
            </w:pPr>
            <w:r>
              <w:t xml:space="preserve">9</w:t>
            </w:r>
          </w:p>
        </w:tc>
        <w:tc>
          <w:tcPr/>
          <w:p>
            <w:pPr>
              <w:pStyle w:val="Compact"/>
              <w:jc w:val="left"/>
            </w:pPr>
            <w:r>
              <w:t xml:space="preserve">Hamilton (2009)</w:t>
            </w:r>
          </w:p>
        </w:tc>
        <w:tc>
          <w:tcPr/>
          <w:p>
            <w:pPr>
              <w:pStyle w:val="Compact"/>
              <w:jc w:val="left"/>
            </w:pPr>
            <w:r>
              <w:t xml:space="preserve">Brookings Papers on Economic Activity</w:t>
            </w:r>
          </w:p>
        </w:tc>
        <w:tc>
          <w:tcPr/>
          <w:p>
            <w:pPr>
              <w:pStyle w:val="Compact"/>
              <w:jc w:val="left"/>
            </w:pPr>
            <w:r>
              <w:t xml:space="preserve">VERIFIKASI (diperkirakan Q1)</w:t>
            </w:r>
          </w:p>
        </w:tc>
        <w:tc>
          <w:tcPr/>
          <w:p>
            <w:pPr>
              <w:pStyle w:val="Compact"/>
              <w:jc w:val="left"/>
            </w:pPr>
            <w:r>
              <w:t xml:space="preserve">10.1353/eca.0.0047</w:t>
            </w:r>
          </w:p>
        </w:tc>
        <w:tc>
          <w:tcPr/>
          <w:p>
            <w:pPr>
              <w:pStyle w:val="Compact"/>
              <w:jc w:val="left"/>
            </w:pPr>
            <w:r>
              <w:t xml:space="preserve">2.3, 4.2.3</w:t>
            </w:r>
          </w:p>
        </w:tc>
        <w:tc>
          <w:tcPr/>
          <w:p>
            <w:pPr>
              <w:pStyle w:val="Compact"/>
              <w:jc w:val="left"/>
            </w:pPr>
            <w:r>
              <w:t xml:space="preserve">Tinggi</w:t>
            </w:r>
          </w:p>
        </w:tc>
      </w:tr>
      <w:tr>
        <w:tc>
          <w:tcPr/>
          <w:p>
            <w:pPr>
              <w:pStyle w:val="Compact"/>
              <w:jc w:val="left"/>
            </w:pPr>
            <w:r>
              <w:t xml:space="preserve">10</w:t>
            </w:r>
          </w:p>
        </w:tc>
        <w:tc>
          <w:tcPr/>
          <w:p>
            <w:pPr>
              <w:pStyle w:val="Compact"/>
              <w:jc w:val="left"/>
            </w:pPr>
            <w:r>
              <w:t xml:space="preserve">Borenstein, Cameron &amp; Gilbert (1997)</w:t>
            </w:r>
          </w:p>
        </w:tc>
        <w:tc>
          <w:tcPr/>
          <w:p>
            <w:pPr>
              <w:pStyle w:val="Compact"/>
              <w:jc w:val="left"/>
            </w:pPr>
            <w:r>
              <w:t xml:space="preserve">Quarterly Journal of Economics</w:t>
            </w:r>
          </w:p>
        </w:tc>
        <w:tc>
          <w:tcPr/>
          <w:p>
            <w:pPr>
              <w:pStyle w:val="Compact"/>
              <w:jc w:val="left"/>
            </w:pPr>
            <w:r>
              <w:t xml:space="preserve">Q1</w:t>
            </w:r>
          </w:p>
        </w:tc>
        <w:tc>
          <w:tcPr/>
          <w:p>
            <w:pPr>
              <w:pStyle w:val="Compact"/>
              <w:jc w:val="left"/>
            </w:pPr>
            <w:r>
              <w:t xml:space="preserve">10.1162/003355397555118</w:t>
            </w:r>
          </w:p>
        </w:tc>
        <w:tc>
          <w:tcPr/>
          <w:p>
            <w:pPr>
              <w:pStyle w:val="Compact"/>
              <w:jc w:val="left"/>
            </w:pPr>
            <w:r>
              <w:t xml:space="preserve">2.3, 4.2.3</w:t>
            </w:r>
          </w:p>
        </w:tc>
        <w:tc>
          <w:tcPr/>
          <w:p>
            <w:pPr>
              <w:pStyle w:val="Compact"/>
              <w:jc w:val="left"/>
            </w:pPr>
            <w:r>
              <w:t xml:space="preserve">Tinggi</w:t>
            </w:r>
          </w:p>
        </w:tc>
      </w:tr>
      <w:tr>
        <w:tc>
          <w:tcPr/>
          <w:p>
            <w:pPr>
              <w:pStyle w:val="Compact"/>
              <w:jc w:val="left"/>
            </w:pPr>
            <w:r>
              <w:t xml:space="preserve">11</w:t>
            </w:r>
          </w:p>
        </w:tc>
        <w:tc>
          <w:tcPr/>
          <w:p>
            <w:pPr>
              <w:pStyle w:val="Compact"/>
              <w:jc w:val="left"/>
            </w:pPr>
            <w:r>
              <w:t xml:space="preserve">Basher, Haug &amp; Sadorsky (2012)</w:t>
            </w:r>
          </w:p>
        </w:tc>
        <w:tc>
          <w:tcPr/>
          <w:p>
            <w:pPr>
              <w:pStyle w:val="Compact"/>
              <w:jc w:val="left"/>
            </w:pPr>
            <w:r>
              <w:t xml:space="preserve">Energy Economics</w:t>
            </w:r>
          </w:p>
        </w:tc>
        <w:tc>
          <w:tcPr/>
          <w:p>
            <w:pPr>
              <w:pStyle w:val="Compact"/>
              <w:jc w:val="left"/>
            </w:pPr>
            <w:r>
              <w:t xml:space="preserve">Q1</w:t>
            </w:r>
          </w:p>
        </w:tc>
        <w:tc>
          <w:tcPr/>
          <w:p>
            <w:pPr>
              <w:pStyle w:val="Compact"/>
              <w:jc w:val="left"/>
            </w:pPr>
            <w:r>
              <w:t xml:space="preserve">10.1016/j.eneco.2011.10.005</w:t>
            </w:r>
          </w:p>
        </w:tc>
        <w:tc>
          <w:tcPr/>
          <w:p>
            <w:pPr>
              <w:pStyle w:val="Compact"/>
              <w:jc w:val="left"/>
            </w:pPr>
            <w:r>
              <w:t xml:space="preserve">2.3, 4.2.3</w:t>
            </w:r>
          </w:p>
        </w:tc>
        <w:tc>
          <w:tcPr/>
          <w:p>
            <w:pPr>
              <w:pStyle w:val="Compact"/>
              <w:jc w:val="left"/>
            </w:pPr>
            <w:r>
              <w:t xml:space="preserve">Tinggi</w:t>
            </w:r>
          </w:p>
        </w:tc>
      </w:tr>
      <w:tr>
        <w:tc>
          <w:tcPr/>
          <w:p>
            <w:pPr>
              <w:pStyle w:val="Compact"/>
              <w:jc w:val="left"/>
            </w:pPr>
            <w:r>
              <w:t xml:space="preserve">12</w:t>
            </w:r>
          </w:p>
        </w:tc>
        <w:tc>
          <w:tcPr/>
          <w:p>
            <w:pPr>
              <w:pStyle w:val="Compact"/>
              <w:jc w:val="left"/>
            </w:pPr>
            <w:r>
              <w:t xml:space="preserve">Froot, Scharfstein &amp; Stein (1993)</w:t>
            </w:r>
          </w:p>
        </w:tc>
        <w:tc>
          <w:tcPr/>
          <w:p>
            <w:pPr>
              <w:pStyle w:val="Compact"/>
              <w:jc w:val="left"/>
            </w:pPr>
            <w:r>
              <w:t xml:space="preserve">Journal of Finance</w:t>
            </w:r>
          </w:p>
        </w:tc>
        <w:tc>
          <w:tcPr/>
          <w:p>
            <w:pPr>
              <w:pStyle w:val="Compact"/>
              <w:jc w:val="left"/>
            </w:pPr>
            <w:r>
              <w:t xml:space="preserve">Q1</w:t>
            </w:r>
          </w:p>
        </w:tc>
        <w:tc>
          <w:tcPr/>
          <w:p>
            <w:pPr>
              <w:pStyle w:val="Compact"/>
              <w:jc w:val="left"/>
            </w:pPr>
            <w:r>
              <w:t xml:space="preserve">10.1111/j.1540-6261.1993.tb05123.x</w:t>
            </w:r>
          </w:p>
        </w:tc>
        <w:tc>
          <w:tcPr/>
          <w:p>
            <w:pPr>
              <w:pStyle w:val="Compact"/>
              <w:jc w:val="left"/>
            </w:pPr>
            <w:r>
              <w:t xml:space="preserve">2.3, 4.2.3</w:t>
            </w:r>
          </w:p>
        </w:tc>
        <w:tc>
          <w:tcPr/>
          <w:p>
            <w:pPr>
              <w:pStyle w:val="Compact"/>
              <w:jc w:val="left"/>
            </w:pPr>
            <w:r>
              <w:t xml:space="preserve">Tinggi</w:t>
            </w:r>
          </w:p>
        </w:tc>
      </w:tr>
      <w:tr>
        <w:tc>
          <w:tcPr/>
          <w:p>
            <w:pPr>
              <w:pStyle w:val="Compact"/>
              <w:jc w:val="left"/>
            </w:pPr>
            <w:r>
              <w:t xml:space="preserve">13</w:t>
            </w:r>
          </w:p>
        </w:tc>
        <w:tc>
          <w:tcPr/>
          <w:p>
            <w:pPr>
              <w:pStyle w:val="Compact"/>
              <w:jc w:val="left"/>
            </w:pPr>
            <w:r>
              <w:t xml:space="preserve">Geroski (2000)</w:t>
            </w:r>
          </w:p>
        </w:tc>
        <w:tc>
          <w:tcPr/>
          <w:p>
            <w:pPr>
              <w:pStyle w:val="Compact"/>
              <w:jc w:val="left"/>
            </w:pPr>
            <w:r>
              <w:t xml:space="preserve">Research Policy</w:t>
            </w:r>
          </w:p>
        </w:tc>
        <w:tc>
          <w:tcPr/>
          <w:p>
            <w:pPr>
              <w:pStyle w:val="Compact"/>
              <w:jc w:val="left"/>
            </w:pPr>
            <w:r>
              <w:t xml:space="preserve">Q1</w:t>
            </w:r>
          </w:p>
        </w:tc>
        <w:tc>
          <w:tcPr/>
          <w:p>
            <w:pPr>
              <w:pStyle w:val="Compact"/>
              <w:jc w:val="left"/>
            </w:pPr>
            <w:r>
              <w:t xml:space="preserve">10.1016/S0048-7333(99)00092-X</w:t>
            </w:r>
          </w:p>
        </w:tc>
        <w:tc>
          <w:tcPr/>
          <w:p>
            <w:pPr>
              <w:pStyle w:val="Compact"/>
              <w:jc w:val="left"/>
            </w:pPr>
            <w:r>
              <w:t xml:space="preserve">2.4, 4.3.3</w:t>
            </w:r>
          </w:p>
        </w:tc>
        <w:tc>
          <w:tcPr/>
          <w:p>
            <w:pPr>
              <w:pStyle w:val="Compact"/>
              <w:jc w:val="left"/>
            </w:pPr>
            <w:r>
              <w:t xml:space="preserve">Tinggi</w:t>
            </w:r>
          </w:p>
        </w:tc>
      </w:tr>
      <w:tr>
        <w:tc>
          <w:tcPr/>
          <w:p>
            <w:pPr>
              <w:pStyle w:val="Compact"/>
              <w:jc w:val="left"/>
            </w:pPr>
            <w:r>
              <w:t xml:space="preserve">14</w:t>
            </w:r>
          </w:p>
        </w:tc>
        <w:tc>
          <w:tcPr/>
          <w:p>
            <w:pPr>
              <w:pStyle w:val="Compact"/>
              <w:jc w:val="left"/>
            </w:pPr>
            <w:r>
              <w:t xml:space="preserve">Geels (2002)</w:t>
            </w:r>
          </w:p>
        </w:tc>
        <w:tc>
          <w:tcPr/>
          <w:p>
            <w:pPr>
              <w:pStyle w:val="Compact"/>
              <w:jc w:val="left"/>
            </w:pPr>
            <w:r>
              <w:t xml:space="preserve">Research Policy</w:t>
            </w:r>
          </w:p>
        </w:tc>
        <w:tc>
          <w:tcPr/>
          <w:p>
            <w:pPr>
              <w:pStyle w:val="Compact"/>
              <w:jc w:val="left"/>
            </w:pPr>
            <w:r>
              <w:t xml:space="preserve">Q1</w:t>
            </w:r>
          </w:p>
        </w:tc>
        <w:tc>
          <w:tcPr/>
          <w:p>
            <w:pPr>
              <w:pStyle w:val="Compact"/>
              <w:jc w:val="left"/>
            </w:pPr>
            <w:r>
              <w:t xml:space="preserve">10.1016/S0048-7333(02)00062-8</w:t>
            </w:r>
          </w:p>
        </w:tc>
        <w:tc>
          <w:tcPr/>
          <w:p>
            <w:pPr>
              <w:pStyle w:val="Compact"/>
              <w:jc w:val="left"/>
            </w:pPr>
            <w:r>
              <w:t xml:space="preserve">2.4, 4.3.3, 4.7.8</w:t>
            </w:r>
          </w:p>
        </w:tc>
        <w:tc>
          <w:tcPr/>
          <w:p>
            <w:pPr>
              <w:pStyle w:val="Compact"/>
              <w:jc w:val="left"/>
            </w:pPr>
            <w:r>
              <w:t xml:space="preserve">Tinggi</w:t>
            </w:r>
          </w:p>
        </w:tc>
      </w:tr>
      <w:tr>
        <w:tc>
          <w:tcPr/>
          <w:p>
            <w:pPr>
              <w:pStyle w:val="Compact"/>
              <w:jc w:val="left"/>
            </w:pPr>
            <w:r>
              <w:t xml:space="preserve">15</w:t>
            </w:r>
          </w:p>
        </w:tc>
        <w:tc>
          <w:tcPr/>
          <w:p>
            <w:pPr>
              <w:pStyle w:val="Compact"/>
              <w:jc w:val="left"/>
            </w:pPr>
            <w:r>
              <w:t xml:space="preserve">Unruh (2000)</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10.1016/S0301-4215(00)00070-7</w:t>
            </w:r>
          </w:p>
        </w:tc>
        <w:tc>
          <w:tcPr/>
          <w:p>
            <w:pPr>
              <w:pStyle w:val="Compact"/>
              <w:jc w:val="left"/>
            </w:pPr>
            <w:r>
              <w:t xml:space="preserve">2.4</w:t>
            </w:r>
          </w:p>
        </w:tc>
        <w:tc>
          <w:tcPr/>
          <w:p>
            <w:pPr>
              <w:pStyle w:val="Compact"/>
              <w:jc w:val="left"/>
            </w:pPr>
            <w:r>
              <w:t xml:space="preserve">Tinggi</w:t>
            </w:r>
          </w:p>
        </w:tc>
      </w:tr>
      <w:tr>
        <w:tc>
          <w:tcPr/>
          <w:p>
            <w:pPr>
              <w:pStyle w:val="Compact"/>
              <w:jc w:val="left"/>
            </w:pPr>
            <w:r>
              <w:t xml:space="preserve">16</w:t>
            </w:r>
          </w:p>
        </w:tc>
        <w:tc>
          <w:tcPr/>
          <w:p>
            <w:pPr>
              <w:pStyle w:val="Compact"/>
              <w:jc w:val="left"/>
            </w:pPr>
            <w:r>
              <w:t xml:space="preserve">Mercure et al. (2018)</w:t>
            </w:r>
          </w:p>
        </w:tc>
        <w:tc>
          <w:tcPr/>
          <w:p>
            <w:pPr>
              <w:pStyle w:val="Compact"/>
              <w:jc w:val="left"/>
            </w:pPr>
            <w:r>
              <w:t xml:space="preserve">Nature Climate Change</w:t>
            </w:r>
          </w:p>
        </w:tc>
        <w:tc>
          <w:tcPr/>
          <w:p>
            <w:pPr>
              <w:pStyle w:val="Compact"/>
              <w:jc w:val="left"/>
            </w:pPr>
            <w:r>
              <w:t xml:space="preserve">Q1</w:t>
            </w:r>
          </w:p>
        </w:tc>
        <w:tc>
          <w:tcPr/>
          <w:p>
            <w:pPr>
              <w:pStyle w:val="Compact"/>
              <w:jc w:val="left"/>
            </w:pPr>
            <w:r>
              <w:t xml:space="preserve">10.1038/s41558-018-0182-1</w:t>
            </w:r>
          </w:p>
        </w:tc>
        <w:tc>
          <w:tcPr/>
          <w:p>
            <w:pPr>
              <w:pStyle w:val="Compact"/>
              <w:jc w:val="left"/>
            </w:pPr>
            <w:r>
              <w:t xml:space="preserve">2.4, 4.3.3</w:t>
            </w:r>
          </w:p>
        </w:tc>
        <w:tc>
          <w:tcPr/>
          <w:p>
            <w:pPr>
              <w:pStyle w:val="Compact"/>
              <w:jc w:val="left"/>
            </w:pPr>
            <w:r>
              <w:t xml:space="preserve">Tinggi</w:t>
            </w:r>
          </w:p>
        </w:tc>
      </w:tr>
      <w:tr>
        <w:tc>
          <w:tcPr/>
          <w:p>
            <w:pPr>
              <w:pStyle w:val="Compact"/>
              <w:jc w:val="left"/>
            </w:pPr>
            <w:r>
              <w:t xml:space="preserve">17</w:t>
            </w:r>
          </w:p>
        </w:tc>
        <w:tc>
          <w:tcPr/>
          <w:p>
            <w:pPr>
              <w:pStyle w:val="Compact"/>
              <w:jc w:val="left"/>
            </w:pPr>
            <w:r>
              <w:t xml:space="preserve">Semieniuk et al. (2022)</w:t>
            </w:r>
          </w:p>
        </w:tc>
        <w:tc>
          <w:tcPr/>
          <w:p>
            <w:pPr>
              <w:pStyle w:val="Compact"/>
              <w:jc w:val="left"/>
            </w:pPr>
            <w:r>
              <w:t xml:space="preserve">Nature Climate Change</w:t>
            </w:r>
          </w:p>
        </w:tc>
        <w:tc>
          <w:tcPr/>
          <w:p>
            <w:pPr>
              <w:pStyle w:val="Compact"/>
              <w:jc w:val="left"/>
            </w:pPr>
            <w:r>
              <w:t xml:space="preserve">Q1</w:t>
            </w:r>
          </w:p>
        </w:tc>
        <w:tc>
          <w:tcPr/>
          <w:p>
            <w:pPr>
              <w:pStyle w:val="Compact"/>
              <w:jc w:val="left"/>
            </w:pPr>
            <w:r>
              <w:t xml:space="preserve">10.1038/s41558-022-01356-y</w:t>
            </w:r>
          </w:p>
        </w:tc>
        <w:tc>
          <w:tcPr/>
          <w:p>
            <w:pPr>
              <w:pStyle w:val="Compact"/>
              <w:jc w:val="left"/>
            </w:pPr>
            <w:r>
              <w:t xml:space="preserve">4.3.3</w:t>
            </w:r>
          </w:p>
        </w:tc>
        <w:tc>
          <w:tcPr/>
          <w:p>
            <w:pPr>
              <w:pStyle w:val="Compact"/>
              <w:jc w:val="left"/>
            </w:pPr>
            <w:r>
              <w:t xml:space="preserve">Tinggi</w:t>
            </w:r>
          </w:p>
        </w:tc>
      </w:tr>
      <w:tr>
        <w:tc>
          <w:tcPr/>
          <w:p>
            <w:pPr>
              <w:pStyle w:val="Compact"/>
              <w:jc w:val="left"/>
            </w:pPr>
            <w:r>
              <w:t xml:space="preserve">18</w:t>
            </w:r>
          </w:p>
        </w:tc>
        <w:tc>
          <w:tcPr/>
          <w:p>
            <w:pPr>
              <w:pStyle w:val="Compact"/>
              <w:jc w:val="left"/>
            </w:pPr>
            <w:r>
              <w:t xml:space="preserve">Li, Tong, Xing &amp; Zhou (2017)</w:t>
            </w:r>
          </w:p>
        </w:tc>
        <w:tc>
          <w:tcPr/>
          <w:p>
            <w:pPr>
              <w:pStyle w:val="Compact"/>
              <w:jc w:val="left"/>
            </w:pPr>
            <w:r>
              <w:t xml:space="preserve">J. of the Association of Environmental and Resource Economists</w:t>
            </w:r>
          </w:p>
        </w:tc>
        <w:tc>
          <w:tcPr/>
          <w:p>
            <w:pPr>
              <w:pStyle w:val="Compact"/>
              <w:jc w:val="left"/>
            </w:pPr>
            <w:r>
              <w:t xml:space="preserve">Q1</w:t>
            </w:r>
          </w:p>
        </w:tc>
        <w:tc>
          <w:tcPr/>
          <w:p>
            <w:pPr>
              <w:pStyle w:val="Compact"/>
              <w:jc w:val="left"/>
            </w:pPr>
            <w:r>
              <w:t xml:space="preserve">10.1086/689702</w:t>
            </w:r>
          </w:p>
        </w:tc>
        <w:tc>
          <w:tcPr/>
          <w:p>
            <w:pPr>
              <w:pStyle w:val="Compact"/>
              <w:jc w:val="left"/>
            </w:pPr>
            <w:r>
              <w:t xml:space="preserve">2.4, 4.3.3</w:t>
            </w:r>
          </w:p>
        </w:tc>
        <w:tc>
          <w:tcPr/>
          <w:p>
            <w:pPr>
              <w:pStyle w:val="Compact"/>
              <w:jc w:val="left"/>
            </w:pPr>
            <w:r>
              <w:t xml:space="preserve">Tinggi</w:t>
            </w:r>
          </w:p>
        </w:tc>
      </w:tr>
      <w:tr>
        <w:tc>
          <w:tcPr/>
          <w:p>
            <w:pPr>
              <w:pStyle w:val="Compact"/>
              <w:jc w:val="left"/>
            </w:pPr>
            <w:r>
              <w:t xml:space="preserve">19</w:t>
            </w:r>
          </w:p>
        </w:tc>
        <w:tc>
          <w:tcPr/>
          <w:p>
            <w:pPr>
              <w:pStyle w:val="Compact"/>
              <w:jc w:val="left"/>
            </w:pPr>
            <w:r>
              <w:t xml:space="preserve">Sierzchula, Bakker, Maat &amp; van Wee (2014)</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10.1016/j.enpol.2014.01.043</w:t>
            </w:r>
          </w:p>
        </w:tc>
        <w:tc>
          <w:tcPr/>
          <w:p>
            <w:pPr>
              <w:pStyle w:val="Compact"/>
              <w:jc w:val="left"/>
            </w:pPr>
            <w:r>
              <w:t xml:space="preserve">2.4, 4.3.3</w:t>
            </w:r>
          </w:p>
        </w:tc>
        <w:tc>
          <w:tcPr/>
          <w:p>
            <w:pPr>
              <w:pStyle w:val="Compact"/>
              <w:jc w:val="left"/>
            </w:pPr>
            <w:r>
              <w:t xml:space="preserve">Tinggi</w:t>
            </w:r>
          </w:p>
        </w:tc>
      </w:tr>
      <w:tr>
        <w:tc>
          <w:tcPr/>
          <w:p>
            <w:pPr>
              <w:pStyle w:val="Compact"/>
              <w:jc w:val="left"/>
            </w:pPr>
            <w:r>
              <w:t xml:space="preserve">20</w:t>
            </w:r>
          </w:p>
        </w:tc>
        <w:tc>
          <w:tcPr/>
          <w:p>
            <w:pPr>
              <w:pStyle w:val="Compact"/>
              <w:jc w:val="left"/>
            </w:pPr>
            <w:r>
              <w:t xml:space="preserve">Hardman et al. (2018)</w:t>
            </w:r>
          </w:p>
        </w:tc>
        <w:tc>
          <w:tcPr/>
          <w:p>
            <w:pPr>
              <w:pStyle w:val="Compact"/>
              <w:jc w:val="left"/>
            </w:pPr>
            <w:r>
              <w:t xml:space="preserve">Transportation Research Part D</w:t>
            </w:r>
          </w:p>
        </w:tc>
        <w:tc>
          <w:tcPr/>
          <w:p>
            <w:pPr>
              <w:pStyle w:val="Compact"/>
              <w:jc w:val="left"/>
            </w:pPr>
            <w:r>
              <w:t xml:space="preserve">Q1</w:t>
            </w:r>
          </w:p>
        </w:tc>
        <w:tc>
          <w:tcPr/>
          <w:p>
            <w:pPr>
              <w:pStyle w:val="Compact"/>
              <w:jc w:val="left"/>
            </w:pPr>
            <w:r>
              <w:t xml:space="preserve">10.1016/j.trd.2018.04.002</w:t>
            </w:r>
          </w:p>
        </w:tc>
        <w:tc>
          <w:tcPr/>
          <w:p>
            <w:pPr>
              <w:pStyle w:val="Compact"/>
              <w:jc w:val="left"/>
            </w:pPr>
            <w:r>
              <w:t xml:space="preserve">4.3.3</w:t>
            </w:r>
          </w:p>
        </w:tc>
        <w:tc>
          <w:tcPr/>
          <w:p>
            <w:pPr>
              <w:pStyle w:val="Compact"/>
              <w:jc w:val="left"/>
            </w:pPr>
            <w:r>
              <w:t xml:space="preserve">Tinggi</w:t>
            </w:r>
          </w:p>
        </w:tc>
      </w:tr>
      <w:tr>
        <w:tc>
          <w:tcPr/>
          <w:p>
            <w:pPr>
              <w:pStyle w:val="Compact"/>
              <w:jc w:val="left"/>
            </w:pPr>
            <w:r>
              <w:t xml:space="preserve">21</w:t>
            </w:r>
          </w:p>
        </w:tc>
        <w:tc>
          <w:tcPr/>
          <w:p>
            <w:pPr>
              <w:pStyle w:val="Compact"/>
              <w:jc w:val="left"/>
            </w:pPr>
            <w:r>
              <w:t xml:space="preserve">Dechezleprêtre &amp; Sato (2017)</w:t>
            </w:r>
          </w:p>
        </w:tc>
        <w:tc>
          <w:tcPr/>
          <w:p>
            <w:pPr>
              <w:pStyle w:val="Compact"/>
              <w:jc w:val="left"/>
            </w:pPr>
            <w:r>
              <w:t xml:space="preserve">Review of Environmental Economics and Policy</w:t>
            </w:r>
          </w:p>
        </w:tc>
        <w:tc>
          <w:tcPr/>
          <w:p>
            <w:pPr>
              <w:pStyle w:val="Compact"/>
              <w:jc w:val="left"/>
            </w:pPr>
            <w:r>
              <w:t xml:space="preserve">Q1</w:t>
            </w:r>
          </w:p>
        </w:tc>
        <w:tc>
          <w:tcPr/>
          <w:p>
            <w:pPr>
              <w:pStyle w:val="Compact"/>
              <w:jc w:val="left"/>
            </w:pPr>
            <w:r>
              <w:t xml:space="preserve">10.1093/reep/rex013</w:t>
            </w:r>
          </w:p>
        </w:tc>
        <w:tc>
          <w:tcPr/>
          <w:p>
            <w:pPr>
              <w:pStyle w:val="Compact"/>
              <w:jc w:val="left"/>
            </w:pPr>
            <w:r>
              <w:t xml:space="preserve">2.4, 4.3.3</w:t>
            </w:r>
          </w:p>
        </w:tc>
        <w:tc>
          <w:tcPr/>
          <w:p>
            <w:pPr>
              <w:pStyle w:val="Compact"/>
              <w:jc w:val="left"/>
            </w:pPr>
            <w:r>
              <w:t xml:space="preserve">Tinggi</w:t>
            </w:r>
          </w:p>
        </w:tc>
      </w:tr>
      <w:tr>
        <w:tc>
          <w:tcPr/>
          <w:p>
            <w:pPr>
              <w:pStyle w:val="Compact"/>
              <w:jc w:val="left"/>
            </w:pPr>
            <w:r>
              <w:t xml:space="preserve">22</w:t>
            </w:r>
          </w:p>
        </w:tc>
        <w:tc>
          <w:tcPr/>
          <w:p>
            <w:pPr>
              <w:pStyle w:val="Compact"/>
              <w:jc w:val="left"/>
            </w:pPr>
            <w:r>
              <w:t xml:space="preserve">Teece (2010)</w:t>
            </w:r>
          </w:p>
        </w:tc>
        <w:tc>
          <w:tcPr/>
          <w:p>
            <w:pPr>
              <w:pStyle w:val="Compact"/>
              <w:jc w:val="left"/>
            </w:pPr>
            <w:r>
              <w:t xml:space="preserve">Long Range Planning</w:t>
            </w:r>
          </w:p>
        </w:tc>
        <w:tc>
          <w:tcPr/>
          <w:p>
            <w:pPr>
              <w:pStyle w:val="Compact"/>
              <w:jc w:val="left"/>
            </w:pPr>
            <w:r>
              <w:t xml:space="preserve">Q1</w:t>
            </w:r>
          </w:p>
        </w:tc>
        <w:tc>
          <w:tcPr/>
          <w:p>
            <w:pPr>
              <w:pStyle w:val="Compact"/>
              <w:jc w:val="left"/>
            </w:pPr>
            <w:r>
              <w:t xml:space="preserve">10.1016/j.lrp.2009.07.003</w:t>
            </w:r>
          </w:p>
        </w:tc>
        <w:tc>
          <w:tcPr/>
          <w:p>
            <w:pPr>
              <w:pStyle w:val="Compact"/>
              <w:jc w:val="left"/>
            </w:pPr>
            <w:r>
              <w:t xml:space="preserve">2.6</w:t>
            </w:r>
          </w:p>
        </w:tc>
        <w:tc>
          <w:tcPr/>
          <w:p>
            <w:pPr>
              <w:pStyle w:val="Compact"/>
              <w:jc w:val="left"/>
            </w:pPr>
            <w:r>
              <w:t xml:space="preserve">Tinggi</w:t>
            </w:r>
          </w:p>
        </w:tc>
      </w:tr>
      <w:tr>
        <w:tc>
          <w:tcPr/>
          <w:p>
            <w:pPr>
              <w:pStyle w:val="Compact"/>
              <w:jc w:val="left"/>
            </w:pPr>
            <w:r>
              <w:t xml:space="preserve">23</w:t>
            </w:r>
          </w:p>
        </w:tc>
        <w:tc>
          <w:tcPr/>
          <w:p>
            <w:pPr>
              <w:pStyle w:val="Compact"/>
              <w:jc w:val="left"/>
            </w:pPr>
            <w:r>
              <w:t xml:space="preserve">Zott &amp; Amit (2010)</w:t>
            </w:r>
          </w:p>
        </w:tc>
        <w:tc>
          <w:tcPr/>
          <w:p>
            <w:pPr>
              <w:pStyle w:val="Compact"/>
              <w:jc w:val="left"/>
            </w:pPr>
            <w:r>
              <w:t xml:space="preserve">Long Range Planning</w:t>
            </w:r>
          </w:p>
        </w:tc>
        <w:tc>
          <w:tcPr/>
          <w:p>
            <w:pPr>
              <w:pStyle w:val="Compact"/>
              <w:jc w:val="left"/>
            </w:pPr>
            <w:r>
              <w:t xml:space="preserve">Q1</w:t>
            </w:r>
          </w:p>
        </w:tc>
        <w:tc>
          <w:tcPr/>
          <w:p>
            <w:pPr>
              <w:pStyle w:val="Compact"/>
              <w:jc w:val="left"/>
            </w:pPr>
            <w:r>
              <w:t xml:space="preserve">10.1016/j.lrp.2009.07.004</w:t>
            </w:r>
          </w:p>
        </w:tc>
        <w:tc>
          <w:tcPr/>
          <w:p>
            <w:pPr>
              <w:pStyle w:val="Compact"/>
              <w:jc w:val="left"/>
            </w:pPr>
            <w:r>
              <w:t xml:space="preserve">2.6, 4.7.8</w:t>
            </w:r>
          </w:p>
        </w:tc>
        <w:tc>
          <w:tcPr/>
          <w:p>
            <w:pPr>
              <w:pStyle w:val="Compact"/>
              <w:jc w:val="left"/>
            </w:pPr>
            <w:r>
              <w:t xml:space="preserve">Tinggi</w:t>
            </w:r>
          </w:p>
        </w:tc>
      </w:tr>
      <w:tr>
        <w:tc>
          <w:tcPr/>
          <w:p>
            <w:pPr>
              <w:pStyle w:val="Compact"/>
              <w:jc w:val="left"/>
            </w:pPr>
            <w:r>
              <w:t xml:space="preserve">24</w:t>
            </w:r>
          </w:p>
        </w:tc>
        <w:tc>
          <w:tcPr/>
          <w:p>
            <w:pPr>
              <w:pStyle w:val="Compact"/>
              <w:jc w:val="left"/>
            </w:pPr>
            <w:r>
              <w:t xml:space="preserve">Burke &amp; Kurniawati (2018)</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10.1016/j.enpol.2018.02.018</w:t>
            </w:r>
          </w:p>
        </w:tc>
        <w:tc>
          <w:tcPr/>
          <w:p>
            <w:pPr>
              <w:pStyle w:val="Compact"/>
              <w:jc w:val="left"/>
            </w:pPr>
            <w:r>
              <w:t xml:space="preserve">4.1.3</w:t>
            </w:r>
          </w:p>
        </w:tc>
        <w:tc>
          <w:tcPr/>
          <w:p>
            <w:pPr>
              <w:pStyle w:val="Compact"/>
              <w:jc w:val="left"/>
            </w:pPr>
            <w:r>
              <w:t xml:space="preserve">Tinggi</w:t>
            </w:r>
          </w:p>
        </w:tc>
      </w:tr>
      <w:tr>
        <w:tc>
          <w:tcPr/>
          <w:p>
            <w:pPr>
              <w:pStyle w:val="Compact"/>
              <w:jc w:val="left"/>
            </w:pPr>
            <w:r>
              <w:t xml:space="preserve">25</w:t>
            </w:r>
          </w:p>
        </w:tc>
        <w:tc>
          <w:tcPr/>
          <w:p>
            <w:pPr>
              <w:pStyle w:val="Compact"/>
              <w:jc w:val="left"/>
            </w:pPr>
            <w:r>
              <w:t xml:space="preserve">Dartanto (2013)</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10.1016/j.enpol.2013.02.040</w:t>
            </w:r>
          </w:p>
        </w:tc>
        <w:tc>
          <w:tcPr/>
          <w:p>
            <w:pPr>
              <w:pStyle w:val="Compact"/>
              <w:jc w:val="left"/>
            </w:pPr>
            <w:r>
              <w:t xml:space="preserve">4.1.3</w:t>
            </w:r>
          </w:p>
        </w:tc>
        <w:tc>
          <w:tcPr/>
          <w:p>
            <w:pPr>
              <w:pStyle w:val="Compact"/>
              <w:jc w:val="left"/>
            </w:pPr>
            <w:r>
              <w:t xml:space="preserve">Tinggi</w:t>
            </w:r>
          </w:p>
        </w:tc>
      </w:tr>
      <w:tr>
        <w:tc>
          <w:tcPr/>
          <w:p>
            <w:pPr>
              <w:pStyle w:val="Compact"/>
              <w:jc w:val="left"/>
            </w:pPr>
            <w:r>
              <w:t xml:space="preserve">26</w:t>
            </w:r>
          </w:p>
        </w:tc>
        <w:tc>
          <w:tcPr/>
          <w:p>
            <w:pPr>
              <w:pStyle w:val="Compact"/>
              <w:jc w:val="left"/>
            </w:pPr>
            <w:r>
              <w:t xml:space="preserve">Warburton (2017)</w:t>
            </w:r>
          </w:p>
        </w:tc>
        <w:tc>
          <w:tcPr/>
          <w:p>
            <w:pPr>
              <w:pStyle w:val="Compact"/>
              <w:jc w:val="left"/>
            </w:pPr>
            <w:r>
              <w:t xml:space="preserve">Journal of East Asian Studies</w:t>
            </w:r>
          </w:p>
        </w:tc>
        <w:tc>
          <w:tcPr/>
          <w:p>
            <w:pPr>
              <w:pStyle w:val="Compact"/>
              <w:jc w:val="left"/>
            </w:pPr>
            <w:r>
              <w:t xml:space="preserve">VERIFIKASI (diperkirakan Q1/Q2)</w:t>
            </w:r>
          </w:p>
        </w:tc>
        <w:tc>
          <w:tcPr/>
          <w:p>
            <w:pPr>
              <w:pStyle w:val="Compact"/>
              <w:jc w:val="left"/>
            </w:pPr>
            <w:r>
              <w:t xml:space="preserve">10.1017/jea.2017.13</w:t>
            </w:r>
          </w:p>
        </w:tc>
        <w:tc>
          <w:tcPr/>
          <w:p>
            <w:pPr>
              <w:pStyle w:val="Compact"/>
              <w:jc w:val="left"/>
            </w:pPr>
            <w:r>
              <w:t xml:space="preserve">4.1.3</w:t>
            </w:r>
          </w:p>
        </w:tc>
        <w:tc>
          <w:tcPr/>
          <w:p>
            <w:pPr>
              <w:pStyle w:val="Compact"/>
              <w:jc w:val="left"/>
            </w:pPr>
            <w:r>
              <w:t xml:space="preserve">Sedang–Tinggi</w:t>
            </w:r>
          </w:p>
        </w:tc>
      </w:tr>
      <w:tr>
        <w:tc>
          <w:tcPr/>
          <w:p>
            <w:pPr>
              <w:pStyle w:val="Compact"/>
              <w:jc w:val="left"/>
            </w:pPr>
            <w:r>
              <w:t xml:space="preserve">27</w:t>
            </w:r>
          </w:p>
        </w:tc>
        <w:tc>
          <w:tcPr/>
          <w:p>
            <w:pPr>
              <w:pStyle w:val="Compact"/>
              <w:jc w:val="left"/>
            </w:pPr>
            <w:r>
              <w:t xml:space="preserve">Maulidia, Dargusch, Ashworth &amp; Ardiansyah (2019)</w:t>
            </w:r>
          </w:p>
        </w:tc>
        <w:tc>
          <w:tcPr/>
          <w:p>
            <w:pPr>
              <w:pStyle w:val="Compact"/>
              <w:jc w:val="left"/>
            </w:pPr>
            <w:r>
              <w:t xml:space="preserve">Renewable and Sustainable Energy Reviews</w:t>
            </w:r>
          </w:p>
        </w:tc>
        <w:tc>
          <w:tcPr/>
          <w:p>
            <w:pPr>
              <w:pStyle w:val="Compact"/>
              <w:jc w:val="left"/>
            </w:pPr>
            <w:r>
              <w:t xml:space="preserve">Q1</w:t>
            </w:r>
          </w:p>
        </w:tc>
        <w:tc>
          <w:tcPr/>
          <w:p>
            <w:pPr>
              <w:pStyle w:val="Compact"/>
              <w:jc w:val="left"/>
            </w:pPr>
            <w:r>
              <w:t xml:space="preserve">10.1016/j.rser.2018.11.005</w:t>
            </w:r>
          </w:p>
        </w:tc>
        <w:tc>
          <w:tcPr/>
          <w:p>
            <w:pPr>
              <w:pStyle w:val="Compact"/>
              <w:jc w:val="left"/>
            </w:pPr>
            <w:r>
              <w:t xml:space="preserve">4.3.3</w:t>
            </w:r>
          </w:p>
        </w:tc>
        <w:tc>
          <w:tcPr/>
          <w:p>
            <w:pPr>
              <w:pStyle w:val="Compact"/>
              <w:jc w:val="left"/>
            </w:pPr>
            <w:r>
              <w:t xml:space="preserve">Tinggi</w:t>
            </w:r>
          </w:p>
        </w:tc>
      </w:tr>
      <w:tr>
        <w:tc>
          <w:tcPr/>
          <w:p>
            <w:pPr>
              <w:pStyle w:val="Compact"/>
              <w:jc w:val="left"/>
            </w:pPr>
            <w:r>
              <w:t xml:space="preserve">28</w:t>
            </w:r>
          </w:p>
        </w:tc>
        <w:tc>
          <w:tcPr/>
          <w:p>
            <w:pPr>
              <w:pStyle w:val="Compact"/>
              <w:jc w:val="left"/>
            </w:pPr>
            <w:r>
              <w:t xml:space="preserve">Burke et al. (2019)</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10.1016/j.enpol.2019.05.055</w:t>
            </w:r>
          </w:p>
        </w:tc>
        <w:tc>
          <w:tcPr/>
          <w:p>
            <w:pPr>
              <w:pStyle w:val="Compact"/>
              <w:jc w:val="left"/>
            </w:pPr>
            <w:r>
              <w:t xml:space="preserve">4.3.3</w:t>
            </w:r>
          </w:p>
        </w:tc>
        <w:tc>
          <w:tcPr/>
          <w:p>
            <w:pPr>
              <w:pStyle w:val="Compact"/>
              <w:jc w:val="left"/>
            </w:pPr>
            <w:r>
              <w:t xml:space="preserve">Tinggi</w:t>
            </w:r>
          </w:p>
        </w:tc>
      </w:tr>
      <w:tr>
        <w:tc>
          <w:tcPr/>
          <w:p>
            <w:pPr>
              <w:pStyle w:val="Compact"/>
              <w:jc w:val="left"/>
            </w:pPr>
            <w:r>
              <w:t xml:space="preserve">29</w:t>
            </w:r>
          </w:p>
        </w:tc>
        <w:tc>
          <w:tcPr/>
          <w:p>
            <w:pPr>
              <w:pStyle w:val="Compact"/>
              <w:jc w:val="left"/>
            </w:pPr>
            <w:r>
              <w:t xml:space="preserve">Bjørn, Lloyd, Brander &amp; Matthews (2022)</w:t>
            </w:r>
          </w:p>
        </w:tc>
        <w:tc>
          <w:tcPr/>
          <w:p>
            <w:pPr>
              <w:pStyle w:val="Compact"/>
              <w:jc w:val="left"/>
            </w:pPr>
            <w:r>
              <w:t xml:space="preserve">Nature Climate Change</w:t>
            </w:r>
          </w:p>
        </w:tc>
        <w:tc>
          <w:tcPr/>
          <w:p>
            <w:pPr>
              <w:pStyle w:val="Compact"/>
              <w:jc w:val="left"/>
            </w:pPr>
            <w:r>
              <w:t xml:space="preserve">Q1</w:t>
            </w:r>
          </w:p>
        </w:tc>
        <w:tc>
          <w:tcPr/>
          <w:p>
            <w:pPr>
              <w:pStyle w:val="Compact"/>
              <w:jc w:val="left"/>
            </w:pPr>
            <w:r>
              <w:t xml:space="preserve">10.1038/s41558-022-01379-5</w:t>
            </w:r>
          </w:p>
        </w:tc>
        <w:tc>
          <w:tcPr/>
          <w:p>
            <w:pPr>
              <w:pStyle w:val="Compact"/>
              <w:jc w:val="left"/>
            </w:pPr>
            <w:r>
              <w:t xml:space="preserve">4.7.6</w:t>
            </w:r>
          </w:p>
        </w:tc>
        <w:tc>
          <w:tcPr/>
          <w:p>
            <w:pPr>
              <w:pStyle w:val="Compact"/>
              <w:jc w:val="left"/>
            </w:pPr>
            <w:r>
              <w:t xml:space="preserve">Tinggi</w:t>
            </w:r>
          </w:p>
        </w:tc>
      </w:tr>
      <w:tr>
        <w:tc>
          <w:tcPr/>
          <w:p>
            <w:pPr>
              <w:pStyle w:val="Compact"/>
              <w:jc w:val="left"/>
            </w:pPr>
            <w:r>
              <w:t xml:space="preserve">30</w:t>
            </w:r>
          </w:p>
        </w:tc>
        <w:tc>
          <w:tcPr/>
          <w:p>
            <w:pPr>
              <w:pStyle w:val="Compact"/>
              <w:jc w:val="left"/>
            </w:pPr>
            <w:r>
              <w:t xml:space="preserve">Brander, Gillenwater &amp; Ascui (2018)</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10.1016/j.enpol.2017.09.051</w:t>
            </w:r>
          </w:p>
        </w:tc>
        <w:tc>
          <w:tcPr/>
          <w:p>
            <w:pPr>
              <w:pStyle w:val="Compact"/>
              <w:jc w:val="left"/>
            </w:pPr>
            <w:r>
              <w:t xml:space="preserve">4.7.6</w:t>
            </w:r>
          </w:p>
        </w:tc>
        <w:tc>
          <w:tcPr/>
          <w:p>
            <w:pPr>
              <w:pStyle w:val="Compact"/>
              <w:jc w:val="left"/>
            </w:pPr>
            <w:r>
              <w:t xml:space="preserve">Tinggi</w:t>
            </w:r>
          </w:p>
        </w:tc>
      </w:tr>
      <w:tr>
        <w:tc>
          <w:tcPr/>
          <w:p>
            <w:pPr>
              <w:pStyle w:val="Compact"/>
              <w:jc w:val="left"/>
            </w:pPr>
            <w:r>
              <w:t xml:space="preserve">31</w:t>
            </w:r>
          </w:p>
        </w:tc>
        <w:tc>
          <w:tcPr/>
          <w:p>
            <w:pPr>
              <w:pStyle w:val="Compact"/>
              <w:jc w:val="left"/>
            </w:pPr>
            <w:r>
              <w:t xml:space="preserve">Tukker (2004)</w:t>
            </w:r>
          </w:p>
        </w:tc>
        <w:tc>
          <w:tcPr/>
          <w:p>
            <w:pPr>
              <w:pStyle w:val="Compact"/>
              <w:jc w:val="left"/>
            </w:pPr>
            <w:r>
              <w:t xml:space="preserve">Business Strategy and the Environment</w:t>
            </w:r>
          </w:p>
        </w:tc>
        <w:tc>
          <w:tcPr/>
          <w:p>
            <w:pPr>
              <w:pStyle w:val="Compact"/>
              <w:jc w:val="left"/>
            </w:pPr>
            <w:r>
              <w:t xml:space="preserve">Q1</w:t>
            </w:r>
          </w:p>
        </w:tc>
        <w:tc>
          <w:tcPr/>
          <w:p>
            <w:pPr>
              <w:pStyle w:val="Compact"/>
              <w:jc w:val="left"/>
            </w:pPr>
            <w:r>
              <w:t xml:space="preserve">10.1002/bse.414</w:t>
            </w:r>
          </w:p>
        </w:tc>
        <w:tc>
          <w:tcPr/>
          <w:p>
            <w:pPr>
              <w:pStyle w:val="Compact"/>
              <w:jc w:val="left"/>
            </w:pPr>
            <w:r>
              <w:t xml:space="preserve">4.7.8</w:t>
            </w:r>
          </w:p>
        </w:tc>
        <w:tc>
          <w:tcPr/>
          <w:p>
            <w:pPr>
              <w:pStyle w:val="Compact"/>
              <w:jc w:val="left"/>
            </w:pPr>
            <w:r>
              <w:t xml:space="preserve">Tinggi</w:t>
            </w:r>
          </w:p>
        </w:tc>
      </w:tr>
      <w:tr>
        <w:tc>
          <w:tcPr/>
          <w:p>
            <w:pPr>
              <w:pStyle w:val="Compact"/>
              <w:jc w:val="left"/>
            </w:pPr>
            <w:r>
              <w:t xml:space="preserve">32</w:t>
            </w:r>
          </w:p>
        </w:tc>
        <w:tc>
          <w:tcPr/>
          <w:p>
            <w:pPr>
              <w:pStyle w:val="Compact"/>
              <w:jc w:val="left"/>
            </w:pPr>
            <w:r>
              <w:t xml:space="preserve">Richter (2013)</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10.1016/j.enpol.2013.05.038</w:t>
            </w:r>
          </w:p>
        </w:tc>
        <w:tc>
          <w:tcPr/>
          <w:p>
            <w:pPr>
              <w:pStyle w:val="Compact"/>
              <w:jc w:val="left"/>
            </w:pPr>
            <w:r>
              <w:t xml:space="preserve">4.7.8</w:t>
            </w:r>
          </w:p>
        </w:tc>
        <w:tc>
          <w:tcPr/>
          <w:p>
            <w:pPr>
              <w:pStyle w:val="Compact"/>
              <w:jc w:val="left"/>
            </w:pPr>
            <w:r>
              <w:t xml:space="preserve">Tinggi</w:t>
            </w:r>
          </w:p>
        </w:tc>
      </w:tr>
      <w:tr>
        <w:tc>
          <w:tcPr/>
          <w:p>
            <w:pPr>
              <w:pStyle w:val="Compact"/>
              <w:jc w:val="left"/>
            </w:pPr>
            <w:r>
              <w:t xml:space="preserve">33</w:t>
            </w:r>
          </w:p>
        </w:tc>
        <w:tc>
          <w:tcPr/>
          <w:p>
            <w:pPr>
              <w:pStyle w:val="Compact"/>
              <w:jc w:val="left"/>
            </w:pPr>
            <w:r>
              <w:t xml:space="preserve">Helms (2016)</w:t>
            </w:r>
          </w:p>
        </w:tc>
        <w:tc>
          <w:tcPr/>
          <w:p>
            <w:pPr>
              <w:pStyle w:val="Compact"/>
              <w:jc w:val="left"/>
            </w:pPr>
            <w:r>
              <w:t xml:space="preserve">Energy Policy</w:t>
            </w:r>
          </w:p>
        </w:tc>
        <w:tc>
          <w:tcPr/>
          <w:p>
            <w:pPr>
              <w:pStyle w:val="Compact"/>
              <w:jc w:val="left"/>
            </w:pPr>
            <w:r>
              <w:t xml:space="preserve">Q1</w:t>
            </w:r>
          </w:p>
        </w:tc>
        <w:tc>
          <w:tcPr/>
          <w:p>
            <w:pPr>
              <w:pStyle w:val="Compact"/>
              <w:jc w:val="left"/>
            </w:pPr>
            <w:r>
              <w:t xml:space="preserve">10.1016/j.enpol.2015.12.046</w:t>
            </w:r>
          </w:p>
        </w:tc>
        <w:tc>
          <w:tcPr/>
          <w:p>
            <w:pPr>
              <w:pStyle w:val="Compact"/>
              <w:jc w:val="left"/>
            </w:pPr>
            <w:r>
              <w:t xml:space="preserve">4.7.8</w:t>
            </w:r>
          </w:p>
        </w:tc>
        <w:tc>
          <w:tcPr/>
          <w:p>
            <w:pPr>
              <w:pStyle w:val="Compact"/>
              <w:jc w:val="left"/>
            </w:pPr>
            <w:r>
              <w:t xml:space="preserve">Tinggi</w:t>
            </w:r>
          </w:p>
        </w:tc>
      </w:tr>
      <w:tr>
        <w:tc>
          <w:tcPr/>
          <w:p>
            <w:pPr>
              <w:pStyle w:val="Compact"/>
              <w:jc w:val="left"/>
            </w:pPr>
            <w:r>
              <w:t xml:space="preserve">34</w:t>
            </w:r>
          </w:p>
        </w:tc>
        <w:tc>
          <w:tcPr/>
          <w:p>
            <w:pPr>
              <w:pStyle w:val="Compact"/>
              <w:jc w:val="left"/>
            </w:pPr>
            <w:r>
              <w:t xml:space="preserve">Hartmann, Inkpen &amp; Ramaswamy (2021)</w:t>
            </w:r>
          </w:p>
        </w:tc>
        <w:tc>
          <w:tcPr/>
          <w:p>
            <w:pPr>
              <w:pStyle w:val="Compact"/>
              <w:jc w:val="left"/>
            </w:pPr>
            <w:r>
              <w:t xml:space="preserve">Journal of International Business Studies</w:t>
            </w:r>
          </w:p>
        </w:tc>
        <w:tc>
          <w:tcPr/>
          <w:p>
            <w:pPr>
              <w:pStyle w:val="Compact"/>
              <w:jc w:val="left"/>
            </w:pPr>
            <w:r>
              <w:t xml:space="preserve">Q1</w:t>
            </w:r>
          </w:p>
        </w:tc>
        <w:tc>
          <w:tcPr/>
          <w:p>
            <w:pPr>
              <w:pStyle w:val="Compact"/>
              <w:jc w:val="left"/>
            </w:pPr>
            <w:r>
              <w:t xml:space="preserve">10.1057/s41267-020-00326-w</w:t>
            </w:r>
          </w:p>
        </w:tc>
        <w:tc>
          <w:tcPr/>
          <w:p>
            <w:pPr>
              <w:pStyle w:val="Compact"/>
              <w:jc w:val="left"/>
            </w:pPr>
            <w:r>
              <w:t xml:space="preserve">4.7.8</w:t>
            </w:r>
          </w:p>
        </w:tc>
        <w:tc>
          <w:tcPr/>
          <w:p>
            <w:pPr>
              <w:pStyle w:val="Compact"/>
              <w:jc w:val="left"/>
            </w:pPr>
            <w:r>
              <w:t xml:space="preserve">Tinggi</w:t>
            </w:r>
          </w:p>
        </w:tc>
      </w:tr>
      <w:tr>
        <w:tc>
          <w:tcPr/>
          <w:p>
            <w:pPr>
              <w:pStyle w:val="Compact"/>
              <w:jc w:val="left"/>
            </w:pPr>
            <w:r>
              <w:t xml:space="preserve">35</w:t>
            </w:r>
          </w:p>
        </w:tc>
        <w:tc>
          <w:tcPr/>
          <w:p>
            <w:pPr>
              <w:pStyle w:val="Compact"/>
              <w:jc w:val="left"/>
            </w:pPr>
            <w:r>
              <w:t xml:space="preserve">Bower &amp; Christensen (1995)</w:t>
            </w:r>
          </w:p>
        </w:tc>
        <w:tc>
          <w:tcPr/>
          <w:p>
            <w:pPr>
              <w:pStyle w:val="Compact"/>
              <w:jc w:val="left"/>
            </w:pPr>
            <w:r>
              <w:t xml:space="preserve">Harvard Business Review (karya klasik, tanpa DOI)</w:t>
            </w:r>
          </w:p>
        </w:tc>
        <w:tc>
          <w:tcPr/>
          <w:p>
            <w:pPr>
              <w:pStyle w:val="Compact"/>
              <w:jc w:val="left"/>
            </w:pPr>
            <w:r>
              <w:t xml:space="preserve">n/a</w:t>
            </w:r>
          </w:p>
        </w:tc>
        <w:tc>
          <w:tcPr/>
          <w:p>
            <w:pPr>
              <w:pStyle w:val="Compact"/>
              <w:jc w:val="left"/>
            </w:pPr>
            <w:r>
              <w:t xml:space="preserve">—</w:t>
            </w:r>
          </w:p>
        </w:tc>
        <w:tc>
          <w:tcPr/>
          <w:p>
            <w:pPr>
              <w:pStyle w:val="Compact"/>
              <w:jc w:val="left"/>
            </w:pPr>
            <w:r>
              <w:t xml:space="preserve">2.4</w:t>
            </w:r>
          </w:p>
        </w:tc>
        <w:tc>
          <w:tcPr/>
          <w:p>
            <w:pPr>
              <w:pStyle w:val="Compact"/>
              <w:jc w:val="left"/>
            </w:pPr>
            <w:r>
              <w:t xml:space="preserve">Tinggi</w:t>
            </w:r>
          </w:p>
        </w:tc>
      </w:tr>
      <w:tr>
        <w:tc>
          <w:tcPr/>
          <w:p>
            <w:pPr>
              <w:pStyle w:val="Compact"/>
              <w:jc w:val="left"/>
            </w:pPr>
            <w:r>
              <w:t xml:space="preserve">36</w:t>
            </w:r>
          </w:p>
        </w:tc>
        <w:tc>
          <w:tcPr/>
          <w:p>
            <w:pPr>
              <w:pStyle w:val="Compact"/>
              <w:jc w:val="left"/>
            </w:pPr>
            <w:r>
              <w:t xml:space="preserve">Christensen, Raynor &amp; McDonald (2015)</w:t>
            </w:r>
          </w:p>
        </w:tc>
        <w:tc>
          <w:tcPr/>
          <w:p>
            <w:pPr>
              <w:pStyle w:val="Compact"/>
              <w:jc w:val="left"/>
            </w:pPr>
            <w:r>
              <w:t xml:space="preserve">Harvard Business Review (karya klasik, tanpa DOI)</w:t>
            </w:r>
          </w:p>
        </w:tc>
        <w:tc>
          <w:tcPr/>
          <w:p>
            <w:pPr>
              <w:pStyle w:val="Compact"/>
              <w:jc w:val="left"/>
            </w:pPr>
            <w:r>
              <w:t xml:space="preserve">n/a</w:t>
            </w:r>
          </w:p>
        </w:tc>
        <w:tc>
          <w:tcPr/>
          <w:p>
            <w:pPr>
              <w:pStyle w:val="Compact"/>
              <w:jc w:val="left"/>
            </w:pPr>
            <w:r>
              <w:t xml:space="preserve">—</w:t>
            </w:r>
          </w:p>
        </w:tc>
        <w:tc>
          <w:tcPr/>
          <w:p>
            <w:pPr>
              <w:pStyle w:val="Compact"/>
              <w:jc w:val="left"/>
            </w:pPr>
            <w:r>
              <w:t xml:space="preserve">2.4</w:t>
            </w:r>
          </w:p>
        </w:tc>
        <w:tc>
          <w:tcPr/>
          <w:p>
            <w:pPr>
              <w:pStyle w:val="Compact"/>
              <w:jc w:val="left"/>
            </w:pPr>
            <w:r>
              <w:t xml:space="preserve">Tinggi</w:t>
            </w:r>
          </w:p>
        </w:tc>
      </w:tr>
      <w:tr>
        <w:tc>
          <w:tcPr/>
          <w:p>
            <w:pPr>
              <w:pStyle w:val="Compact"/>
              <w:jc w:val="left"/>
            </w:pPr>
            <w:r>
              <w:t xml:space="preserve">37</w:t>
            </w:r>
          </w:p>
        </w:tc>
        <w:tc>
          <w:tcPr/>
          <w:p>
            <w:pPr>
              <w:pStyle w:val="Compact"/>
              <w:jc w:val="left"/>
            </w:pPr>
            <w:r>
              <w:t xml:space="preserve">Porter (2008)</w:t>
            </w:r>
          </w:p>
        </w:tc>
        <w:tc>
          <w:tcPr/>
          <w:p>
            <w:pPr>
              <w:pStyle w:val="Compact"/>
              <w:jc w:val="left"/>
            </w:pPr>
            <w:r>
              <w:t xml:space="preserve">Harvard Business Review (definisi)</w:t>
            </w:r>
          </w:p>
        </w:tc>
        <w:tc>
          <w:tcPr/>
          <w:p>
            <w:pPr>
              <w:pStyle w:val="Compact"/>
              <w:jc w:val="left"/>
            </w:pPr>
            <w:r>
              <w:t xml:space="preserve">n/a</w:t>
            </w:r>
          </w:p>
        </w:tc>
        <w:tc>
          <w:tcPr/>
          <w:p>
            <w:pPr>
              <w:pStyle w:val="Compact"/>
              <w:jc w:val="left"/>
            </w:pPr>
            <w:r>
              <w:t xml:space="preserve">—</w:t>
            </w:r>
          </w:p>
        </w:tc>
        <w:tc>
          <w:tcPr/>
          <w:p>
            <w:pPr>
              <w:pStyle w:val="Compact"/>
              <w:jc w:val="left"/>
            </w:pPr>
            <w:r>
              <w:t xml:space="preserve">2.1</w:t>
            </w:r>
          </w:p>
        </w:tc>
        <w:tc>
          <w:tcPr/>
          <w:p>
            <w:pPr>
              <w:pStyle w:val="Compact"/>
              <w:jc w:val="left"/>
            </w:pPr>
            <w:r>
              <w:t xml:space="preserve">Tinggi</w:t>
            </w:r>
          </w:p>
        </w:tc>
      </w:tr>
    </w:tbl>
    <w:p>
      <w:pPr>
        <w:pStyle w:val="BodyText"/>
      </w:pPr>
      <w:r>
        <w:t xml:space="preserve">Catatan audit: (1) Kuartil SJR dinyatakan menurut pengetahuan penulis atas kategori utama jurnal dan harus dicek ulang di scimagojr.com untuk tahun terbit masing-masing; tiga jurnal diberi tanda VERIFIKASI. (2) Semua DOI ditulis dari ingatan penulis atas artikel yang isinya diketahui; nomor halaman dan volume perlu dicek ulang sebelum penyerahan. (3) Jumlah artikel jurnal berperingkat yang dipakai adalah 34, melebihi kisaran 12–18 yang disarankan, karena setiap konstruk teori di Bab 2 dan setiap faktor di Bab 4 membutuhkan minimal dua rujukan; artikel yang tidak dipakai dalam argumen telah dihapus.</w:t>
      </w:r>
    </w:p>
    <w:bookmarkEnd w:id="91"/>
    <w:sectPr>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Times New Roman" w:eastAsia="Times New Roman" w:hAnsi="Times New Roman"/>
      <w:sz w:val="24"/>
    </w:rPr>
  </w:style>
  <w:style w:styleId="BodyText" w:type="paragraph">
    <w:name w:val="Body Text"/>
    <w:basedOn w:val="Normal"/>
    <w:link w:val="BodyTextChar"/>
    <w:pPr>
      <w:spacing w:after="120" w:before="180" w:line="276"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after="120" w:line="276" w:lineRule="auto"/>
    </w:pPr>
    <w:rPr>
      <w:rFonts w:ascii="Times New Roman" w:eastAsia="Times New Roman" w:hAnsi="Times New Roman"/>
      <w:sz w:val="24"/>
    </w:rPr>
  </w:style>
  <w:style w:customStyle="1" w:styleId="Compact" w:type="paragraph">
    <w:name w:val="Compact"/>
    <w:basedOn w:val="BodyText"/>
    <w:qFormat/>
    <w:pPr>
      <w:spacing w:after="120" w:before="36" w:line="276" w:lineRule="auto"/>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b/>
      <w:sz w:val="26"/>
      <w:szCs w:val="30"/>
    </w:rPr>
  </w:style>
  <w:style w:customStyle="1" w:styleId="Author" w:type="paragraph">
    <w:name w:val="Author"/>
    <w:next w:val="BodyText"/>
    <w:qFormat/>
    <w:pPr>
      <w:keepNext/>
      <w:keepLines/>
      <w:jc w:val="center"/>
    </w:pPr>
    <w:rPr>
      <w:rFonts w:ascii="Times New Roman" w:eastAsia="Times New Roman" w:hAnsi="Times New Roman"/>
      <w:b/>
      <w:sz w:val="24"/>
    </w:rPr>
  </w:style>
  <w:style w:styleId="Date" w:type="paragraph">
    <w:name w:val="Date"/>
    <w:next w:val="BodyText"/>
    <w:qFormat/>
    <w:pPr>
      <w:keepNext/>
      <w:keepLines/>
      <w:jc w:val="center"/>
    </w:pPr>
    <w:rPr>
      <w:rFonts w:ascii="Times New Roman" w:eastAsia="Times New Roman" w:hAnsi="Times New Roman"/>
      <w:b/>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9"/>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verTitle" w:type="paragraph">
    <w:name w:val="CoverTitle"/>
    <w:basedOn w:val="Normal"/>
    <w:pPr>
      <w:spacing w:after="240" w:line="312" w:lineRule="auto"/>
      <w:jc w:val="center"/>
    </w:pPr>
    <w:rPr>
      <w:rFonts w:ascii="Times New Roman" w:eastAsia="Times New Roman" w:hAnsi="Times New Roman"/>
      <w:b/>
      <w:sz w:val="32"/>
    </w:rPr>
  </w:style>
  <w:style w:customStyle="1" w:styleId="CoverText" w:type="paragraph">
    <w:name w:val="CoverText"/>
    <w:basedOn w:val="Normal"/>
    <w:pPr>
      <w:spacing w:after="120" w:line="312" w:lineRule="auto"/>
      <w:jc w:val="center"/>
    </w:pPr>
    <w:rPr>
      <w:rFonts w:ascii="Times New Roman" w:eastAsia="Times New Roman" w:hAnsi="Times New Roman"/>
      <w:b/>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id</dc:language>
  <cp:keywords/>
  <dcterms:created xsi:type="dcterms:W3CDTF">2026-10-24T10:35:03Z</dcterms:created>
  <dcterms:modified xsi:type="dcterms:W3CDTF">2026-10-24T10:35:03Z</dcterms:modified>
</cp:coreProperties>
</file>

<file path=docProps/custom.xml><?xml version="1.0" encoding="utf-8"?>
<Properties xmlns="http://schemas.openxmlformats.org/officeDocument/2006/custom-properties" xmlns:vt="http://schemas.openxmlformats.org/officeDocument/2006/docPropsVTypes"/>
</file>