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adalah pendamping deck 21 slide.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Standar penyampaian yang diturunkan dari kebiasaan kelas Pak Rangga:</w:t>
      </w:r>
    </w:p>
    <w:p>
      <w:pPr>
        <w:numPr>
          <w:ilvl w:val="0"/>
          <w:numId w:val="1001"/>
        </w:numPr>
        <w:pStyle w:val="Compact"/>
      </w:pPr>
      <w:r>
        <w:t xml:space="preserve">Durasi presentasi 10–15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1–6</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7–8</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9–12</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13–17</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Bahan Renungan, Penutup</w:t>
            </w:r>
          </w:p>
        </w:tc>
        <w:tc>
          <w:tcPr/>
          <w:p>
            <w:pPr>
              <w:pStyle w:val="Compact"/>
              <w:jc w:val="left"/>
            </w:pPr>
            <w:r>
              <w:t xml:space="preserve">18–21</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slide yang boleh dilewati tanpa memutus logika adalah 4 (statistik), 8 (praktik rekrutmen), 11 (M&amp;A dan kemitraan), dan 17 (koordinasi). Slide 5, 6, 9, 13, 18 adalah tulang punggung dan tidak boleh dilewati.</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1–2), lingkungan eksternal adalah arah angin (Bab 3), resources dan capabilities adalah layar dan mesin (Bab 4), pilihan strategi generik dan pelengkapnya adalah haluan (Bab 5–8). Bab 10 menjawab: siapa awak kapalnya, apa yang mereka kuasai, dan bagaimana mereka ditata di geladak agar kapal benar-benar bergerak ke arah yang dipilih.</w:t>
      </w:r>
    </w:p>
    <w:bookmarkEnd w:id="22"/>
    <w:bookmarkStart w:id="44" w:name="bagian-c.-uraian-per-slide"/>
    <w:p>
      <w:pPr>
        <w:pStyle w:val="Heading1"/>
      </w:pPr>
      <w:r>
        <w:t xml:space="preserve">Bagian C. Uraian per Slide</w:t>
      </w:r>
    </w:p>
    <w:bookmarkStart w:id="23" w:name="slide-1-sampul"/>
    <w:p>
      <w:pPr>
        <w:pStyle w:val="Heading2"/>
      </w:pPr>
      <w:r>
        <w:t xml:space="preserve">Slide 1 —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X996d070b781469c682cf70ee3f94b8a88e1e700"/>
    <w:p>
      <w:pPr>
        <w:pStyle w:val="Heading2"/>
      </w:pPr>
      <w:r>
        <w:t xml:space="preserve">Slide 3 —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5"/>
    <w:bookmarkStart w:id="26" w:name="X63fab502ea707a18812237c99f9d922162c6fff"/>
    <w:p>
      <w:pPr>
        <w:pStyle w:val="Heading2"/>
      </w:pPr>
      <w:r>
        <w:t xml:space="preserve">Slide 4 — Mengapa Eksekusi Menjadi Ujian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6"/>
    <w:bookmarkStart w:id="27" w:name="X3a6caf1526b55e4495186ba6909a6b7cb465ad2"/>
    <w:p>
      <w:pPr>
        <w:pStyle w:val="Heading2"/>
      </w:pPr>
      <w:r>
        <w:t xml:space="preserve">Slide 5 — Sepuluh Tugas Dasar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7"/>
    <w:bookmarkStart w:id="28" w:name="X846ce466bd00b8f58d31ed2a36781db73689d7a"/>
    <w:p>
      <w:pPr>
        <w:pStyle w:val="Heading2"/>
      </w:pPr>
      <w:r>
        <w:t xml:space="preserve">Slide 6 — Tiga Aksi Kunci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8"/>
    <w:bookmarkStart w:id="29" w:name="slide-7-menyusun-tim-manajemen-yang-kuat"/>
    <w:p>
      <w:pPr>
        <w:pStyle w:val="Heading2"/>
      </w:pPr>
      <w:r>
        <w:t xml:space="preserve">Slide 7 —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29"/>
    <w:bookmarkStart w:id="30" w:name="X91d1c56cede22077be7f3d75768d23e5bc42818"/>
    <w:p>
      <w:pPr>
        <w:pStyle w:val="Heading2"/>
      </w:pPr>
      <w:r>
        <w:t xml:space="preserve">Slide 8 —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0"/>
    <w:bookmarkStart w:id="31" w:name="X6c8be05473435c098ddd0ce4b9ffb72b19f4cb8"/>
    <w:p>
      <w:pPr>
        <w:pStyle w:val="Heading2"/>
      </w:pPr>
      <w:r>
        <w:t xml:space="preserve">Slide 9 — Membangun Resources dan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Baris</w:t>
      </w:r>
      <w:r>
        <w:t xml:space="preserve"> </w:t>
      </w:r>
      <w:r>
        <w:t xml:space="preserve">“</w:t>
      </w:r>
      <w:r>
        <w:t xml:space="preserve">trade-off</w:t>
      </w:r>
      <w:r>
        <w:t xml:space="preserve">”</w:t>
      </w:r>
      <w:r>
        <w:t xml:space="preserve"> </w:t>
      </w:r>
      <w:r>
        <w:t xml:space="preserve">(kecepatan, kendali, risiko) adalah sintesis penyaji dari uraian buku,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1"/>
    <w:bookmarkStart w:id="32" w:name="X1673e216a62ebde0467926d4b235048d580d19f"/>
    <w:p>
      <w:pPr>
        <w:pStyle w:val="Heading2"/>
      </w:pPr>
      <w:r>
        <w:t xml:space="preserve">Slide 10 — Jalur Evolusioner Pengembangan Capability Internal</w:t>
      </w:r>
    </w:p>
    <w:p>
      <w:pPr>
        <w:pStyle w:val="FirstParagraph"/>
      </w:pPr>
      <w:r>
        <w:rPr>
          <w:bCs/>
          <w:b/>
        </w:rPr>
        <w:t xml:space="preserve">Inti pesan.</w:t>
      </w:r>
      <w:r>
        <w:t xml:space="preserve"> </w:t>
      </w:r>
      <w:r>
        <w:t xml:space="preserve">Capability tumbuh bertahap:</w:t>
      </w:r>
      <w:r>
        <w:t xml:space="preserve"> </w:t>
      </w:r>
      <w:r>
        <w:rPr>
          <w:iCs/>
          <w:i/>
        </w:rPr>
        <w:t xml:space="preserve">ability</w:t>
      </w:r>
      <w:r>
        <w:t xml:space="preserve"> </w:t>
      </w:r>
      <w:r>
        <w:t xml:space="preserve">→</w:t>
      </w:r>
      <w:r>
        <w:t xml:space="preserve"> </w:t>
      </w:r>
      <w:r>
        <w:rPr>
          <w:iCs/>
          <w:i/>
        </w:rPr>
        <w:t xml:space="preserve">tried-and-true competence</w:t>
      </w:r>
      <w:r>
        <w:t xml:space="preserve"> </w:t>
      </w:r>
      <w:r>
        <w:t xml:space="preserve">→ capability yang terus disegarkan.</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2"/>
    <w:bookmarkStart w:id="33" w:name="slide-11-akuisisi-dan-kemitraan"/>
    <w:p>
      <w:pPr>
        <w:pStyle w:val="Heading2"/>
      </w:pPr>
      <w:r>
        <w:t xml:space="preserve">Slide 11 — Akuisisi dan Kemitraan</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3"/>
    <w:bookmarkStart w:id="34" w:name="Xfbc25a19ed86de1ec68b65eee1a2d386d5ae6be"/>
    <w:p>
      <w:pPr>
        <w:pStyle w:val="Heading2"/>
      </w:pPr>
      <w:r>
        <w:t xml:space="preserve">Slide 12 — Execution Capability sebagai Competitive Advantage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4"/>
    <w:bookmarkStart w:id="35" w:name="X1b347d97996b77cc3e53ddf2f7c586b15e74017"/>
    <w:p>
      <w:pPr>
        <w:pStyle w:val="Heading2"/>
      </w:pPr>
      <w:r>
        <w:t xml:space="preserve">Slide 13 — Menyelaraskan Struktur dengan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(buku mengutip Chandler, 1962,</w:t>
      </w:r>
      <w:r>
        <w:t xml:space="preserve"> </w:t>
      </w:r>
      <w:r>
        <w:rPr>
          <w:iCs/>
          <w:i/>
        </w:rPr>
        <w:t xml:space="preserve">Strategy and Structure</w:t>
      </w:r>
      <w:r>
        <w:t xml:space="preserve">).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5"/>
    <w:bookmarkStart w:id="36" w:name="Xb2b51d9ed614ce96cb844bbb25a0b33e00342cd"/>
    <w:p>
      <w:pPr>
        <w:pStyle w:val="Heading2"/>
      </w:pPr>
      <w:r>
        <w:t xml:space="preserve">Slide 14 — Keputusan 1: Outsourcing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6"/>
    <w:bookmarkStart w:id="37" w:name="slide-15-keputusan-2-empat-tipe-struktur"/>
    <w:p>
      <w:pPr>
        <w:pStyle w:val="Heading2"/>
      </w:pPr>
      <w:r>
        <w:t xml:space="preserve">Slide 15 — Keputusan 2: Empat Tipe Struktur</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7"/>
    <w:bookmarkStart w:id="38" w:name="Xac9956d89ab7a9093c5c5d4d760c343c5459ab9"/>
    <w:p>
      <w:pPr>
        <w:pStyle w:val="Heading2"/>
      </w:pPr>
      <w:r>
        <w:t xml:space="preserve">Slide 16 — Keputusan 3: Sentralisasi vs Desentralisasi (Table 10.1, digambar ulang)</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8"/>
    <w:bookmarkStart w:id="39" w:name="X5b0e1cf4ee6f9a3f2910cf8bc683c6078b99e95"/>
    <w:p>
      <w:pPr>
        <w:pStyle w:val="Heading2"/>
      </w:pPr>
      <w:r>
        <w:t xml:space="preserve">Slide 17 — Keputusan 4 dan 5: Koordinasi Lintas Unit dan Mitra Eksternal</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39"/>
    <w:bookmarkStart w:id="40" w:name="slide-18-sintesis"/>
    <w:p>
      <w:pPr>
        <w:pStyle w:val="Heading2"/>
      </w:pPr>
      <w:r>
        <w:t xml:space="preserve">Slide 18 —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Jembatan.</w:t>
      </w:r>
      <w:r>
        <w:t xml:space="preserve"> </w:t>
      </w:r>
      <w:r>
        <w:t xml:space="preserve">Bab 11 menggerakkan organisasi (tugas 4–8); Bab 12 menopangnya (tugas 9–10);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0"/>
    <w:bookmarkStart w:id="41" w:name="slide-19-pertanyaan-untuk-diskusi-kelas"/>
    <w:p>
      <w:pPr>
        <w:pStyle w:val="Heading2"/>
      </w:pPr>
      <w:r>
        <w:t xml:space="preserve">Slide 19 — Pertanyaan untuk Diskusi Kelas</w:t>
      </w:r>
    </w:p>
    <w:p>
      <w:pPr>
        <w:pStyle w:val="FirstParagraph"/>
      </w:pPr>
      <w:r>
        <w:t xml:space="preserve">Empat pertanyaan dirancang bergaya sokratik, masing-masing menguji satu klaim bab. Jawaban pegangan presenter:</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1"/>
    <w:bookmarkStart w:id="42" w:name="slide-20-daftar-referensi"/>
    <w:p>
      <w:pPr>
        <w:pStyle w:val="Heading2"/>
      </w:pPr>
      <w:r>
        <w:t xml:space="preserve">Slide 20 — Daftar Referensi</w:t>
      </w:r>
    </w:p>
    <w:p>
      <w:pPr>
        <w:pStyle w:val="FirstParagraph"/>
      </w:pPr>
      <w:r>
        <w:t xml:space="preserve">Referensi utama adalah buku teks edisi 2024 (halaman 294–325) dan edisi 22 (2019) yang tercantum dalam silabus; sumber sekunder adalah rujukan yang dikutip bab tersebut.</w:t>
      </w:r>
    </w:p>
    <w:bookmarkEnd w:id="42"/>
    <w:bookmarkStart w:id="43" w:name="slide-21-penutup"/>
    <w:p>
      <w:pPr>
        <w:pStyle w:val="Heading2"/>
      </w:pPr>
      <w:r>
        <w:t xml:space="preserve">Slide 21 — Penutup</w:t>
      </w:r>
    </w:p>
    <w:p>
      <w:pPr>
        <w:pStyle w:val="FirstParagraph"/>
      </w:pPr>
      <w:r>
        <w:t xml:space="preserve">Hanya ucapan terima kasih, tanpa teks lain, sesuai permintaan.</w:t>
      </w:r>
    </w:p>
    <w:bookmarkEnd w:id="43"/>
    <w:bookmarkEnd w:id="44"/>
    <w:bookmarkStart w:id="45"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5"/>
    <w:bookmarkStart w:id="46"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(baris trade-off pada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 Aslih Abnuri, Tifani Puspita, Happy Dinithasari, Dara Astrini Rahayu K</dc:creator>
  <dc:language>id</dc:language>
  <cp:keywords/>
  <dcterms:created xsi:type="dcterms:W3CDTF">2026-10-31T03:32:05Z</dcterms:created>
  <dcterms:modified xsi:type="dcterms:W3CDTF">2026-10-31T03:32:05Z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