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41.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ANALISIS</w:t>
      </w:r>
      <w:r>
        <w:t xml:space="preserve"> </w:t>
      </w:r>
      <w:r>
        <w:t xml:space="preserve">LINGKUNGAN</w:t>
      </w:r>
      <w:r>
        <w:t xml:space="preserve"> </w:t>
      </w:r>
      <w:r>
        <w:t xml:space="preserve">EKSTERNAL</w:t>
      </w:r>
      <w:r>
        <w:t xml:space="preserve"> </w:t>
      </w:r>
      <w:r>
        <w:t xml:space="preserve">DAN</w:t>
      </w:r>
      <w:r>
        <w:t xml:space="preserve"> </w:t>
      </w:r>
      <w:r>
        <w:t xml:space="preserve">USULAN</w:t>
      </w:r>
      <w:r>
        <w:t xml:space="preserve"> </w:t>
      </w:r>
      <w:r>
        <w:t xml:space="preserve">INOVASI</w:t>
      </w:r>
      <w:r>
        <w:t xml:space="preserve"> </w:t>
      </w:r>
      <w:r>
        <w:t xml:space="preserve">STRATEGIS</w:t>
      </w:r>
      <w:r>
        <w:t xml:space="preserve"> </w:t>
      </w:r>
      <w:r>
        <w:t xml:space="preserve">PT</w:t>
      </w:r>
      <w:r>
        <w:t xml:space="preserve"> </w:t>
      </w:r>
      <w:r>
        <w:t xml:space="preserve">AKR</w:t>
      </w:r>
      <w:r>
        <w:t xml:space="preserve"> </w:t>
      </w:r>
      <w:r>
        <w:t xml:space="preserve">CORPORINDO</w:t>
      </w:r>
      <w:r>
        <w:t xml:space="preserve"> </w:t>
      </w:r>
      <w:r>
        <w:t xml:space="preserve">TBK</w:t>
      </w:r>
      <w:r>
        <w:t xml:space="preserve"> </w:t>
      </w:r>
      <w:r>
        <w:t xml:space="preserve">(IDX:</w:t>
      </w:r>
      <w:r>
        <w:t xml:space="preserve"> </w:t>
      </w:r>
      <w:r>
        <w:t xml:space="preserve">AKRA)</w:t>
      </w:r>
    </w:p>
    <w:p>
      <w:pPr>
        <w:pStyle w:val="Subtitle"/>
      </w:pPr>
      <w:r>
        <w:t xml:space="preserve">Laporan</w:t>
      </w:r>
      <w:r>
        <w:t xml:space="preserve"> </w:t>
      </w:r>
      <w:r>
        <w:t xml:space="preserve">Manajemen</w:t>
      </w:r>
      <w:r>
        <w:t xml:space="preserve"> </w:t>
      </w:r>
      <w:r>
        <w:t xml:space="preserve">untuk</w:t>
      </w:r>
      <w:r>
        <w:t xml:space="preserve"> </w:t>
      </w:r>
      <w:r>
        <w:t xml:space="preserve">Direksi</w:t>
      </w:r>
      <w:r>
        <w:t xml:space="preserve"> </w:t>
      </w:r>
      <w:r>
        <w:t xml:space="preserve">dan</w:t>
      </w:r>
      <w:r>
        <w:t xml:space="preserve"> </w:t>
      </w:r>
      <w:r>
        <w:t xml:space="preserve">Dewan</w:t>
      </w:r>
      <w:r>
        <w:t xml:space="preserve"> </w:t>
      </w:r>
      <w:r>
        <w:t xml:space="preserve">Komisaris</w:t>
      </w:r>
      <w:r>
        <w:t xml:space="preserve"> </w:t>
      </w:r>
      <w:r>
        <w:t xml:space="preserve">—</w:t>
      </w:r>
      <w:r>
        <w:t xml:space="preserve"> </w:t>
      </w:r>
      <w:r>
        <w:t xml:space="preserve">Fokus</w:t>
      </w:r>
      <w:r>
        <w:t xml:space="preserve"> </w:t>
      </w:r>
      <w:r>
        <w:t xml:space="preserve">pada</w:t>
      </w:r>
      <w:r>
        <w:t xml:space="preserve"> </w:t>
      </w:r>
      <w:r>
        <w:t xml:space="preserve">Faktor</w:t>
      </w:r>
      <w:r>
        <w:t xml:space="preserve"> </w:t>
      </w:r>
      <w:r>
        <w:t xml:space="preserve">Pemerintah</w:t>
      </w:r>
      <w:r>
        <w:t xml:space="preserve"> </w:t>
      </w:r>
      <w:r>
        <w:t xml:space="preserve">&amp;</w:t>
      </w:r>
      <w:r>
        <w:t xml:space="preserve"> </w:t>
      </w:r>
      <w:r>
        <w:t xml:space="preserve">Regulasi,</w:t>
      </w:r>
      <w:r>
        <w:t xml:space="preserve"> </w:t>
      </w:r>
      <w:r>
        <w:t xml:space="preserve">Ekonomi,</w:t>
      </w:r>
      <w:r>
        <w:t xml:space="preserve"> </w:t>
      </w:r>
      <w:r>
        <w:t xml:space="preserve">serta</w:t>
      </w:r>
      <w:r>
        <w:t xml:space="preserve"> </w:t>
      </w:r>
      <w:r>
        <w:t xml:space="preserve">Teknologi</w:t>
      </w:r>
      <w:r>
        <w:t xml:space="preserve"> </w:t>
      </w:r>
      <w:r>
        <w:t xml:space="preserve">&amp;</w:t>
      </w:r>
      <w:r>
        <w:t xml:space="preserve"> </w:t>
      </w:r>
      <w:r>
        <w:t xml:space="preserve">Lingkungan</w:t>
      </w:r>
      <w:r>
        <w:t xml:space="preserve"> </w:t>
      </w:r>
      <w:r>
        <w:t xml:space="preserve">(Transisi</w:t>
      </w:r>
      <w:r>
        <w:t xml:space="preserve"> </w:t>
      </w:r>
      <w:r>
        <w:t xml:space="preserve">Energi),</w:t>
      </w:r>
      <w:r>
        <w:t xml:space="preserve"> </w:t>
      </w:r>
      <w:r>
        <w:t xml:space="preserve">Horizon</w:t>
      </w:r>
      <w:r>
        <w:t xml:space="preserve"> </w:t>
      </w:r>
      <w:r>
        <w:t xml:space="preserve">2024–2028</w:t>
      </w:r>
    </w:p>
    <w:p>
      <w:pPr>
        <w:pStyle w:val="Author"/>
      </w:pPr>
      <w:r>
        <w:t xml:space="preserve">Disusun</w:t>
      </w:r>
      <w:r>
        <w:t xml:space="preserve"> </w:t>
      </w:r>
      <w:r>
        <w:t xml:space="preserve">oleh:</w:t>
      </w:r>
      <w:r>
        <w:t xml:space="preserve"> </w:t>
      </w:r>
      <w:r>
        <w:t xml:space="preserve">[NAMA</w:t>
      </w:r>
      <w:r>
        <w:t xml:space="preserve"> </w:t>
      </w:r>
      <w:r>
        <w:t xml:space="preserve">MAHASISWA]</w:t>
      </w:r>
      <w:r>
        <w:t xml:space="preserve"> </w:t>
      </w:r>
      <w:r>
        <w:t xml:space="preserve">—</w:t>
      </w:r>
      <w:r>
        <w:t xml:space="preserve"> </w:t>
      </w:r>
      <w:r>
        <w:t xml:space="preserve">[NIM]</w:t>
      </w:r>
      <w:r>
        <w:t xml:space="preserve"> </w:t>
      </w:r>
      <w:r>
        <w:t xml:space="preserve">—</w:t>
      </w:r>
      <w:r>
        <w:t xml:space="preserve"> </w:t>
      </w:r>
      <w:r>
        <w:t xml:space="preserve">Kelas</w:t>
      </w:r>
      <w:r>
        <w:t xml:space="preserve"> </w:t>
      </w:r>
      <w:r>
        <w:t xml:space="preserve">[KELAS]</w:t>
      </w:r>
    </w:p>
    <w:p>
      <w:pPr>
        <w:pStyle w:val="Date"/>
      </w:pPr>
      <w:r>
        <w:t xml:space="preserve">Tugas</w:t>
      </w:r>
      <w:r>
        <w:t xml:space="preserve"> </w:t>
      </w:r>
      <w:r>
        <w:t xml:space="preserve">Mata</w:t>
      </w:r>
      <w:r>
        <w:t xml:space="preserve"> </w:t>
      </w:r>
      <w:r>
        <w:t xml:space="preserve">Kuliah</w:t>
      </w:r>
      <w:r>
        <w:t xml:space="preserve"> </w:t>
      </w:r>
      <w:r>
        <w:t xml:space="preserve">General</w:t>
      </w:r>
      <w:r>
        <w:t xml:space="preserve"> </w:t>
      </w:r>
      <w:r>
        <w:t xml:space="preserve">Business</w:t>
      </w:r>
      <w:r>
        <w:t xml:space="preserve"> </w:t>
      </w:r>
      <w:r>
        <w:t xml:space="preserve">Environment</w:t>
      </w:r>
      <w:r>
        <w:t xml:space="preserve"> </w:t>
      </w:r>
      <w:r>
        <w:t xml:space="preserve">—</w:t>
      </w:r>
      <w:r>
        <w:t xml:space="preserve"> </w:t>
      </w:r>
      <w:r>
        <w:t xml:space="preserve">Program</w:t>
      </w:r>
      <w:r>
        <w:t xml:space="preserve"> </w:t>
      </w:r>
      <w:r>
        <w:t xml:space="preserve">MBA,</w:t>
      </w:r>
      <w:r>
        <w:t xml:space="preserve"> </w:t>
      </w:r>
      <w:r>
        <w:t xml:space="preserve">Fakultas</w:t>
      </w:r>
      <w:r>
        <w:t xml:space="preserve"> </w:t>
      </w:r>
      <w:r>
        <w:t xml:space="preserve">Ekonomika</w:t>
      </w:r>
      <w:r>
        <w:t xml:space="preserve"> </w:t>
      </w:r>
      <w:r>
        <w:t xml:space="preserve">dan</w:t>
      </w:r>
      <w:r>
        <w:t xml:space="preserve"> </w:t>
      </w:r>
      <w:r>
        <w:t xml:space="preserve">Bisnis,</w:t>
      </w:r>
      <w:r>
        <w:t xml:space="preserve"> </w:t>
      </w:r>
      <w:r>
        <w:t xml:space="preserve">Universitas</w:t>
      </w:r>
      <w:r>
        <w:t xml:space="preserve"> </w:t>
      </w:r>
      <w:r>
        <w:t xml:space="preserve">Gadjah</w:t>
      </w:r>
      <w:r>
        <w:t xml:space="preserve"> </w:t>
      </w:r>
      <w:r>
        <w:t xml:space="preserve">Mada</w:t>
      </w:r>
      <w:r>
        <w:t xml:space="preserve"> </w:t>
      </w:r>
      <w:r>
        <w:t xml:space="preserve">—</w:t>
      </w:r>
      <w:r>
        <w:t xml:space="preserve"> </w:t>
      </w:r>
      <w:r>
        <w:t xml:space="preserve">Dosen:</w:t>
      </w:r>
      <w:r>
        <w:t xml:space="preserve"> </w:t>
      </w:r>
      <w:r>
        <w:t xml:space="preserve">Prof. Sony</w:t>
      </w:r>
      <w:r>
        <w:t xml:space="preserve"> </w:t>
      </w:r>
      <w:r>
        <w:t xml:space="preserve">Warsono,</w:t>
      </w:r>
      <w:r>
        <w:t xml:space="preserve"> </w:t>
      </w:r>
      <w:r>
        <w:t xml:space="preserve">MAFIS,</w:t>
      </w:r>
      <w:r>
        <w:t xml:space="preserve"> </w:t>
      </w:r>
      <w:r>
        <w:t xml:space="preserve">Ph.D.,</w:t>
      </w:r>
      <w:r>
        <w:t xml:space="preserve"> </w:t>
      </w:r>
      <w:r>
        <w:t xml:space="preserve">CA</w:t>
      </w:r>
      <w:r>
        <w:t xml:space="preserve"> </w:t>
      </w:r>
      <w:r>
        <w:t xml:space="preserve">—</w:t>
      </w:r>
      <w:r>
        <w:t xml:space="preserve"> </w:t>
      </w:r>
      <w:r>
        <w:t xml:space="preserve">Oktober</w:t>
      </w:r>
      <w:r>
        <w:t xml:space="preserve"> </w:t>
      </w:r>
      <w:r>
        <w:t xml:space="preserve">2026</w:t>
      </w:r>
    </w:p>
    <w:sdt>
      <w:sdtPr>
        <w:docPartObj>
          <w:docPartGallery w:val="Table of Contents"/>
          <w:docPartUnique/>
        </w:docPartObj>
      </w:sdtPr>
      <w:sdtContent>
        <w:p>
          <w:pPr>
            <w:pStyle w:val="TOCHeading"/>
          </w:pPr>
          <w:r>
            <w:t xml:space="preserve">DAFTAR ISI</w:t>
          </w:r>
        </w:p>
        <w:p>
          <w:r>
            <w:fldChar w:fldCharType="begin" w:dirty="true"/>
            <w:instrText xml:space="preserve">TOC \o "1-3" \h \z \u</w:instrText>
            <w:fldChar w:fldCharType="separate"/>
            <w:fldChar w:fldCharType="end"/>
          </w:r>
        </w:p>
      </w:sdtContent>
    </w:sdt>
    <w:p>
      <w:r>
        <w:br w:type="page"/>
      </w:r>
    </w:p>
    <w:bookmarkStart w:id="20" w:name="abstrak"/>
    <w:p>
      <w:pPr>
        <w:pStyle w:val="Heading1"/>
      </w:pPr>
      <w:r>
        <w:t xml:space="preserve">ABSTRAK</w:t>
      </w:r>
    </w:p>
    <w:p>
      <w:pPr>
        <w:pStyle w:val="FirstParagraph"/>
      </w:pPr>
      <w:r>
        <w:t xml:space="preserve">Laporan manajemen ini menganalisis pengaruh lingkungan eksternal terhadap PT AKR Corporindo Tbk (AKR), distributor BBM dan kimia dasar swasta terbesar di Indonesia sekaligus pengembang Kawasan Ekonomi Khusus (KEK) Java Integrated Industrial and Port Estate (JIIPE) di Gresik, dan merumuskan satu usulan inovasi strategis untuk horizon 2024–2028. Dari sembilan faktor lingkungan umum, tiga faktor diprioritaskan berdasarkan magnitudo dampak pada pendapatan dan margin, probabilitas kejadian, dan kecepatan perubahan: (1) Pemerintah dan Regulasi, (2) Ekonomi, serta (3) Teknologi dan Lingkungan dalam konteks transisi energi. Metode yang digunakan adalah studi kasus deskriptif-analitis berbasis data sekunder, terutama Laporan Tahunan dan Laporan Keberlanjutan AKR 2021–2025, regulasi primer, artikel jurnal peringkat SJR Q1/Q2, dan media tier 1. Setiap faktor dianalisis dengan alur</w:t>
      </w:r>
      <w:r>
        <w:t xml:space="preserve"> </w:t>
      </w:r>
      <w:r>
        <w:rPr>
          <w:iCs/>
          <w:i/>
        </w:rPr>
        <w:t xml:space="preserve">issue</w:t>
      </w:r>
      <w:r>
        <w:t xml:space="preserve"> </w:t>
      </w:r>
      <w:r>
        <w:t xml:space="preserve">→</w:t>
      </w:r>
      <w:r>
        <w:t xml:space="preserve"> </w:t>
      </w:r>
      <w:r>
        <w:rPr>
          <w:iCs/>
          <w:i/>
        </w:rPr>
        <w:t xml:space="preserve">key factor</w:t>
      </w:r>
      <w:r>
        <w:t xml:space="preserve"> </w:t>
      </w:r>
      <w:r>
        <w:t xml:space="preserve">penyebab →</w:t>
      </w:r>
      <w:r>
        <w:t xml:space="preserve"> </w:t>
      </w:r>
      <w:r>
        <w:rPr>
          <w:iCs/>
          <w:i/>
        </w:rPr>
        <w:t xml:space="preserve">key action</w:t>
      </w:r>
      <w:r>
        <w:t xml:space="preserve">.</w:t>
      </w:r>
    </w:p>
    <w:p>
      <w:pPr>
        <w:pStyle w:val="BodyText"/>
      </w:pPr>
      <w:r>
        <w:t xml:space="preserve">Temuan utama: faktor Pemerintah dan Regulasi merupakan faktor paling penting karena menentukan secara langsung kuota impor BBM ritel swasta (yang habis pada Agustus 2025), penugasan BBM bersubsidi, mandatori B50 sejak 1 Juli 2026, dan insentif KEK yang menopang penjualan lahan JIIPE. Faktor Ekonomi bekerja melalui guncangan harga minyak 2026, kurs, dan modal kerja, tetapi dampaknya pada margin diredam oleh model</w:t>
      </w:r>
      <w:r>
        <w:t xml:space="preserve"> </w:t>
      </w:r>
      <w:r>
        <w:rPr>
          <w:iCs/>
          <w:i/>
        </w:rPr>
        <w:t xml:space="preserve">formula-based pricing</w:t>
      </w:r>
      <w:r>
        <w:t xml:space="preserve"> </w:t>
      </w:r>
      <w:r>
        <w:t xml:space="preserve">dengan posisi terbuka neto nol. Faktor Teknologi dan Lingkungan bergerak paling cepat (pangsa kendaraan elektrifikasi 26,8% pada semester I 2026) dan mengancam permintaan bensin ritel jangka panjang, sekaligus membuka peluang utilitas rendah karbon di JIIPE. Tiga alternatif inovasi dinilai dengan matriks berbobot enam kriteria; alternatif terpilih adalah</w:t>
      </w:r>
      <w:r>
        <w:t xml:space="preserve"> </w:t>
      </w:r>
      <w:r>
        <w:rPr>
          <w:bCs/>
          <w:b/>
        </w:rPr>
        <w:t xml:space="preserve">JIIPE Low-Carbon Industrial Energy-as-a-Service</w:t>
      </w:r>
      <w:r>
        <w:t xml:space="preserve">, yaitu model bisnis langganan energi industri bersertifikat rendah karbon yang mengubah utilitas JIIPE dari penjual kWh dan gas menjadi penyedia layanan dekarbonisasi</w:t>
      </w:r>
      <w:r>
        <w:t xml:space="preserve"> </w:t>
      </w:r>
      <w:r>
        <w:rPr>
          <w:iCs/>
          <w:i/>
        </w:rPr>
        <w:t xml:space="preserve">Scope 2</w:t>
      </w:r>
      <w:r>
        <w:t xml:space="preserve"> </w:t>
      </w:r>
      <w:r>
        <w:t xml:space="preserve">bagi tenant eksportir. Kebaruan terletak pada model bisnis layanan dan kontrak, bukan pada infrastruktur yang sudah direncanakan AKR.</w:t>
      </w:r>
    </w:p>
    <w:p>
      <w:pPr>
        <w:pStyle w:val="BodyText"/>
      </w:pPr>
      <w:r>
        <w:rPr>
          <w:bCs/>
          <w:b/>
        </w:rPr>
        <w:t xml:space="preserve">Kata kunci:</w:t>
      </w:r>
      <w:r>
        <w:t xml:space="preserve"> </w:t>
      </w:r>
      <w:r>
        <w:t xml:space="preserve">lingkungan eksternal; regulasi energi; transisi energi; distribusi BBM; kawasan ekonomi khusus; inovasi model bisnis;</w:t>
      </w:r>
      <w:r>
        <w:t xml:space="preserve"> </w:t>
      </w:r>
      <w:r>
        <w:rPr>
          <w:iCs/>
          <w:i/>
        </w:rPr>
        <w:t xml:space="preserve">energy-as-a-service</w:t>
      </w:r>
      <w:r>
        <w:t xml:space="preserve">.</w:t>
      </w:r>
    </w:p>
    <w:p>
      <w:r>
        <w:br w:type="page"/>
      </w:r>
    </w:p>
    <w:bookmarkEnd w:id="20"/>
    <w:bookmarkStart w:id="21" w:name="daftar-tabel"/>
    <w:p>
      <w:pPr>
        <w:pStyle w:val="Heading1"/>
      </w:pPr>
      <w:r>
        <w:t xml:space="preserve">DAFTAR TABEL</w:t>
      </w:r>
    </w:p>
    <w:p>
      <w:pPr>
        <w:pStyle w:val="FirstParagraph"/>
      </w:pPr>
      <w:r>
        <w:t xml:space="preserve">Tabel 1.1 Kriteria pemilihan tiga faktor prioritas</w:t>
      </w:r>
      <w:r>
        <w:br/>
      </w:r>
      <w:r>
        <w:t xml:space="preserve">Tabel 3.1 Pemain utama distribusi BBM ritel dan industri di Indonesia</w:t>
      </w:r>
      <w:r>
        <w:br/>
      </w:r>
      <w:r>
        <w:t xml:space="preserve">Tabel 3.2 Ikhtisar kinerja PT AKR Corporindo Tbk 2021–2025</w:t>
      </w:r>
      <w:r>
        <w:br/>
      </w:r>
      <w:r>
        <w:t xml:space="preserve">Tabel 3.3 Pendapatan dan laba kotor per segmen 2024–2025</w:t>
      </w:r>
      <w:r>
        <w:br/>
      </w:r>
      <w:r>
        <w:t xml:space="preserve">Tabel 4.1 Ancaman, peluang, dan implikasi strategis faktor Pemerintah dan Regulasi</w:t>
      </w:r>
      <w:r>
        <w:br/>
      </w:r>
      <w:r>
        <w:t xml:space="preserve">Tabel 4.2 Ancaman, peluang, dan implikasi strategis faktor Ekonomi</w:t>
      </w:r>
      <w:r>
        <w:br/>
      </w:r>
      <w:r>
        <w:t xml:space="preserve">Tabel 4.3 Ancaman, peluang, dan implikasi strategis faktor Teknologi dan Lingkungan</w:t>
      </w:r>
      <w:r>
        <w:br/>
      </w:r>
      <w:r>
        <w:t xml:space="preserve">Tabel 4.4 Matriks penilaian faktor eksternal (skor 1–5)</w:t>
      </w:r>
      <w:r>
        <w:br/>
      </w:r>
      <w:r>
        <w:t xml:space="preserve">Tabel 4.5 Ringkasan tiga alternatif inovasi</w:t>
      </w:r>
      <w:r>
        <w:br/>
      </w:r>
      <w:r>
        <w:t xml:space="preserve">Tabel 4.6 Matriks pemilihan alternatif inovasi (skor berbobot)</w:t>
      </w:r>
      <w:r>
        <w:br/>
      </w:r>
      <w:r>
        <w:t xml:space="preserve">Tabel 4.7 Peta jalan implementasi 2027–2029 per semester</w:t>
      </w:r>
      <w:r>
        <w:br/>
      </w:r>
      <w:r>
        <w:t xml:space="preserve">Tabel 4.8 KPI finansial dan non-finansial usulan terpilih</w:t>
      </w:r>
      <w:r>
        <w:br/>
      </w:r>
      <w:r>
        <w:t xml:space="preserve">Tabel 4.9 Risiko dan mitigasi usulan terpilih</w:t>
      </w:r>
      <w:r>
        <w:br/>
      </w:r>
      <w:r>
        <w:t xml:space="preserve">Tabel 5.1 Rekomendasi bertingkat</w:t>
      </w:r>
      <w:r>
        <w:br/>
      </w:r>
      <w:r>
        <w:t xml:space="preserve">Tabel L.1 Tabel audit artikel jurnal</w:t>
      </w:r>
    </w:p>
    <w:bookmarkEnd w:id="21"/>
    <w:bookmarkStart w:id="22" w:name="daftar-gambar"/>
    <w:p>
      <w:pPr>
        <w:pStyle w:val="Heading1"/>
      </w:pPr>
      <w:r>
        <w:t xml:space="preserve">DAFTAR GAMBAR</w:t>
      </w:r>
    </w:p>
    <w:p>
      <w:pPr>
        <w:pStyle w:val="FirstParagraph"/>
      </w:pPr>
      <w:r>
        <w:t xml:space="preserve">Gambar 2.1 Kerangka analisis: Issue → Key Factor Penyebab → Key Action → Usulan Inovatif</w:t>
      </w:r>
      <w:r>
        <w:br/>
      </w:r>
      <w:r>
        <w:t xml:space="preserve">Gambar 3.1 Struktur grup PT AKR Corporindo Tbk (entitas kunci)</w:t>
      </w:r>
      <w:r>
        <w:br/>
      </w:r>
      <w:r>
        <w:t xml:space="preserve">Gambar 4.1 Arsitektur model bisnis JIIPE Low-Carbon Industrial Energy-as-a-Service</w:t>
      </w:r>
    </w:p>
    <w:p>
      <w:r>
        <w:br w:type="page"/>
      </w:r>
    </w:p>
    <w:bookmarkEnd w:id="22"/>
    <w:bookmarkStart w:id="28" w:name="bab-1-pendahuluan"/>
    <w:p>
      <w:pPr>
        <w:pStyle w:val="Heading1"/>
      </w:pPr>
      <w:r>
        <w:t xml:space="preserve">BAB 1 PENDAHULUAN</w:t>
      </w:r>
    </w:p>
    <w:bookmarkStart w:id="23" w:name="ringkasan-masalah-dan-peluang"/>
    <w:p>
      <w:pPr>
        <w:pStyle w:val="Heading2"/>
      </w:pPr>
      <w:r>
        <w:t xml:space="preserve">1.1 Ringkasan Masalah dan Peluang</w:t>
      </w:r>
    </w:p>
    <w:p>
      <w:pPr>
        <w:pStyle w:val="FirstParagraph"/>
      </w:pPr>
      <w:r>
        <w:t xml:space="preserve">Pada pertengahan Agustus 2025 SPBU bp AKR, Shell, dan Vivo kehabisan bensin karena kuota impor BBM ritel swasta untuk tahun 2025 telah terpakai; kuota tersebut hanya 110% dari penjualan 2024 dan baru dipulihkan setelah pemerintah membuka kuota 2026 dengan kenaikan sekitar 10% dan mengembalikan persetujuan ke skema per enam bulan (Katadata, 5 Januari 2026; Bloomberg Technoz, 26 Januari 2026). Peristiwa ini menunjukkan secara tajam bahwa satu keputusan administratif Kementerian ESDM dapat menghentikan penjualan 72 gerai ritel yang dibangun AKR bersama bp selama delapan tahun. Pada saat yang sama, segmen Trading and Distribution yang menyumbang 90% pendapatan AKR beroperasi dengan margin kotor hanya 7,3% (AKR Corporindo, 2026a, hlm. 120), sehingga perubahan kecil pada kuota, harga acuan, atau formula kompensasi berpengaruh langsung pada laba.</w:t>
      </w:r>
    </w:p>
    <w:p>
      <w:pPr>
        <w:pStyle w:val="BodyText"/>
      </w:pPr>
      <w:r>
        <w:t xml:space="preserve">Di sisi lain, AKR mencatat kinerja keuangan yang kuat: pendapatan 2025 Rp46.018 miliar (+19%), laba bersih pemilik entitas induk Rp2.473 miliar (+11%), kas Rp6.404 miliar, dan rasio</w:t>
      </w:r>
      <w:r>
        <w:t xml:space="preserve"> </w:t>
      </w:r>
      <w:r>
        <w:rPr>
          <w:iCs/>
          <w:i/>
        </w:rPr>
        <w:t xml:space="preserve">net gearing</w:t>
      </w:r>
      <w:r>
        <w:t xml:space="preserve"> </w:t>
      </w:r>
      <w:r>
        <w:t xml:space="preserve">−0,08 kali atau posisi kas bersih (AKR Corporindo, 2026a, hlm. 24–26). Pergeseran struktur laba sedang terjadi: segmen Integrated Industrial Estate and Port (JIIPE) menyumbang 20% laba kotor pada 2025 dengan pendapatan Rp2.741 miliar (+99%), termasuk pendapatan utilitas berulang Rp727 miliar yang tumbuh 129% (AKR Corporindo, 2026a, hlm. 117, 121). Smelter tembaga dan</w:t>
      </w:r>
      <w:r>
        <w:t xml:space="preserve"> </w:t>
      </w:r>
      <w:r>
        <w:rPr>
          <w:iCs/>
          <w:i/>
        </w:rPr>
        <w:t xml:space="preserve">Precious Metal Refinery</w:t>
      </w:r>
      <w:r>
        <w:t xml:space="preserve"> </w:t>
      </w:r>
      <w:r>
        <w:t xml:space="preserve">PT Freeport Indonesia diresmikan 17 Maret 2025, dan Xinyi Solar mulai beroperasi (AKR Corporindo, 2026b, hlm. 36; AKR Corporindo, 2026a, hlm. 118, 120). JIIPE dengan lisensi pembangkitan dan distribusi listrik 515 MW (AKR Corporindo, 2026a, hlm. 119) menjadi aset yang paling sedikit tersentuh risiko kuota, tetapi paling terpapar tuntutan dekarbonisasi pembeli global.</w:t>
      </w:r>
    </w:p>
    <w:p>
      <w:pPr>
        <w:pStyle w:val="BodyText"/>
      </w:pPr>
      <w:r>
        <w:t xml:space="preserve">Masalah strategis yang dihadapi Direksi dapat dirumuskan dalam satu kalimat: bisnis inti AKR menghasilkan arus kas besar tetapi bergantung pada keputusan negara dan terpapar transisi energi, sementara mesin pertumbuhan baru (JIIPE) masih didominasi penjualan lahan yang tidak berulang. Peluangnya adalah mengonversi infrastruktur energi JIIPE yang sudah direncanakan—PLTS 56 MWp menuju 148 MWp pada 2032, PLTS terapung 55 MW, dan terminal LNG 2029 (AKR Corporindo, 2026b, hlm. 42)—menjadi model bisnis layanan yang menghasilkan pendapatan berulang berkualitas tinggi dan menjawab kebutuhan tenant eksportir akan energi rendah karbon yang dapat dibuktikan.</w:t>
      </w:r>
    </w:p>
    <w:p>
      <w:pPr>
        <w:pStyle w:val="BodyText"/>
      </w:pPr>
      <w:r>
        <w:t xml:space="preserve">Pemilihan tiga faktor prioritas dari sembilan faktor lingkungan umum versi kelas (Politik, Ekonomi, Sosial-Budaya, Teknologi, Lingkungan Alam, Hukum/Legal, Demografi, Pemerintah, Global) menggunakan tiga kriteria yang diringkas pada Tabel 1.1. Faktor Pemerintah dan Regulasi dipilih karena magnitudo dampaknya pada pendapatan dan margin paling besar dan paling langsung (kuota, penugasan, mandatori, insentif KEK). Faktor Ekonomi dipilih karena probabilitas kejadiannya tinggi dan berulang (siklus harga minyak, kurs, suku bunga). Faktor Teknologi dan Lingkungan digabung sebagai satu klaster transisi energi karena kecepatan perubahannya paling tinggi. Faktor Sosial-Budaya dan Demografi tidak diprioritaskan karena dampaknya pada AKR bersifat tidak langsung dan lambat: AKR adalah pemain</w:t>
      </w:r>
      <w:r>
        <w:t xml:space="preserve"> </w:t>
      </w:r>
      <w:r>
        <w:rPr>
          <w:iCs/>
          <w:i/>
        </w:rPr>
        <w:t xml:space="preserve">business-to-business</w:t>
      </w:r>
      <w:r>
        <w:t xml:space="preserve"> </w:t>
      </w:r>
      <w:r>
        <w:t xml:space="preserve">yang 73% laba kotornya berasal dari pelanggan industri dan pertambangan (AKR Corporindo, 2026a, hlm. 120–121), sehingga perubahan preferensi konsumen dan struktur usia penduduk bekerja melalui permintaan industri, bukan langsung pada volume AKR. Faktor Politik, Hukum, dan Global dibahas sebagai bagian dari ketiga faktor prioritas karena mekanismenya bermuara pada kebijakan pemerintah dan harga komoditas.</w:t>
      </w:r>
    </w:p>
    <w:p>
      <w:pPr>
        <w:pStyle w:val="BodyText"/>
      </w:pPr>
      <w:r>
        <w:rPr>
          <w:bCs/>
          <w:b/>
        </w:rPr>
        <w:t xml:space="preserve">Tabel 1.1 Kriteria pemilihan tiga faktor prioritas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Faktor</w:t>
            </w:r>
          </w:p>
        </w:tc>
        <w:tc>
          <w:tcPr/>
          <w:p>
            <w:pPr>
              <w:pStyle w:val="Compact"/>
              <w:jc w:val="left"/>
            </w:pPr>
            <w:r>
              <w:t xml:space="preserve">Magnitudo dampak pada pendapatan/margin</w:t>
            </w:r>
          </w:p>
        </w:tc>
        <w:tc>
          <w:tcPr/>
          <w:p>
            <w:pPr>
              <w:pStyle w:val="Compact"/>
              <w:jc w:val="left"/>
            </w:pPr>
            <w:r>
              <w:t xml:space="preserve">Probabilitas 2024–2028</w:t>
            </w:r>
          </w:p>
        </w:tc>
        <w:tc>
          <w:tcPr/>
          <w:p>
            <w:pPr>
              <w:pStyle w:val="Compact"/>
              <w:jc w:val="left"/>
            </w:pPr>
            <w:r>
              <w:t xml:space="preserve">Kecepatan perubahan</w:t>
            </w:r>
          </w:p>
        </w:tc>
        <w:tc>
          <w:tcPr/>
          <w:p>
            <w:pPr>
              <w:pStyle w:val="Compact"/>
              <w:jc w:val="left"/>
            </w:pPr>
            <w:r>
              <w:t xml:space="preserve">Keputusan</w:t>
            </w:r>
          </w:p>
        </w:tc>
      </w:tr>
      <w:tr>
        <w:tc>
          <w:tcPr/>
          <w:p>
            <w:pPr>
              <w:pStyle w:val="Compact"/>
              <w:jc w:val="left"/>
            </w:pPr>
            <w:r>
              <w:t xml:space="preserve">Pemerintah &amp; Regulasi</w:t>
            </w:r>
          </w:p>
        </w:tc>
        <w:tc>
          <w:tcPr/>
          <w:p>
            <w:pPr>
              <w:pStyle w:val="Compact"/>
              <w:jc w:val="left"/>
            </w:pPr>
            <w:r>
              <w:t xml:space="preserve">Sangat tinggi (kuota, penugasan, mandatori, KEK)</w:t>
            </w:r>
          </w:p>
        </w:tc>
        <w:tc>
          <w:tcPr/>
          <w:p>
            <w:pPr>
              <w:pStyle w:val="Compact"/>
              <w:jc w:val="left"/>
            </w:pPr>
            <w:r>
              <w:t xml:space="preserve">Tinggi (kebijakan berubah tiap tahun)</w:t>
            </w:r>
          </w:p>
        </w:tc>
        <w:tc>
          <w:tcPr/>
          <w:p>
            <w:pPr>
              <w:pStyle w:val="Compact"/>
              <w:jc w:val="left"/>
            </w:pPr>
            <w:r>
              <w:t xml:space="preserve">Sedang–cepat</w:t>
            </w:r>
          </w:p>
        </w:tc>
        <w:tc>
          <w:tcPr/>
          <w:p>
            <w:pPr>
              <w:pStyle w:val="Compact"/>
              <w:jc w:val="left"/>
            </w:pPr>
            <w:r>
              <w:t xml:space="preserve">Prioritas 1</w:t>
            </w:r>
          </w:p>
        </w:tc>
      </w:tr>
      <w:tr>
        <w:tc>
          <w:tcPr/>
          <w:p>
            <w:pPr>
              <w:pStyle w:val="Compact"/>
              <w:jc w:val="left"/>
            </w:pPr>
            <w:r>
              <w:t xml:space="preserve">Ekonomi</w:t>
            </w:r>
          </w:p>
        </w:tc>
        <w:tc>
          <w:tcPr/>
          <w:p>
            <w:pPr>
              <w:pStyle w:val="Compact"/>
              <w:jc w:val="left"/>
            </w:pPr>
            <w:r>
              <w:t xml:space="preserve">Tinggi (harga minyak, kurs, modal kerja)</w:t>
            </w:r>
          </w:p>
        </w:tc>
        <w:tc>
          <w:tcPr/>
          <w:p>
            <w:pPr>
              <w:pStyle w:val="Compact"/>
              <w:jc w:val="left"/>
            </w:pPr>
            <w:r>
              <w:t xml:space="preserve">Sangat tinggi (siklus berulang)</w:t>
            </w:r>
          </w:p>
        </w:tc>
        <w:tc>
          <w:tcPr/>
          <w:p>
            <w:pPr>
              <w:pStyle w:val="Compact"/>
              <w:jc w:val="left"/>
            </w:pPr>
            <w:r>
              <w:t xml:space="preserve">Cepat</w:t>
            </w:r>
          </w:p>
        </w:tc>
        <w:tc>
          <w:tcPr/>
          <w:p>
            <w:pPr>
              <w:pStyle w:val="Compact"/>
              <w:jc w:val="left"/>
            </w:pPr>
            <w:r>
              <w:t xml:space="preserve">Prioritas 2</w:t>
            </w:r>
          </w:p>
        </w:tc>
      </w:tr>
      <w:tr>
        <w:tc>
          <w:tcPr/>
          <w:p>
            <w:pPr>
              <w:pStyle w:val="Compact"/>
              <w:jc w:val="left"/>
            </w:pPr>
            <w:r>
              <w:t xml:space="preserve">Teknologi &amp; Lingkungan</w:t>
            </w:r>
          </w:p>
        </w:tc>
        <w:tc>
          <w:tcPr/>
          <w:p>
            <w:pPr>
              <w:pStyle w:val="Compact"/>
              <w:jc w:val="left"/>
            </w:pPr>
            <w:r>
              <w:t xml:space="preserve">Sedang jangka pendek, tinggi jangka panjang</w:t>
            </w:r>
          </w:p>
        </w:tc>
        <w:tc>
          <w:tcPr/>
          <w:p>
            <w:pPr>
              <w:pStyle w:val="Compact"/>
              <w:jc w:val="left"/>
            </w:pPr>
            <w:r>
              <w:t xml:space="preserve">Tinggi</w:t>
            </w:r>
          </w:p>
        </w:tc>
        <w:tc>
          <w:tcPr/>
          <w:p>
            <w:pPr>
              <w:pStyle w:val="Compact"/>
              <w:jc w:val="left"/>
            </w:pPr>
            <w:r>
              <w:t xml:space="preserve">Sangat cepat (EV, EBT)</w:t>
            </w:r>
          </w:p>
        </w:tc>
        <w:tc>
          <w:tcPr/>
          <w:p>
            <w:pPr>
              <w:pStyle w:val="Compact"/>
              <w:jc w:val="left"/>
            </w:pPr>
            <w:r>
              <w:t xml:space="preserve">Prioritas 3</w:t>
            </w:r>
          </w:p>
        </w:tc>
      </w:tr>
      <w:tr>
        <w:tc>
          <w:tcPr/>
          <w:p>
            <w:pPr>
              <w:pStyle w:val="Compact"/>
              <w:jc w:val="left"/>
            </w:pPr>
            <w:r>
              <w:t xml:space="preserve">Sosial-Budaya</w:t>
            </w:r>
          </w:p>
        </w:tc>
        <w:tc>
          <w:tcPr/>
          <w:p>
            <w:pPr>
              <w:pStyle w:val="Compact"/>
              <w:jc w:val="left"/>
            </w:pPr>
            <w:r>
              <w:t xml:space="preserve">Rendah (B2B dominan)</w:t>
            </w:r>
          </w:p>
        </w:tc>
        <w:tc>
          <w:tcPr/>
          <w:p>
            <w:pPr>
              <w:pStyle w:val="Compact"/>
              <w:jc w:val="left"/>
            </w:pPr>
            <w:r>
              <w:t xml:space="preserve">Sedang</w:t>
            </w:r>
          </w:p>
        </w:tc>
        <w:tc>
          <w:tcPr/>
          <w:p>
            <w:pPr>
              <w:pStyle w:val="Compact"/>
              <w:jc w:val="left"/>
            </w:pPr>
            <w:r>
              <w:t xml:space="preserve">Lambat</w:t>
            </w:r>
          </w:p>
        </w:tc>
        <w:tc>
          <w:tcPr/>
          <w:p>
            <w:pPr>
              <w:pStyle w:val="Compact"/>
              <w:jc w:val="left"/>
            </w:pPr>
            <w:r>
              <w:t xml:space="preserve">Tidak diprioritaskan</w:t>
            </w:r>
          </w:p>
        </w:tc>
      </w:tr>
      <w:tr>
        <w:tc>
          <w:tcPr/>
          <w:p>
            <w:pPr>
              <w:pStyle w:val="Compact"/>
              <w:jc w:val="left"/>
            </w:pPr>
            <w:r>
              <w:t xml:space="preserve">Demografi</w:t>
            </w:r>
          </w:p>
        </w:tc>
        <w:tc>
          <w:tcPr/>
          <w:p>
            <w:pPr>
              <w:pStyle w:val="Compact"/>
              <w:jc w:val="left"/>
            </w:pPr>
            <w:r>
              <w:t xml:space="preserve">Rendah–sedang (tidak langsung)</w:t>
            </w:r>
          </w:p>
        </w:tc>
        <w:tc>
          <w:tcPr/>
          <w:p>
            <w:pPr>
              <w:pStyle w:val="Compact"/>
              <w:jc w:val="left"/>
            </w:pPr>
            <w:r>
              <w:t xml:space="preserve">Tinggi tetapi gradual</w:t>
            </w:r>
          </w:p>
        </w:tc>
        <w:tc>
          <w:tcPr/>
          <w:p>
            <w:pPr>
              <w:pStyle w:val="Compact"/>
              <w:jc w:val="left"/>
            </w:pPr>
            <w:r>
              <w:t xml:space="preserve">Sangat lambat</w:t>
            </w:r>
          </w:p>
        </w:tc>
        <w:tc>
          <w:tcPr/>
          <w:p>
            <w:pPr>
              <w:pStyle w:val="Compact"/>
              <w:jc w:val="left"/>
            </w:pPr>
            <w:r>
              <w:t xml:space="preserve">Tidak diprioritaskan</w:t>
            </w:r>
          </w:p>
        </w:tc>
      </w:tr>
      <w:tr>
        <w:tc>
          <w:tcPr/>
          <w:p>
            <w:pPr>
              <w:pStyle w:val="Compact"/>
              <w:jc w:val="left"/>
            </w:pPr>
            <w:r>
              <w:t xml:space="preserve">Politik, Hukum, Global, Lingkungan Alam</w:t>
            </w:r>
          </w:p>
        </w:tc>
        <w:tc>
          <w:tcPr/>
          <w:p>
            <w:pPr>
              <w:pStyle w:val="Compact"/>
              <w:jc w:val="left"/>
            </w:pPr>
            <w:r>
              <w:t xml:space="preserve">Tinggi tetapi bermuara pada tiga faktor prioritas</w:t>
            </w:r>
          </w:p>
        </w:tc>
        <w:tc>
          <w:tcPr/>
          <w:p>
            <w:pPr>
              <w:pStyle w:val="Compact"/>
              <w:jc w:val="left"/>
            </w:pPr>
            <w:r>
              <w:t xml:space="preserve">—</w:t>
            </w:r>
          </w:p>
        </w:tc>
        <w:tc>
          <w:tcPr/>
          <w:p>
            <w:pPr>
              <w:pStyle w:val="Compact"/>
              <w:jc w:val="left"/>
            </w:pPr>
            <w:r>
              <w:t xml:space="preserve">—</w:t>
            </w:r>
          </w:p>
        </w:tc>
        <w:tc>
          <w:tcPr/>
          <w:p>
            <w:pPr>
              <w:pStyle w:val="Compact"/>
              <w:jc w:val="left"/>
            </w:pPr>
            <w:r>
              <w:t xml:space="preserve">Dibahas terintegrasi</w:t>
            </w:r>
          </w:p>
        </w:tc>
      </w:tr>
    </w:tbl>
    <w:p>
      <w:pPr>
        <w:pStyle w:val="BodyText"/>
      </w:pPr>
      <w:r>
        <w:t xml:space="preserve">Sumber: analisis penulis berdasarkan AKR Corporindo (2026a, 2026b) dan kerangka kelas.</w:t>
      </w:r>
    </w:p>
    <w:bookmarkEnd w:id="23"/>
    <w:bookmarkStart w:id="24" w:name="pertanyaan-penelitian"/>
    <w:p>
      <w:pPr>
        <w:pStyle w:val="Heading2"/>
      </w:pPr>
      <w:r>
        <w:t xml:space="preserve">1.2 Pertanyaan Penelitian</w:t>
      </w:r>
    </w:p>
    <w:p>
      <w:pPr>
        <w:pStyle w:val="FirstParagraph"/>
      </w:pPr>
      <w:r>
        <w:t xml:space="preserve">Laporan ini menjawab empat pertanyaan penelitian (PP):</w:t>
      </w:r>
    </w:p>
    <w:p>
      <w:pPr>
        <w:numPr>
          <w:ilvl w:val="0"/>
          <w:numId w:val="1001"/>
        </w:numPr>
        <w:pStyle w:val="Compact"/>
      </w:pPr>
      <w:r>
        <w:rPr>
          <w:bCs/>
          <w:b/>
        </w:rPr>
        <w:t xml:space="preserve">PP1.</w:t>
      </w:r>
      <w:r>
        <w:t xml:space="preserve"> </w:t>
      </w:r>
      <w:r>
        <w:t xml:space="preserve">Bagaimana faktor Pemerintah dan Regulasi (kuota impor, penugasan BBM bersubsidi, mandatori biodiesel, subsidi dan kompensasi, serta insentif KEK) memengaruhi kinerja AKR pada 2024–2026, dan</w:t>
      </w:r>
      <w:r>
        <w:t xml:space="preserve"> </w:t>
      </w:r>
      <w:r>
        <w:rPr>
          <w:iCs/>
          <w:i/>
        </w:rPr>
        <w:t xml:space="preserve">key factor</w:t>
      </w:r>
      <w:r>
        <w:t xml:space="preserve"> </w:t>
      </w:r>
      <w:r>
        <w:t xml:space="preserve">apa yang menjadi penyebab di balik gejala tersebut?</w:t>
      </w:r>
    </w:p>
    <w:p>
      <w:pPr>
        <w:numPr>
          <w:ilvl w:val="0"/>
          <w:numId w:val="1001"/>
        </w:numPr>
        <w:pStyle w:val="Compact"/>
      </w:pPr>
      <w:r>
        <w:rPr>
          <w:bCs/>
          <w:b/>
        </w:rPr>
        <w:t xml:space="preserve">PP2.</w:t>
      </w:r>
      <w:r>
        <w:t xml:space="preserve"> </w:t>
      </w:r>
      <w:r>
        <w:t xml:space="preserve">Bagaimana faktor Ekonomi (siklus harga minyak, kurs, suku bunga, dan siklus komoditas pelanggan) memengaruhi volume, margin, dan modal kerja AKR, dan</w:t>
      </w:r>
      <w:r>
        <w:t xml:space="preserve"> </w:t>
      </w:r>
      <w:r>
        <w:rPr>
          <w:iCs/>
          <w:i/>
        </w:rPr>
        <w:t xml:space="preserve">key factor</w:t>
      </w:r>
      <w:r>
        <w:t xml:space="preserve"> </w:t>
      </w:r>
      <w:r>
        <w:t xml:space="preserve">apa yang menjadi penyebabnya?</w:t>
      </w:r>
    </w:p>
    <w:p>
      <w:pPr>
        <w:numPr>
          <w:ilvl w:val="0"/>
          <w:numId w:val="1001"/>
        </w:numPr>
        <w:pStyle w:val="Compact"/>
      </w:pPr>
      <w:r>
        <w:rPr>
          <w:bCs/>
          <w:b/>
        </w:rPr>
        <w:t xml:space="preserve">PP3.</w:t>
      </w:r>
      <w:r>
        <w:t xml:space="preserve"> </w:t>
      </w:r>
      <w:r>
        <w:t xml:space="preserve">Bagaimana faktor Teknologi dan Lingkungan (elektrifikasi kendaraan, mandatori biofuel, tekanan ESG dan dekarbonisasi rantai pasok) memengaruhi prospek segmen ritel, industri, dan kawasan industri AKR, dan</w:t>
      </w:r>
      <w:r>
        <w:t xml:space="preserve"> </w:t>
      </w:r>
      <w:r>
        <w:rPr>
          <w:iCs/>
          <w:i/>
        </w:rPr>
        <w:t xml:space="preserve">key factor</w:t>
      </w:r>
      <w:r>
        <w:t xml:space="preserve"> </w:t>
      </w:r>
      <w:r>
        <w:t xml:space="preserve">apa yang menjadi penyebabnya?</w:t>
      </w:r>
    </w:p>
    <w:p>
      <w:pPr>
        <w:numPr>
          <w:ilvl w:val="0"/>
          <w:numId w:val="1001"/>
        </w:numPr>
        <w:pStyle w:val="Compact"/>
      </w:pPr>
      <w:r>
        <w:rPr>
          <w:bCs/>
          <w:b/>
        </w:rPr>
        <w:t xml:space="preserve">PP4.</w:t>
      </w:r>
      <w:r>
        <w:t xml:space="preserve"> </w:t>
      </w:r>
      <w:r>
        <w:t xml:space="preserve">Inovasi strategis apa yang paling layak bagi AKR dan mengapa dibanding alternatif lain?</w:t>
      </w:r>
    </w:p>
    <w:bookmarkEnd w:id="24"/>
    <w:bookmarkStart w:id="25" w:name="tujuan-dan-manfaat"/>
    <w:p>
      <w:pPr>
        <w:pStyle w:val="Heading2"/>
      </w:pPr>
      <w:r>
        <w:t xml:space="preserve">1.3 Tujuan dan Manfaat</w:t>
      </w:r>
    </w:p>
    <w:p>
      <w:pPr>
        <w:pStyle w:val="FirstParagraph"/>
      </w:pPr>
      <w:r>
        <w:t xml:space="preserve">Tujuan laporan ini adalah (1) memetakan</w:t>
      </w:r>
      <w:r>
        <w:t xml:space="preserve"> </w:t>
      </w:r>
      <w:r>
        <w:rPr>
          <w:iCs/>
          <w:i/>
        </w:rPr>
        <w:t xml:space="preserve">issue</w:t>
      </w:r>
      <w:r>
        <w:t xml:space="preserve"> </w:t>
      </w:r>
      <w:r>
        <w:t xml:space="preserve">eksternal 2024–2026 yang paling material bagi AKR, (2) mengidentifikasi</w:t>
      </w:r>
      <w:r>
        <w:t xml:space="preserve"> </w:t>
      </w:r>
      <w:r>
        <w:rPr>
          <w:iCs/>
          <w:i/>
        </w:rPr>
        <w:t xml:space="preserve">key factor</w:t>
      </w:r>
      <w:r>
        <w:t xml:space="preserve"> </w:t>
      </w:r>
      <w:r>
        <w:t xml:space="preserve">penyebab yang berada di luar kendali perusahaan dengan dukungan teori dan bukti empiris, (3) merumuskan</w:t>
      </w:r>
      <w:r>
        <w:t xml:space="preserve"> </w:t>
      </w:r>
      <w:r>
        <w:rPr>
          <w:iCs/>
          <w:i/>
        </w:rPr>
        <w:t xml:space="preserve">key action</w:t>
      </w:r>
      <w:r>
        <w:t xml:space="preserve"> </w:t>
      </w:r>
      <w:r>
        <w:t xml:space="preserve">yang konkret dengan pemilik, horizon, dan indikator, serta (4) memilih dan merinci satu usulan inovasi yang dapat dieksekusi dalam tiga tahun. Manfaat praktis bagi Direksi dan Dewan Komisaris adalah tersedianya dasar pengambilan keputusan alokasi modal yang menghubungkan risiko regulasi dan transisi energi dengan peluang pendapatan berulang. Manfaat akademis adalah penerapan kerangka lingkungan umum dan teori inovasi model bisnis pada perusahaan distribusi energi</w:t>
      </w:r>
      <w:r>
        <w:t xml:space="preserve"> </w:t>
      </w:r>
      <w:r>
        <w:rPr>
          <w:iCs/>
          <w:i/>
        </w:rPr>
        <w:t xml:space="preserve">incumbent</w:t>
      </w:r>
      <w:r>
        <w:t xml:space="preserve"> </w:t>
      </w:r>
      <w:r>
        <w:t xml:space="preserve">di negara berkembang.</w:t>
      </w:r>
    </w:p>
    <w:bookmarkEnd w:id="25"/>
    <w:bookmarkStart w:id="26" w:name="ruang-lingkup-dan-metode"/>
    <w:p>
      <w:pPr>
        <w:pStyle w:val="Heading2"/>
      </w:pPr>
      <w:r>
        <w:t xml:space="preserve">1.4 Ruang Lingkup dan Metode</w:t>
      </w:r>
    </w:p>
    <w:p>
      <w:pPr>
        <w:pStyle w:val="FirstParagraph"/>
      </w:pPr>
      <w:r>
        <w:t xml:space="preserve">Laporan ini adalah studi kasus deskriptif-analitis dengan unit analisis PT AKR Corporindo Tbk beserta entitas anak dan ventura bersama. Horizon analisis adalah 2024–2028, dengan basis data kinerja 2021–2025. Data sekunder utama adalah Laporan Tahunan (AR) dan Laporan Keberlanjutan (SR) AKR 2021–2025, dengan AR 2025 dan SR 2025 sebagai acuan angka; nomor halaman yang dikutip mengacu pada nomor halaman tercetak dokumen. Sumber pendukung adalah regulasi primer (Kepmen dan Permen ESDM, PP KEK, POJK), data Kementerian Keuangan dan Bank Indonesia, artikel jurnal peringkat SJR Q1/Q2, publikasi lembaga internasional, dan media tier 1 untuk peristiwa 2025–2026. Angka yang tidak dapat dipastikan dari dokumen primer ditandai [VERIFIKASI]; estimasi finansial ditandai [ESTIMASI] dengan asumsi tertulis; kalimat kunci di Bab 4 diberi label [Fakta], [Inferensi], atau [Rekomendasi]. Keterbatasan metode dibahas di Bab 5.</w:t>
      </w:r>
    </w:p>
    <w:bookmarkEnd w:id="26"/>
    <w:bookmarkStart w:id="27" w:name="sistematika"/>
    <w:p>
      <w:pPr>
        <w:pStyle w:val="Heading2"/>
      </w:pPr>
      <w:r>
        <w:t xml:space="preserve">1.5 Sistematika</w:t>
      </w:r>
    </w:p>
    <w:p>
      <w:pPr>
        <w:pStyle w:val="FirstParagraph"/>
      </w:pPr>
      <w:r>
        <w:t xml:space="preserve">Bab 2 menyajikan landasan teori generik tentang lingkungan eksternal dan menegaskan faktor yang paling penting bagi perusahaan distribusi energi di Indonesia. Bab 3 memprofilkan industri distribusi BBM dan kimia dasar, industri kawasan industri terpadu dan KEK, serta profil dan kinerja AKR 2021–2025. Bab 4 menganalisis tiga faktor prioritas dengan alur</w:t>
      </w:r>
      <w:r>
        <w:t xml:space="preserve"> </w:t>
      </w:r>
      <w:r>
        <w:rPr>
          <w:iCs/>
          <w:i/>
        </w:rPr>
        <w:t xml:space="preserve">issue</w:t>
      </w:r>
      <w:r>
        <w:t xml:space="preserve"> </w:t>
      </w:r>
      <w:r>
        <w:t xml:space="preserve">→</w:t>
      </w:r>
      <w:r>
        <w:t xml:space="preserve"> </w:t>
      </w:r>
      <w:r>
        <w:rPr>
          <w:iCs/>
          <w:i/>
        </w:rPr>
        <w:t xml:space="preserve">key factor</w:t>
      </w:r>
      <w:r>
        <w:t xml:space="preserve"> </w:t>
      </w:r>
      <w:r>
        <w:t xml:space="preserve">→</w:t>
      </w:r>
      <w:r>
        <w:t xml:space="preserve"> </w:t>
      </w:r>
      <w:r>
        <w:rPr>
          <w:iCs/>
          <w:i/>
        </w:rPr>
        <w:t xml:space="preserve">key action</w:t>
      </w:r>
      <w:r>
        <w:t xml:space="preserve">, menyintesis matriks faktor, membandingkan tiga alternatif inovasi, dan merinci usulan terpilih. Bab 5 menjawab PP1–PP4, menyusun rekomendasi bertingkat, dan menyatakan keterbatasan studi. Daftar Pustaka disusun menurut APA edisi ke-7 dan Lampiran memuat tabel audit artikel jurnal.</w:t>
      </w:r>
    </w:p>
    <w:p>
      <w:r>
        <w:br w:type="page"/>
      </w:r>
    </w:p>
    <w:bookmarkEnd w:id="27"/>
    <w:bookmarkEnd w:id="28"/>
    <w:bookmarkStart w:id="38" w:name="bab-2-landasan-teori"/>
    <w:p>
      <w:pPr>
        <w:pStyle w:val="Heading1"/>
      </w:pPr>
      <w:r>
        <w:t xml:space="preserve">BAB 2 LANDASAN TEORI</w:t>
      </w:r>
    </w:p>
    <w:bookmarkStart w:id="29" w:name="Xf7798634416d50d70b94a9de5ba9e97395d0683"/>
    <w:p>
      <w:pPr>
        <w:pStyle w:val="Heading2"/>
      </w:pPr>
      <w:r>
        <w:t xml:space="preserve">2.1 Lingkungan Umum, Lingkungan Industri, dan Sembilan Faktor</w:t>
      </w:r>
    </w:p>
    <w:p>
      <w:pPr>
        <w:pStyle w:val="FirstParagraph"/>
      </w:pPr>
      <w:r>
        <w:t xml:space="preserve">Literatur manajemen strategis membedakan lingkungan umum (</w:t>
      </w:r>
      <w:r>
        <w:rPr>
          <w:iCs/>
          <w:i/>
        </w:rPr>
        <w:t xml:space="preserve">general environment</w:t>
      </w:r>
      <w:r>
        <w:t xml:space="preserve">), yaitu dimensi masyarakat luas yang memengaruhi semua industri, dari lingkungan industri, yaitu kekuatan yang langsung menentukan profitabilitas suatu industri seperti pemasok, pembeli, pendatang baru, substitusi, dan rivalitas (Porter, 2008; Hitt et al., 2020). Pemindaian lingkungan umum berakar pada kerangka ETPS Aguilar (1967) dan dikembangkan oleh Fahey dan Narayanan (1986) menjadi analisis makro yang sistematis. Kerangka PESTEL (Politik, Ekonomi, Sosial, Teknologi, Lingkungan, Legal) adalah penyederhanaan yang populer di buku teks (Thompson et al., 2022; Grant, 2021). Kerangka sembilan faktor yang digunakan di kelas memperluas PESTEL dengan memisahkan Pemerintah dari Politik, menambah Demografi, dan menambah Global sebagai saluran transmisi kejutan lintas negara. Pemisahan ini berguna bagi perusahaan energi karena</w:t>
      </w:r>
      <w:r>
        <w:t xml:space="preserve"> </w:t>
      </w:r>
      <w:r>
        <w:t xml:space="preserve">“</w:t>
      </w:r>
      <w:r>
        <w:t xml:space="preserve">Pemerintah</w:t>
      </w:r>
      <w:r>
        <w:t xml:space="preserve">”</w:t>
      </w:r>
      <w:r>
        <w:t xml:space="preserve"> </w:t>
      </w:r>
      <w:r>
        <w:t xml:space="preserve">bekerja melalui instrumen administratif harian (kuota, penugasan, harga acuan), sedangkan</w:t>
      </w:r>
      <w:r>
        <w:t xml:space="preserve"> </w:t>
      </w:r>
      <w:r>
        <w:t xml:space="preserve">“</w:t>
      </w:r>
      <w:r>
        <w:t xml:space="preserve">Politik</w:t>
      </w:r>
      <w:r>
        <w:t xml:space="preserve">”</w:t>
      </w:r>
      <w:r>
        <w:t xml:space="preserve"> </w:t>
      </w:r>
      <w:r>
        <w:t xml:space="preserve">bekerja melalui koalisi yang lebih lambat berubah. Relevansi generiknya: bagi distributor energi dan pengembang kawasan industri, harga, volume impor, kewajiban pencampuran, dan status fiskal kawasan ditetapkan negara, sehingga analisis lingkungan umum adalah inti analisis strategi, bukan latar belakang.</w:t>
      </w:r>
    </w:p>
    <w:bookmarkEnd w:id="29"/>
    <w:bookmarkStart w:id="30" w:name="X877846b7fe8da73f7d3aca449a013c6d58a233c"/>
    <w:p>
      <w:pPr>
        <w:pStyle w:val="Heading2"/>
      </w:pPr>
      <w:r>
        <w:t xml:space="preserve">2.2 Teori Pemerintah dan Regulasi: Intervensi Negara dan Strategi Nonpasar</w:t>
      </w:r>
    </w:p>
    <w:p>
      <w:pPr>
        <w:pStyle w:val="FirstParagraph"/>
      </w:pPr>
      <w:r>
        <w:t xml:space="preserve">Literatur ekonomi energi menunjukkan bahwa negara mengintervensi sektor energi melalui empat instrumen utama: kuota dan lisensi impor, mandatori produk (misalnya pencampuran biofuel), subsidi dan kompensasi harga, serta insentif lokasi seperti KEK. Coady et al. (2017,</w:t>
      </w:r>
      <w:r>
        <w:t xml:space="preserve"> </w:t>
      </w:r>
      <w:r>
        <w:rPr>
          <w:iCs/>
          <w:i/>
        </w:rPr>
        <w:t xml:space="preserve">World Development</w:t>
      </w:r>
      <w:r>
        <w:t xml:space="preserve">, SJR Q1) memperkirakan subsidi energi fosil global mencapai USD 4,9 triliun pada 2013 jika memasukkan biaya eksternalitas, dan menunjukkan bahwa subsidi harga menciptakan ketergantungan fiskal yang sulit dilepaskan. Rentschler dan Bazilian (2017,</w:t>
      </w:r>
      <w:r>
        <w:t xml:space="preserve"> </w:t>
      </w:r>
      <w:r>
        <w:rPr>
          <w:iCs/>
          <w:i/>
        </w:rPr>
        <w:t xml:space="preserve">Climate Policy</w:t>
      </w:r>
      <w:r>
        <w:t xml:space="preserve">, SJR Q1) menyimpulkan bahwa reformasi subsidi gagal bukan karena argumen ekonomi, melainkan karena ekonomi politik: penolakan konsumen, kepentingan BUMN, dan ketidakpercayaan pada kompensasi. Henisz (2000,</w:t>
      </w:r>
      <w:r>
        <w:t xml:space="preserve"> </w:t>
      </w:r>
      <w:r>
        <w:rPr>
          <w:iCs/>
          <w:i/>
        </w:rPr>
        <w:t xml:space="preserve">Economics &amp; Politics</w:t>
      </w:r>
      <w:r>
        <w:t xml:space="preserve">, SJR: VERIFIKASI) membangun indeks</w:t>
      </w:r>
      <w:r>
        <w:t xml:space="preserve"> </w:t>
      </w:r>
      <w:r>
        <w:rPr>
          <w:iCs/>
          <w:i/>
        </w:rPr>
        <w:t xml:space="preserve">political constraints</w:t>
      </w:r>
      <w:r>
        <w:t xml:space="preserve"> </w:t>
      </w:r>
      <w:r>
        <w:t xml:space="preserve">dan menunjukkan bahwa kredibilitas komitmen kebijakan menentukan investasi jangka panjang; semakin sedikit batasan institusional, semakin mudah pemerintah mengubah aturan secara sepihak. Untuk KEK, Frick et al. (2019,</w:t>
      </w:r>
      <w:r>
        <w:t xml:space="preserve"> </w:t>
      </w:r>
      <w:r>
        <w:rPr>
          <w:iCs/>
          <w:i/>
        </w:rPr>
        <w:t xml:space="preserve">Economic Geography</w:t>
      </w:r>
      <w:r>
        <w:t xml:space="preserve">, SJR Q1) menemukan bahwa pertumbuhan zona ekonomi khusus di negara berkembang lebih ditentukan oleh akses pasar, ukuran negara, dan kedekatan dengan kota besar daripada oleh insentif fiskal semata.</w:t>
      </w:r>
    </w:p>
    <w:p>
      <w:pPr>
        <w:pStyle w:val="BodyText"/>
      </w:pPr>
      <w:r>
        <w:t xml:space="preserve">Dari sisi strategi, Baron (1995,</w:t>
      </w:r>
      <w:r>
        <w:t xml:space="preserve"> </w:t>
      </w:r>
      <w:r>
        <w:rPr>
          <w:iCs/>
          <w:i/>
        </w:rPr>
        <w:t xml:space="preserve">California Management Review</w:t>
      </w:r>
      <w:r>
        <w:t xml:space="preserve">, SJR Q1) memperkenalkan konsep strategi terintegrasi: perusahaan harus menggabungkan strategi pasar dengan strategi nonpasar, yaitu tindakan terkoordinasi untuk membentuk lingkungan kebijakan melalui informasi, lobi, koalisi, dan reputasi. Hillman et al. (2004,</w:t>
      </w:r>
      <w:r>
        <w:t xml:space="preserve"> </w:t>
      </w:r>
      <w:r>
        <w:rPr>
          <w:iCs/>
          <w:i/>
        </w:rPr>
        <w:t xml:space="preserve">Journal of Management</w:t>
      </w:r>
      <w:r>
        <w:t xml:space="preserve">, SJR Q1) merangkum bukti bahwa</w:t>
      </w:r>
      <w:r>
        <w:t xml:space="preserve"> </w:t>
      </w:r>
      <w:r>
        <w:rPr>
          <w:iCs/>
          <w:i/>
        </w:rPr>
        <w:t xml:space="preserve">corporate political activity</w:t>
      </w:r>
      <w:r>
        <w:t xml:space="preserve"> </w:t>
      </w:r>
      <w:r>
        <w:t xml:space="preserve">efektif ketika perusahaan memiliki keahlian informasi yang dibutuhkan regulator dan membangun hubungan relasional jangka panjang, bukan transaksional. Relevansi generik bagi distributor energi dan pengembang KEK: perusahaan tidak dapat memperlakukan kebijakan sebagai variabel eksogen murni. Kemampuan menyediakan data kebutuhan pasokan, menjalankan penugasan negara dengan andal, dan menjadi mitra pelaksana program nasional adalah aset strategis yang sama pentingnya dengan terminal dan armada.</w:t>
      </w:r>
    </w:p>
    <w:bookmarkEnd w:id="30"/>
    <w:bookmarkStart w:id="31" w:name="X054b04fd48d02f3cdaf838e22ea5c367dad4495"/>
    <w:p>
      <w:pPr>
        <w:pStyle w:val="Heading2"/>
      </w:pPr>
      <w:r>
        <w:t xml:space="preserve">2.3 Teori Ekonomi: Siklus Komoditas, Pass-Through, Kurs, dan Hedging</w:t>
      </w:r>
    </w:p>
    <w:p>
      <w:pPr>
        <w:pStyle w:val="FirstParagraph"/>
      </w:pPr>
      <w:r>
        <w:t xml:space="preserve">Kilian (2009,</w:t>
      </w:r>
      <w:r>
        <w:t xml:space="preserve"> </w:t>
      </w:r>
      <w:r>
        <w:rPr>
          <w:iCs/>
          <w:i/>
        </w:rPr>
        <w:t xml:space="preserve">American Economic Review</w:t>
      </w:r>
      <w:r>
        <w:t xml:space="preserve">, SJR Q1) menunjukkan bahwa guncangan harga minyak tidak seragam: guncangan pasokan, guncangan permintaan agregat, dan guncangan permintaan spekulatif memiliki dampak makro yang berbeda. Hamilton (2009,</w:t>
      </w:r>
      <w:r>
        <w:t xml:space="preserve"> </w:t>
      </w:r>
      <w:r>
        <w:rPr>
          <w:iCs/>
          <w:i/>
        </w:rPr>
        <w:t xml:space="preserve">Brookings Papers on Economic Activity</w:t>
      </w:r>
      <w:r>
        <w:t xml:space="preserve">, SJR: VERIFIKASI) menunjukkan bahwa guncangan harga minyak 2007–2008 memperlambat konsumsi dan memicu resesi melalui penurunan daya beli. Pada tingkat harga eceran, Borenstein et al. (1997,</w:t>
      </w:r>
      <w:r>
        <w:t xml:space="preserve"> </w:t>
      </w:r>
      <w:r>
        <w:rPr>
          <w:iCs/>
          <w:i/>
        </w:rPr>
        <w:t xml:space="preserve">Quarterly Journal of Economics</w:t>
      </w:r>
      <w:r>
        <w:t xml:space="preserve">, SJR Q1) membuktikan asimetri</w:t>
      </w:r>
      <w:r>
        <w:t xml:space="preserve"> </w:t>
      </w:r>
      <w:r>
        <w:rPr>
          <w:iCs/>
          <w:i/>
        </w:rPr>
        <w:t xml:space="preserve">rockets and feathers</w:t>
      </w:r>
      <w:r>
        <w:t xml:space="preserve">: harga BBM eceran naik cepat ketika harga minyak naik dan turun lambat ketika harga minyak turun, karena kekuatan pasar dan biaya pencarian konsumen. Basher et al. (2012,</w:t>
      </w:r>
      <w:r>
        <w:t xml:space="preserve"> </w:t>
      </w:r>
      <w:r>
        <w:rPr>
          <w:iCs/>
          <w:i/>
        </w:rPr>
        <w:t xml:space="preserve">Energy Economics</w:t>
      </w:r>
      <w:r>
        <w:t xml:space="preserve">, SJR Q1) menemukan bahwa kenaikan harga minyak melemahkan kurs negara berkembang pengimpor minyak dan menekan pasar sahamnya. Mengenai</w:t>
      </w:r>
      <w:r>
        <w:t xml:space="preserve"> </w:t>
      </w:r>
      <w:r>
        <w:rPr>
          <w:iCs/>
          <w:i/>
        </w:rPr>
        <w:t xml:space="preserve">hedging</w:t>
      </w:r>
      <w:r>
        <w:t xml:space="preserve">, Froot et al. (1993,</w:t>
      </w:r>
      <w:r>
        <w:t xml:space="preserve"> </w:t>
      </w:r>
      <w:r>
        <w:rPr>
          <w:iCs/>
          <w:i/>
        </w:rPr>
        <w:t xml:space="preserve">Journal of Finance</w:t>
      </w:r>
      <w:r>
        <w:t xml:space="preserve">, SJR Q1) menjelaskan bahwa lindung nilai bernilai bagi perusahaan karena menstabilkan arus kas internal sehingga investasi tidak terganggu ketika pendanaan eksternal mahal.</w:t>
      </w:r>
    </w:p>
    <w:p>
      <w:pPr>
        <w:pStyle w:val="BodyText"/>
      </w:pPr>
      <w:r>
        <w:t xml:space="preserve">Relevansi generik: margin distributor ditentukan mekanisme</w:t>
      </w:r>
      <w:r>
        <w:t xml:space="preserve"> </w:t>
      </w:r>
      <w:r>
        <w:rPr>
          <w:iCs/>
          <w:i/>
        </w:rPr>
        <w:t xml:space="preserve">pass-through</w:t>
      </w:r>
      <w:r>
        <w:t xml:space="preserve">. Jika harga beli dapat diteruskan melalui formula (misalnya</w:t>
      </w:r>
      <w:r>
        <w:t xml:space="preserve"> </w:t>
      </w:r>
      <w:r>
        <w:rPr>
          <w:iCs/>
          <w:i/>
        </w:rPr>
        <w:t xml:space="preserve">Mean of Platts Singapore</w:t>
      </w:r>
      <w:r>
        <w:t xml:space="preserve"> </w:t>
      </w:r>
      <w:r>
        <w:t xml:space="preserve">plus biaya), risiko harga berubah menjadi risiko volume dan modal kerja; jika harga jual diatur negara, risiko berpindah ke kompensasi fiskal yang tertunda. Bagi pengembang kawasan industri, siklus komoditas menentukan waktu investasi tenant, sehingga penjualan lahan bersifat siklikal.</w:t>
      </w:r>
    </w:p>
    <w:bookmarkEnd w:id="31"/>
    <w:bookmarkStart w:id="32" w:name="X3902842d5fb2f7ba24465f87fd2a86ca551946d"/>
    <w:p>
      <w:pPr>
        <w:pStyle w:val="Heading2"/>
      </w:pPr>
      <w:r>
        <w:t xml:space="preserve">2.4 Teori Teknologi dan Lingkungan: Disrupsi, S-Curve, Transisi Multi-Level, dan Stranded Assets</w:t>
      </w:r>
    </w:p>
    <w:p>
      <w:pPr>
        <w:pStyle w:val="FirstParagraph"/>
      </w:pPr>
      <w:r>
        <w:t xml:space="preserve">Bower dan Christensen (1995) membedakan teknologi berkelanjutan dari teknologi disruptif yang awalnya berkinerja lebih rendah pada atribut yang dihargai pelanggan utama, tetapi unggul pada atribut lain dan membaik cepat;</w:t>
      </w:r>
      <w:r>
        <w:t xml:space="preserve"> </w:t>
      </w:r>
      <w:r>
        <w:rPr>
          <w:iCs/>
          <w:i/>
        </w:rPr>
        <w:t xml:space="preserve">incumbent</w:t>
      </w:r>
      <w:r>
        <w:t xml:space="preserve"> </w:t>
      </w:r>
      <w:r>
        <w:t xml:space="preserve">gagal bukan karena tidak mampu, melainkan karena proses alokasi sumber dayanya mengabaikan pasar kecil. Christensen et al. (2015) menegaskan bahwa disrupsi adalah proses, bukan peristiwa, dan bahwa banyak inovasi yang disebut disruptif sebenarnya adalah inovasi berkelanjutan. Geroski (2000,</w:t>
      </w:r>
      <w:r>
        <w:t xml:space="preserve"> </w:t>
      </w:r>
      <w:r>
        <w:rPr>
          <w:iCs/>
          <w:i/>
        </w:rPr>
        <w:t xml:space="preserve">Research Policy</w:t>
      </w:r>
      <w:r>
        <w:t xml:space="preserve">, SJR Q1) merangkum model difusi: adopsi teknologi mengikuti kurva S yang lambat di awal, cepat di tengah, dan jenuh di akhir, dengan kecepatan ditentukan oleh informasi, heterogenitas pengadopsi, dan jaringan pelengkap. Geels (2002,</w:t>
      </w:r>
      <w:r>
        <w:t xml:space="preserve"> </w:t>
      </w:r>
      <w:r>
        <w:rPr>
          <w:iCs/>
          <w:i/>
        </w:rPr>
        <w:t xml:space="preserve">Research Policy</w:t>
      </w:r>
      <w:r>
        <w:t xml:space="preserve">, SJR Q1) merumuskan perspektif multi-level (MLP): transisi sosioteknis terjadi ketika inovasi di</w:t>
      </w:r>
      <w:r>
        <w:t xml:space="preserve"> </w:t>
      </w:r>
      <w:r>
        <w:rPr>
          <w:iCs/>
          <w:i/>
        </w:rPr>
        <w:t xml:space="preserve">niche</w:t>
      </w:r>
      <w:r>
        <w:t xml:space="preserve"> </w:t>
      </w:r>
      <w:r>
        <w:t xml:space="preserve">bertemu tekanan dari</w:t>
      </w:r>
      <w:r>
        <w:t xml:space="preserve"> </w:t>
      </w:r>
      <w:r>
        <w:rPr>
          <w:iCs/>
          <w:i/>
        </w:rPr>
        <w:t xml:space="preserve">landscape</w:t>
      </w:r>
      <w:r>
        <w:t xml:space="preserve"> </w:t>
      </w:r>
      <w:r>
        <w:t xml:space="preserve">(iklim, geopolitik) yang mendestabilisasi</w:t>
      </w:r>
      <w:r>
        <w:t xml:space="preserve"> </w:t>
      </w:r>
      <w:r>
        <w:rPr>
          <w:iCs/>
          <w:i/>
        </w:rPr>
        <w:t xml:space="preserve">regime</w:t>
      </w:r>
      <w:r>
        <w:t xml:space="preserve"> </w:t>
      </w:r>
      <w:r>
        <w:t xml:space="preserve">yang mapan. Unruh (2000,</w:t>
      </w:r>
      <w:r>
        <w:t xml:space="preserve"> </w:t>
      </w:r>
      <w:r>
        <w:rPr>
          <w:iCs/>
          <w:i/>
        </w:rPr>
        <w:t xml:space="preserve">Energy Policy</w:t>
      </w:r>
      <w:r>
        <w:t xml:space="preserve">, SJR Q1) menjelaskan</w:t>
      </w:r>
      <w:r>
        <w:t xml:space="preserve"> </w:t>
      </w:r>
      <w:r>
        <w:rPr>
          <w:iCs/>
          <w:i/>
        </w:rPr>
        <w:t xml:space="preserve">carbon lock-in</w:t>
      </w:r>
      <w:r>
        <w:t xml:space="preserve">: infrastruktur fosil bertahan karena skala ekonomi, jaringan, dan institusi yang saling menguatkan.</w:t>
      </w:r>
    </w:p>
    <w:p>
      <w:pPr>
        <w:pStyle w:val="BodyText"/>
      </w:pPr>
      <w:r>
        <w:t xml:space="preserve">Mercure et al. (2018,</w:t>
      </w:r>
      <w:r>
        <w:t xml:space="preserve"> </w:t>
      </w:r>
      <w:r>
        <w:rPr>
          <w:iCs/>
          <w:i/>
        </w:rPr>
        <w:t xml:space="preserve">Nature Climate Change</w:t>
      </w:r>
      <w:r>
        <w:t xml:space="preserve">, SJR Q1) memodelkan bahwa transisi energi dapat menghapus nilai aset fosil sebesar USD 1–4 triliun bahkan tanpa kebijakan iklim baru, karena difusi teknologi rendah karbon yang sudah berjalan; aset yang kehilangan nilai sebelum akhir umur ekonomisnya disebut</w:t>
      </w:r>
      <w:r>
        <w:t xml:space="preserve"> </w:t>
      </w:r>
      <w:r>
        <w:rPr>
          <w:iCs/>
          <w:i/>
        </w:rPr>
        <w:t xml:space="preserve">stranded assets</w:t>
      </w:r>
      <w:r>
        <w:t xml:space="preserve">. Untuk adopsi kendaraan listrik (EV), Li et al. (2017,</w:t>
      </w:r>
      <w:r>
        <w:t xml:space="preserve"> </w:t>
      </w:r>
      <w:r>
        <w:rPr>
          <w:iCs/>
          <w:i/>
        </w:rPr>
        <w:t xml:space="preserve">Journal of the Association of Environmental and Resource Economists</w:t>
      </w:r>
      <w:r>
        <w:t xml:space="preserve">, SJR Q1) membuktikan efek jaringan tidak langsung antara jumlah EV dan jumlah stasiun pengisian, sedangkan Sierzchula et al. (2014,</w:t>
      </w:r>
      <w:r>
        <w:t xml:space="preserve"> </w:t>
      </w:r>
      <w:r>
        <w:rPr>
          <w:iCs/>
          <w:i/>
        </w:rPr>
        <w:t xml:space="preserve">Energy Policy</w:t>
      </w:r>
      <w:r>
        <w:t xml:space="preserve">, SJR Q1) menemukan bahwa insentif fiskal dan kepadatan infrastruktur pengisian adalah prediktor kuat pangsa EV antarnegara. Tekanan lingkungan pada perdagangan ditunjukkan Dechezleprêtre dan Sato (2017,</w:t>
      </w:r>
      <w:r>
        <w:t xml:space="preserve"> </w:t>
      </w:r>
      <w:r>
        <w:rPr>
          <w:iCs/>
          <w:i/>
        </w:rPr>
        <w:t xml:space="preserve">Review of Environmental Economics and Policy</w:t>
      </w:r>
      <w:r>
        <w:t xml:space="preserve">, SJR Q1): regulasi lingkungan memindahkan pola perdagangan dan investasi, sehingga perbedaan standar karbon antarnegara menjadi faktor daya saing ekspor.</w:t>
      </w:r>
    </w:p>
    <w:p>
      <w:pPr>
        <w:pStyle w:val="BodyText"/>
      </w:pPr>
      <w:r>
        <w:t xml:space="preserve">Relevansi generik: distributor BBM adalah bagian rezim fosil yang tidak runtuh seketika, tetapi tergerus dari segmen ritel perkotaan yang paling cepat terelektrifikasi, sementara segmen industri, pertambangan, dan maritim bertahan lebih lama. Pengembang kawasan industri berada di posisi sebaliknya sebagai</w:t>
      </w:r>
      <w:r>
        <w:t xml:space="preserve"> </w:t>
      </w:r>
      <w:r>
        <w:rPr>
          <w:iCs/>
          <w:i/>
        </w:rPr>
        <w:t xml:space="preserve">niche</w:t>
      </w:r>
      <w:r>
        <w:t xml:space="preserve"> </w:t>
      </w:r>
      <w:r>
        <w:t xml:space="preserve">penyedia energi rendah karbon bagi tenant yang ditekan pembeli global; kombinasi kedua posisi ini mendasari usulan inovasi Bab 4.</w:t>
      </w:r>
    </w:p>
    <w:bookmarkEnd w:id="32"/>
    <w:bookmarkStart w:id="33" w:name="X9c66b815741424124eaaec70f8982742c805150"/>
    <w:p>
      <w:pPr>
        <w:pStyle w:val="Heading2"/>
      </w:pPr>
      <w:r>
        <w:t xml:space="preserve">2.5 Faktor Mana yang Paling Penting bagi Perusahaan Distribusi Energi Indonesia</w:t>
      </w:r>
    </w:p>
    <w:p>
      <w:pPr>
        <w:pStyle w:val="FirstParagraph"/>
      </w:pPr>
      <w:r>
        <w:t xml:space="preserve">Penentuan faktor terpenting menggunakan tiga kriteria: magnitudo (seberapa besar pengaruh pada pendapatan dan margin), imediasi (seberapa cepat pengaruh terasa), dan kontrolabilitas (seberapa besar perusahaan dapat memengaruhi faktor itu). Faktor Ekonomi memiliki imediasi tertinggi, tetapi dampaknya pada margin dapat diredam kontrak formula dan lindung nilai. Faktor Teknologi dan Lingkungan bermagnitudo besar dalam jangka panjang, tetapi imediasinya rendah bagi segmen industri yang mendominasi laba. Faktor Pemerintah dan Regulasi memiliki magnitudo tertinggi karena ia menetapkan apakah volume boleh dijual sama sekali (kuota dan penugasan), berapa harga jualnya (harga eceran bersubsidi dan kompensasi), produk apa yang wajib dijual (B40 menjadi B50), dan berapa pajak yang dibayar tenant kawasan (fasilitas KEK). Imediasinya tinggi karena keputusan administratif berlaku dalam hitungan minggu, dan kontrolabilitasnya rendah meskipun strategi nonpasar dapat memperbaiki posisi perusahaan di margin.</w:t>
      </w:r>
    </w:p>
    <w:p>
      <w:pPr>
        <w:pStyle w:val="BodyText"/>
      </w:pPr>
      <w:r>
        <w:rPr>
          <w:bCs/>
          <w:b/>
        </w:rPr>
        <w:t xml:space="preserve">Posisi laporan ini tegas: faktor Pemerintah dan Regulasi adalah faktor paling penting bagi perusahaan distribusi energi di Indonesia.</w:t>
      </w:r>
      <w:r>
        <w:t xml:space="preserve"> </w:t>
      </w:r>
      <w:r>
        <w:t xml:space="preserve">Argumennya bersifat struktural, bukan situasional. Pertama, Indonesia menempatkan BBM sebagai barang strategis dengan harga eceran bersubsidi yang ditetapkan negara dan distribusi yang didominasi BUMN, sehingga pasar BBM bukan pasar bebas melainkan pasar yang diadministrasi. Kedua, instrumen negara bekerja langsung pada volume dan harga, berbeda dengan faktor ekonomi yang bekerja melalui biaya input yang dapat diteruskan, dan faktor teknologi yang bekerja melalui substitusi permintaan dalam horizon puluhan tahun. Ketiga, faktor pemerintah juga memediasi dua faktor lainnya: kecepatan transisi energi di Indonesia ditentukan oleh mandatori biofuel, insentif EV, dan aturan ketenagalistrikan, sementara transmisi guncangan harga minyak ke konsumen ditentukan oleh keputusan harga eceran dan kompensasi fiskal. Implikasinya, kapabilitas membaca, mengantisipasi, dan ikut membentuk kebijakan adalah kompetensi inti yang harus dimiliki perusahaan, dan diversifikasi menuju pendapatan yang tidak bergantung pada kuota (utilitas kawasan, logistik pihak ketiga) adalah lindung nilai strategis terhadap faktor ini.</w:t>
      </w:r>
    </w:p>
    <w:bookmarkEnd w:id="33"/>
    <w:bookmarkStart w:id="37" w:name="Xde45a61c269809795027e946d3b4509f08c242f"/>
    <w:p>
      <w:pPr>
        <w:pStyle w:val="Heading2"/>
      </w:pPr>
      <w:r>
        <w:t xml:space="preserve">2.6 Kerangka Analisis dan Kriteria Pemilihan Inovasi</w:t>
      </w:r>
    </w:p>
    <w:p>
      <w:pPr>
        <w:pStyle w:val="FirstParagraph"/>
      </w:pPr>
      <w:r>
        <w:t xml:space="preserve">Kerangka analisis Bab 4 mengikuti alur empat tahap pada Gambar 2.1.</w:t>
      </w:r>
      <w:r>
        <w:t xml:space="preserve"> </w:t>
      </w:r>
      <w:r>
        <w:rPr>
          <w:iCs/>
          <w:i/>
        </w:rPr>
        <w:t xml:space="preserve">Issue</w:t>
      </w:r>
      <w:r>
        <w:t xml:space="preserve"> </w:t>
      </w:r>
      <w:r>
        <w:t xml:space="preserve">adalah gejala yang teramati pada 2024–2026 dengan bukti bersitasi.</w:t>
      </w:r>
      <w:r>
        <w:t xml:space="preserve"> </w:t>
      </w:r>
      <w:r>
        <w:rPr>
          <w:iCs/>
          <w:i/>
        </w:rPr>
        <w:t xml:space="preserve">Key factor</w:t>
      </w:r>
      <w:r>
        <w:t xml:space="preserve"> </w:t>
      </w:r>
      <w:r>
        <w:t xml:space="preserve">penyebab adalah kekuatan di luar kendali perusahaan yang menjelaskan mengapa gejala itu muncul, dibedakan dari gejala itu sendiri dan didukung mekanisme sebab-akibat dari literatur.</w:t>
      </w:r>
      <w:r>
        <w:t xml:space="preserve"> </w:t>
      </w:r>
      <w:r>
        <w:rPr>
          <w:iCs/>
          <w:i/>
        </w:rPr>
        <w:t xml:space="preserve">Key action</w:t>
      </w:r>
      <w:r>
        <w:t xml:space="preserve"> </w:t>
      </w:r>
      <w:r>
        <w:t xml:space="preserve">adalah tindakan konkret perusahaan dengan pemilik, horizon, dan indikator. Usulan inovatif adalah respons yang mengubah model bisnis, bukan hanya memperbaiki operasi.</w:t>
      </w:r>
    </w:p>
    <w:p>
      <w:pPr>
        <w:pStyle w:val="CaptionedFigure"/>
      </w:pPr>
      <w:r>
        <w:drawing>
          <wp:inline>
            <wp:extent cx="5334000" cy="2182090"/>
            <wp:effectExtent b="0" l="0" r="0" t="0"/>
            <wp:docPr descr="Gambar 2.1 Kerangka analisis: Issue → Key Factor Penyebab → Key Action → Usulan Inovatif. Sumber: diadaptasi penulis dari kerangka kelas GBE dan Teece (2010)." title="" id="35" name="Picture"/>
            <a:graphic>
              <a:graphicData uri="http://schemas.openxmlformats.org/drawingml/2006/picture">
                <pic:pic>
                  <pic:nvPicPr>
                    <pic:cNvPr descr="fig_2_1_kerangka.png" id="36" name="Picture"/>
                    <pic:cNvPicPr>
                      <a:picLocks noChangeArrowheads="1" noChangeAspect="1"/>
                    </pic:cNvPicPr>
                  </pic:nvPicPr>
                  <pic:blipFill>
                    <a:blip r:embed="rId34"/>
                    <a:stretch>
                      <a:fillRect/>
                    </a:stretch>
                  </pic:blipFill>
                  <pic:spPr bwMode="auto">
                    <a:xfrm>
                      <a:off x="0" y="0"/>
                      <a:ext cx="5334000" cy="2182090"/>
                    </a:xfrm>
                    <a:prstGeom prst="rect">
                      <a:avLst/>
                    </a:prstGeom>
                    <a:noFill/>
                    <a:ln w="9525">
                      <a:noFill/>
                      <a:headEnd/>
                      <a:tailEnd/>
                    </a:ln>
                  </pic:spPr>
                </pic:pic>
              </a:graphicData>
            </a:graphic>
          </wp:inline>
        </w:drawing>
      </w:r>
    </w:p>
    <w:p>
      <w:pPr>
        <w:pStyle w:val="ImageCaption"/>
      </w:pPr>
      <w:r>
        <w:t xml:space="preserve">Gambar 2.1 Kerangka analisis: Issue → Key Factor Penyebab → Key Action → Usulan Inovatif. Sumber: diadaptasi penulis dari kerangka kelas GBE dan Teece (2010).</w:t>
      </w:r>
    </w:p>
    <w:p>
      <w:pPr>
        <w:pStyle w:val="BodyText"/>
      </w:pPr>
      <w:r>
        <w:t xml:space="preserve">Kriteria pemilihan inovasi mengikuti literatur inovasi model bisnis. Teece (2010,</w:t>
      </w:r>
      <w:r>
        <w:t xml:space="preserve"> </w:t>
      </w:r>
      <w:r>
        <w:rPr>
          <w:iCs/>
          <w:i/>
        </w:rPr>
        <w:t xml:space="preserve">Long Range Planning</w:t>
      </w:r>
      <w:r>
        <w:t xml:space="preserve">, SJR Q1) menegaskan bahwa model bisnis menjelaskan bagaimana perusahaan menciptakan nilai bagi pelanggan dan menangkap sebagian nilai itu, sehingga inovasi model bisnis harus dinilai dari proposisi nilai, mekanisme penangkapan nilai, dan kesulitan untuk ditiru. Zott dan Amit (2010,</w:t>
      </w:r>
      <w:r>
        <w:t xml:space="preserve"> </w:t>
      </w:r>
      <w:r>
        <w:rPr>
          <w:iCs/>
          <w:i/>
        </w:rPr>
        <w:t xml:space="preserve">Long Range Planning</w:t>
      </w:r>
      <w:r>
        <w:t xml:space="preserve">, SJR Q1) memandang model bisnis sebagai sistem aktivitas yang saling bergantung; kebaruan muncul dari konten aktivitas baru, struktur keterkaitan baru, atau tata kelola baru. Dari dua sumber ini dan dari konteks Bab 4, laporan ini menetapkan enam kriteria berbobot: kesesuaian dengan tiga faktor prioritas (25%), kelayakan finansial berdasarkan kapasitas neraca (20%), kecepatan implementasi (15%), risiko regulasi (15%), dampak keberlanjutan (10%), dan keunikan dibanding pesaing serta rencana resmi perusahaan (15%). Bobot terbesar pada kesesuaian faktor karena tugas laporan ini adalah menjawab lingkungan eksternal; bobot keunikan dipisahkan agar usulan yang hanya mengulang rencana resmi perusahaan tidak lolos sebagai inovasi.</w:t>
      </w:r>
    </w:p>
    <w:p>
      <w:r>
        <w:br w:type="page"/>
      </w:r>
    </w:p>
    <w:bookmarkEnd w:id="37"/>
    <w:bookmarkEnd w:id="38"/>
    <w:bookmarkStart w:id="47" w:name="bab-3-profil-industri-dan-entitas"/>
    <w:p>
      <w:pPr>
        <w:pStyle w:val="Heading1"/>
      </w:pPr>
      <w:r>
        <w:t xml:space="preserve">BAB 3 PROFIL INDUSTRI DAN ENTITAS</w:t>
      </w:r>
    </w:p>
    <w:bookmarkStart w:id="39" w:name="Xd97313ed1e6672fc5bd8bfa44657a486b8c9e80"/>
    <w:p>
      <w:pPr>
        <w:pStyle w:val="Heading2"/>
      </w:pPr>
      <w:r>
        <w:t xml:space="preserve">3.1 Industri Distribusi BBM dan Kimia Dasar di Indonesia</w:t>
      </w:r>
    </w:p>
    <w:p>
      <w:pPr>
        <w:pStyle w:val="FirstParagraph"/>
      </w:pPr>
      <w:r>
        <w:t xml:space="preserve">Industri hilir migas Indonesia diatur oleh Kementerian ESDM (kebijakan, kuota impor, harga acuan, mandatori biofuel) dan Badan Pengatur Hilir Minyak dan Gas Bumi (BPH Migas) yang menetapkan kuota dan penugasan penyaluran BBM bersubsidi serta BBM penugasan. Pasar terbagi menjadi BBM bersubsidi dan penugasan (Solar bersubsidi, Pertalite) yang harganya ditetapkan pemerintah dan selisihnya dibayar melalui subsidi dan kompensasi, serta BBM nonsubsidi (RON 92 ke atas, Dexlite, Dex) yang harganya ditetapkan badan usaha dengan mengacu pada formula Kepmen ESDM. Realisasi subsidi dan kompensasi energi mencapai Rp376,8 triliun hingga 30 September 2026, naik 54,1% dari periode yang sama 2025, dengan volume BBM bersubsidi 13,41 juta kiloliter (ANTARA, 9 Oktober 2026; Kontan, 10 Oktober 2026). Pertamina melalui PT Pertamina Patra Niaga mendominasi ritel dengan lebih dari 6.400 SPBU [VERIFIKASI: jumlah SPBU Pertamina 2026, CNBC Indonesia 10 Juli 2026], sementara pemain swasta—Shell, bp AKR, Vivo, dan ExxonMobil—bergantung pada kuota impor yang ditetapkan per periode. Pada 2025 kuota itu habis pada pertengahan Agustus untuk Shell dan bp AKR serta Oktober untuk Vivo; kuota 2026 dinaikkan sekitar 10% dan persetujuan dikembalikan ke skema enam bulanan (Katadata, 5 Januari 2026; Bloomberg Technoz, 26 Januari 2026). Mandatori biodiesel naik dari B40 (sejak 1 Januari 2025) ke B50 melalui Kepmen ESDM Nomor 257.K/EK.01/MEM.E/2026 yang berlaku 1 Juli 2026 dengan masa transisi hingga peredaran nasional 1 Oktober 2026 (CNBC Indonesia, 1 Juli 2026; CNBC Indonesia, 10 Juli 2026). Implementasi B40 pada 2025 menyerap sekitar 15,6 juta kiloliter biodiesel (AKR Corporindo, 2026a, hlm. 140).</w:t>
      </w:r>
    </w:p>
    <w:p>
      <w:pPr>
        <w:pStyle w:val="BodyText"/>
      </w:pPr>
      <w:r>
        <w:t xml:space="preserve">Segmen BBM industri nonsubsidi (solar industri, IDO, MFO) lebih terbuka: pemegang izin niaga umum dapat mengimpor dan menjual langsung ke pertambangan, pembangkit, pabrik, dan kapal dengan harga formula. Pelanggan terbesar adalah pertambangan dan smelter; per 2025 Indonesia memiliki 54 smelter nikel beroperasi, 38 dalam konstruksi, dan 45 direncanakan (AKR Corporindo, 2026a, hlm. 140). Industri kimia dasar bersifat</w:t>
      </w:r>
      <w:r>
        <w:t xml:space="preserve"> </w:t>
      </w:r>
      <w:r>
        <w:rPr>
          <w:iCs/>
          <w:i/>
        </w:rPr>
        <w:t xml:space="preserve">business-to-business</w:t>
      </w:r>
      <w:r>
        <w:t xml:space="preserve">; distributor bersaing pada keandalan pasokan, kapasitas tangki, dan jangkauan pelabuhan. Tabel 3.1 merangkum pemain utama.</w:t>
      </w:r>
    </w:p>
    <w:p>
      <w:pPr>
        <w:pStyle w:val="BodyText"/>
      </w:pPr>
      <w:r>
        <w:rPr>
          <w:bCs/>
          <w:b/>
        </w:rPr>
        <w:t xml:space="preserve">Tabel 3.1 Pemain utama distribusi BBM ritel dan industri di Indonesia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Pemain</w:t>
            </w:r>
          </w:p>
        </w:tc>
        <w:tc>
          <w:tcPr/>
          <w:p>
            <w:pPr>
              <w:pStyle w:val="Compact"/>
              <w:jc w:val="left"/>
            </w:pPr>
            <w:r>
              <w:t xml:space="preserve">Status</w:t>
            </w:r>
          </w:p>
        </w:tc>
        <w:tc>
          <w:tcPr/>
          <w:p>
            <w:pPr>
              <w:pStyle w:val="Compact"/>
              <w:jc w:val="left"/>
            </w:pPr>
            <w:r>
              <w:t xml:space="preserve">Segmen utama</w:t>
            </w:r>
          </w:p>
        </w:tc>
        <w:tc>
          <w:tcPr/>
          <w:p>
            <w:pPr>
              <w:pStyle w:val="Compact"/>
              <w:jc w:val="left"/>
            </w:pPr>
            <w:r>
              <w:t xml:space="preserve">Sumber pasokan</w:t>
            </w:r>
          </w:p>
        </w:tc>
        <w:tc>
          <w:tcPr/>
          <w:p>
            <w:pPr>
              <w:pStyle w:val="Compact"/>
              <w:jc w:val="left"/>
            </w:pPr>
            <w:r>
              <w:t xml:space="preserve">Catatan 2025–2026</w:t>
            </w:r>
          </w:p>
        </w:tc>
      </w:tr>
      <w:tr>
        <w:tc>
          <w:tcPr/>
          <w:p>
            <w:pPr>
              <w:pStyle w:val="Compact"/>
              <w:jc w:val="left"/>
            </w:pPr>
            <w:r>
              <w:t xml:space="preserve">PT Pertamina Patra Niaga</w:t>
            </w:r>
          </w:p>
        </w:tc>
        <w:tc>
          <w:tcPr/>
          <w:p>
            <w:pPr>
              <w:pStyle w:val="Compact"/>
              <w:jc w:val="left"/>
            </w:pPr>
            <w:r>
              <w:t xml:space="preserve">BUMN</w:t>
            </w:r>
          </w:p>
        </w:tc>
        <w:tc>
          <w:tcPr/>
          <w:p>
            <w:pPr>
              <w:pStyle w:val="Compact"/>
              <w:jc w:val="left"/>
            </w:pPr>
            <w:r>
              <w:t xml:space="preserve">Ritel bersubsidi dan nonsubsidi, industri, avtur</w:t>
            </w:r>
          </w:p>
        </w:tc>
        <w:tc>
          <w:tcPr/>
          <w:p>
            <w:pPr>
              <w:pStyle w:val="Compact"/>
              <w:jc w:val="left"/>
            </w:pPr>
            <w:r>
              <w:t xml:space="preserve">Kilang Pertamina + impor</w:t>
            </w:r>
          </w:p>
        </w:tc>
        <w:tc>
          <w:tcPr/>
          <w:p>
            <w:pPr>
              <w:pStyle w:val="Compact"/>
              <w:jc w:val="left"/>
            </w:pPr>
            <w:r>
              <w:t xml:space="preserve">&gt;6.400 SPBU [VERIFIKASI]; menjual</w:t>
            </w:r>
            <w:r>
              <w:t xml:space="preserve"> </w:t>
            </w:r>
            <w:r>
              <w:rPr>
                <w:iCs/>
                <w:i/>
              </w:rPr>
              <w:t xml:space="preserve">base fuel</w:t>
            </w:r>
            <w:r>
              <w:t xml:space="preserve"> </w:t>
            </w:r>
            <w:r>
              <w:t xml:space="preserve">ke swasta sejak akhir 2025</w:t>
            </w:r>
          </w:p>
        </w:tc>
      </w:tr>
      <w:tr>
        <w:tc>
          <w:tcPr/>
          <w:p>
            <w:pPr>
              <w:pStyle w:val="Compact"/>
              <w:jc w:val="left"/>
            </w:pPr>
            <w:r>
              <w:t xml:space="preserve">bp AKR (PT Aneka Petroindo Raya, AKR 50,1%)</w:t>
            </w:r>
          </w:p>
        </w:tc>
        <w:tc>
          <w:tcPr/>
          <w:p>
            <w:pPr>
              <w:pStyle w:val="Compact"/>
              <w:jc w:val="left"/>
            </w:pPr>
            <w:r>
              <w:t xml:space="preserve">Swasta, JV bp–AKR</w:t>
            </w:r>
          </w:p>
        </w:tc>
        <w:tc>
          <w:tcPr/>
          <w:p>
            <w:pPr>
              <w:pStyle w:val="Compact"/>
              <w:jc w:val="left"/>
            </w:pPr>
            <w:r>
              <w:t xml:space="preserve">Ritel nonsubsidi RON 92/95, diesel</w:t>
            </w:r>
          </w:p>
        </w:tc>
        <w:tc>
          <w:tcPr/>
          <w:p>
            <w:pPr>
              <w:pStyle w:val="Compact"/>
              <w:jc w:val="left"/>
            </w:pPr>
            <w:r>
              <w:t xml:space="preserve">Impor dengan kuota ESDM; pembelian 100.000 barel</w:t>
            </w:r>
            <w:r>
              <w:t xml:space="preserve"> </w:t>
            </w:r>
            <w:r>
              <w:rPr>
                <w:iCs/>
                <w:i/>
              </w:rPr>
              <w:t xml:space="preserve">base fuel</w:t>
            </w:r>
            <w:r>
              <w:t xml:space="preserve"> </w:t>
            </w:r>
            <w:r>
              <w:t xml:space="preserve">dari Pertamina (Okt–Nov 2025)</w:t>
            </w:r>
          </w:p>
        </w:tc>
        <w:tc>
          <w:tcPr/>
          <w:p>
            <w:pPr>
              <w:pStyle w:val="Compact"/>
              <w:jc w:val="left"/>
            </w:pPr>
            <w:r>
              <w:t xml:space="preserve">72 SPBU akhir 2025 (AKR Corporindo, 2026a, hlm. 69); kuota habis Agustus 2025</w:t>
            </w:r>
          </w:p>
        </w:tc>
      </w:tr>
      <w:tr>
        <w:tc>
          <w:tcPr/>
          <w:p>
            <w:pPr>
              <w:pStyle w:val="Compact"/>
              <w:jc w:val="left"/>
            </w:pPr>
            <w:r>
              <w:t xml:space="preserve">Shell Indonesia</w:t>
            </w:r>
          </w:p>
        </w:tc>
        <w:tc>
          <w:tcPr/>
          <w:p>
            <w:pPr>
              <w:pStyle w:val="Compact"/>
              <w:jc w:val="left"/>
            </w:pPr>
            <w:r>
              <w:t xml:space="preserve">Swasta asing</w:t>
            </w:r>
          </w:p>
        </w:tc>
        <w:tc>
          <w:tcPr/>
          <w:p>
            <w:pPr>
              <w:pStyle w:val="Compact"/>
              <w:jc w:val="left"/>
            </w:pPr>
            <w:r>
              <w:t xml:space="preserve">Ritel nonsubsidi, pelumas</w:t>
            </w:r>
          </w:p>
        </w:tc>
        <w:tc>
          <w:tcPr/>
          <w:p>
            <w:pPr>
              <w:pStyle w:val="Compact"/>
              <w:jc w:val="left"/>
            </w:pPr>
            <w:r>
              <w:t xml:space="preserve">Impor dengan kuota</w:t>
            </w:r>
          </w:p>
        </w:tc>
        <w:tc>
          <w:tcPr/>
          <w:p>
            <w:pPr>
              <w:pStyle w:val="Compact"/>
              <w:jc w:val="left"/>
            </w:pPr>
            <w:r>
              <w:t xml:space="preserve">Kuota habis Agustus 2025; jumlah SPBU [VERIFIKASI]</w:t>
            </w:r>
          </w:p>
        </w:tc>
      </w:tr>
      <w:tr>
        <w:tc>
          <w:tcPr/>
          <w:p>
            <w:pPr>
              <w:pStyle w:val="Compact"/>
              <w:jc w:val="left"/>
            </w:pPr>
            <w:r>
              <w:t xml:space="preserve">Vivo Energy Indonesia</w:t>
            </w:r>
          </w:p>
        </w:tc>
        <w:tc>
          <w:tcPr/>
          <w:p>
            <w:pPr>
              <w:pStyle w:val="Compact"/>
              <w:jc w:val="left"/>
            </w:pPr>
            <w:r>
              <w:t xml:space="preserve">Swasta</w:t>
            </w:r>
          </w:p>
        </w:tc>
        <w:tc>
          <w:tcPr/>
          <w:p>
            <w:pPr>
              <w:pStyle w:val="Compact"/>
              <w:jc w:val="left"/>
            </w:pPr>
            <w:r>
              <w:t xml:space="preserve">Ritel nonsubsidi</w:t>
            </w:r>
          </w:p>
        </w:tc>
        <w:tc>
          <w:tcPr/>
          <w:p>
            <w:pPr>
              <w:pStyle w:val="Compact"/>
              <w:jc w:val="left"/>
            </w:pPr>
            <w:r>
              <w:t xml:space="preserve">Impor dengan kuota</w:t>
            </w:r>
          </w:p>
        </w:tc>
        <w:tc>
          <w:tcPr/>
          <w:p>
            <w:pPr>
              <w:pStyle w:val="Compact"/>
              <w:jc w:val="left"/>
            </w:pPr>
            <w:r>
              <w:t xml:space="preserve">Kuota habis Oktober 2025; jumlah SPBU [VERIFIKASI]</w:t>
            </w:r>
          </w:p>
        </w:tc>
      </w:tr>
      <w:tr>
        <w:tc>
          <w:tcPr/>
          <w:p>
            <w:pPr>
              <w:pStyle w:val="Compact"/>
              <w:jc w:val="left"/>
            </w:pPr>
            <w:r>
              <w:t xml:space="preserve">ExxonMobil (Mobil)</w:t>
            </w:r>
          </w:p>
        </w:tc>
        <w:tc>
          <w:tcPr/>
          <w:p>
            <w:pPr>
              <w:pStyle w:val="Compact"/>
              <w:jc w:val="left"/>
            </w:pPr>
            <w:r>
              <w:t xml:space="preserve">Swasta asing</w:t>
            </w:r>
          </w:p>
        </w:tc>
        <w:tc>
          <w:tcPr/>
          <w:p>
            <w:pPr>
              <w:pStyle w:val="Compact"/>
              <w:jc w:val="left"/>
            </w:pPr>
            <w:r>
              <w:t xml:space="preserve">Ritel nonsubsidi, pelumas</w:t>
            </w:r>
          </w:p>
        </w:tc>
        <w:tc>
          <w:tcPr/>
          <w:p>
            <w:pPr>
              <w:pStyle w:val="Compact"/>
              <w:jc w:val="left"/>
            </w:pPr>
            <w:r>
              <w:t xml:space="preserve">Impor dengan kuota</w:t>
            </w:r>
          </w:p>
        </w:tc>
        <w:tc>
          <w:tcPr/>
          <w:p>
            <w:pPr>
              <w:pStyle w:val="Compact"/>
              <w:jc w:val="left"/>
            </w:pPr>
            <w:r>
              <w:t xml:space="preserve">Jaringan terbatas [VERIFIKASI]</w:t>
            </w:r>
          </w:p>
        </w:tc>
      </w:tr>
      <w:tr>
        <w:tc>
          <w:tcPr/>
          <w:p>
            <w:pPr>
              <w:pStyle w:val="Compact"/>
              <w:jc w:val="left"/>
            </w:pPr>
            <w:r>
              <w:t xml:space="preserve">PT AKR Corporindo Tbk (induk)</w:t>
            </w:r>
          </w:p>
        </w:tc>
        <w:tc>
          <w:tcPr/>
          <w:p>
            <w:pPr>
              <w:pStyle w:val="Compact"/>
              <w:jc w:val="left"/>
            </w:pPr>
            <w:r>
              <w:t xml:space="preserve">Swasta, Tbk</w:t>
            </w:r>
          </w:p>
        </w:tc>
        <w:tc>
          <w:tcPr/>
          <w:p>
            <w:pPr>
              <w:pStyle w:val="Compact"/>
              <w:jc w:val="left"/>
            </w:pPr>
            <w:r>
              <w:t xml:space="preserve">BBM industri nonsubsidi, BBM bersubsidi penugasan BPH Migas (AKRA SOL), kimia dasar</w:t>
            </w:r>
          </w:p>
        </w:tc>
        <w:tc>
          <w:tcPr/>
          <w:p>
            <w:pPr>
              <w:pStyle w:val="Compact"/>
              <w:jc w:val="left"/>
            </w:pPr>
            <w:r>
              <w:t xml:space="preserve">Impor + FAME domestik; penugasan 181.000 KL solar 2026 (AKR Corporindo, 2026a, hlm. 411)</w:t>
            </w:r>
          </w:p>
        </w:tc>
        <w:tc>
          <w:tcPr/>
          <w:p>
            <w:pPr>
              <w:pStyle w:val="Compact"/>
              <w:jc w:val="left"/>
            </w:pPr>
            <w:r>
              <w:t xml:space="preserve">Satu-satunya swasta penyalur BBM bersubsidi sejak 2010 (AKR Corporindo, 2026a, hlm. 69)</w:t>
            </w:r>
          </w:p>
        </w:tc>
      </w:tr>
    </w:tbl>
    <w:p>
      <w:pPr>
        <w:pStyle w:val="BodyText"/>
      </w:pPr>
      <w:r>
        <w:t xml:space="preserve">Sumber: AKR Corporindo (2026a); Katadata (5 Januari 2026); Katadata (7 November 2025); Bisnis Indonesia (24 November 2025); kompilasi penulis. Angka pesaing bertanda [VERIFIKASI] perlu dicek ke laporan masing-masing.</w:t>
      </w:r>
    </w:p>
    <w:bookmarkEnd w:id="39"/>
    <w:bookmarkStart w:id="40" w:name="X9c02f593848b3efdde37a0e5fdfcac28eb26a81"/>
    <w:p>
      <w:pPr>
        <w:pStyle w:val="Heading2"/>
      </w:pPr>
      <w:r>
        <w:t xml:space="preserve">3.2 Industri Kawasan Industri Terpadu dan Kawasan Ekonomi Khusus</w:t>
      </w:r>
    </w:p>
    <w:p>
      <w:pPr>
        <w:pStyle w:val="FirstParagraph"/>
      </w:pPr>
      <w:r>
        <w:t xml:space="preserve">Kawasan Ekonomi Khusus diatur Undang-Undang Nomor 39 Tahun 2009 sebagaimana diubah melalui UU Cipta Kerja dan Peraturan Pemerintah Nomor 40 Tahun 2021 tentang penyelenggaraan KEK, yang memberikan fasilitas</w:t>
      </w:r>
      <w:r>
        <w:t xml:space="preserve"> </w:t>
      </w:r>
      <w:r>
        <w:rPr>
          <w:iCs/>
          <w:i/>
        </w:rPr>
        <w:t xml:space="preserve">tax holiday</w:t>
      </w:r>
      <w:r>
        <w:t xml:space="preserve">, pembebasan bea masuk dan PPN untuk barang modal, serta perizinan terpadu melalui Administrator KEK. JIIPE ditetapkan sebagai KEK Gresik melalui PP Nomor 71 Tahun 2021 dan dinyatakan beroperasi melalui Keputusan Menko Perekonomian Nomor 1 Tahun 2022 (AKR Corporindo, 2026a, hlm. 118). Dalam agenda hilirisasi mineral, JIIPE berperan sebagai lokasi smelter tembaga</w:t>
      </w:r>
      <w:r>
        <w:t xml:space="preserve"> </w:t>
      </w:r>
      <w:r>
        <w:rPr>
          <w:iCs/>
          <w:i/>
        </w:rPr>
        <w:t xml:space="preserve">single line</w:t>
      </w:r>
      <w:r>
        <w:t xml:space="preserve"> </w:t>
      </w:r>
      <w:r>
        <w:t xml:space="preserve">dan</w:t>
      </w:r>
      <w:r>
        <w:t xml:space="preserve"> </w:t>
      </w:r>
      <w:r>
        <w:rPr>
          <w:iCs/>
          <w:i/>
        </w:rPr>
        <w:t xml:space="preserve">Precious Metal Refinery</w:t>
      </w:r>
      <w:r>
        <w:t xml:space="preserve"> </w:t>
      </w:r>
      <w:r>
        <w:t xml:space="preserve">PT Freeport Indonesia, pabrik kaca dan kaca surya Xinyi,</w:t>
      </w:r>
      <w:r>
        <w:t xml:space="preserve"> </w:t>
      </w:r>
      <w:r>
        <w:rPr>
          <w:iCs/>
          <w:i/>
        </w:rPr>
        <w:t xml:space="preserve">copper foil</w:t>
      </w:r>
      <w:r>
        <w:t xml:space="preserve"> </w:t>
      </w:r>
      <w:r>
        <w:t xml:space="preserve">Hailiang, serta pabrik kimia Golden Elephant Specialty Chemicals senilai sekitar USD 600 juta (AKR Corporindo, 2026a, hlm. 118, 120; AKR Corporindo, 2026b, hlm. 36). Klaster logam–kimia–kaca ini memberi JIIPE posisi berbeda dari kawasan industri Jawa Barat dan Banten yang didominasi otomotif dan elektronik; pesaing langsung untuk tenant berbasis pelabuhan laut dalam di Jawa Timur relatif terbatas, meskipun kawasan industri di Kendal, Batang, dan Subang bersaing untuk investasi manufaktur umum [VERIFIKASI: perbandingan kawasan pesaing dari HKI/Kemenperin].</w:t>
      </w:r>
    </w:p>
    <w:p>
      <w:pPr>
        <w:pStyle w:val="BodyText"/>
      </w:pPr>
      <w:r>
        <w:t xml:space="preserve">Frick et al. (2019) menunjukkan bahwa KEK yang berhasil menyediakan akses pasar dan infrastruktur, bukan sekadar insentif pajak, dan Wang (2013,</w:t>
      </w:r>
      <w:r>
        <w:t xml:space="preserve"> </w:t>
      </w:r>
      <w:r>
        <w:rPr>
          <w:iCs/>
          <w:i/>
        </w:rPr>
        <w:t xml:space="preserve">Journal of Development Economics</w:t>
      </w:r>
      <w:r>
        <w:t xml:space="preserve">, SJR Q1) menemukan KEK Tiongkok menaikkan investasi asing dan upah. Keunggulan JIIPE memang bersifat fisik: pelabuhan −16 LWS dengan dermaga 6.200 meter dan kapasitas kapal 100.000 DWT, listrik berlisensi 515 MW dengan pasokan gas pipa PGN dan dukungan PLN 500 MVA, desalinasi 2.400 m³/hari, serta pengolahan limbah 2.500 m³/hari (AKR Corporindo, 2026a, hlm. 118–119).</w:t>
      </w:r>
    </w:p>
    <w:bookmarkEnd w:id="40"/>
    <w:bookmarkStart w:id="44" w:name="profil-pt-akr-corporindo-tbk"/>
    <w:p>
      <w:pPr>
        <w:pStyle w:val="Heading2"/>
      </w:pPr>
      <w:r>
        <w:t xml:space="preserve">3.3 Profil PT AKR Corporindo Tbk</w:t>
      </w:r>
    </w:p>
    <w:p>
      <w:pPr>
        <w:pStyle w:val="FirstParagraph"/>
      </w:pPr>
      <w:r>
        <w:t xml:space="preserve">AKR memulai usaha perdagangan kimia dasar di Surabaya pada 1960; badan hukum PT Aneka Kimia Raya didirikan dengan Akta Nomor 46 tanggal 28 November 1977, tercatat di Bursa Efek Indonesia pada 3 Oktober 1994 dengan kode AKRA, dan berganti nama menjadi PT AKR Corporindo Tbk pada 23 September 2004 (AKR Corporindo, 2026a, hlm. 8, 60–61, 64). Laporan Tahunan menyebut tahun pendirian 1970 pada halaman 8 dan akta 1977 pada halaman 60; laporan ini menggunakan tahun akta. Per 31 Desember 2025 pemegang saham pengendali adalah PT Arthakencana Rayatama 63,71%, publik 32,78%, manajemen 2,15%, dan saham treasuri 1,36%, dengan 2.474 karyawan (AKR Corporindo, 2026a, hlm. 59). Visi perusahaan adalah menjadi penyedia terdepan jasa logistik dan solusi pengadaan untuk bahan kimia dan energi di Indonesia, dan misinya mengoptimalkan potensi untuk membangun nilai pemangku kepentingan yang berkelanjutan (AKR Corporindo, 2026a, hlm. 198) [VERIFIKASI: redaksi resmi visi-misi pada AR hlm. 6]. Nilai perusahaan mencakup</w:t>
      </w:r>
      <w:r>
        <w:t xml:space="preserve"> </w:t>
      </w:r>
      <w:r>
        <w:rPr>
          <w:iCs/>
          <w:i/>
        </w:rPr>
        <w:t xml:space="preserve">Be Agile</w:t>
      </w:r>
      <w:r>
        <w:t xml:space="preserve">,</w:t>
      </w:r>
      <w:r>
        <w:t xml:space="preserve"> </w:t>
      </w:r>
      <w:r>
        <w:rPr>
          <w:iCs/>
          <w:i/>
        </w:rPr>
        <w:t xml:space="preserve">Empower Your Team</w:t>
      </w:r>
      <w:r>
        <w:t xml:space="preserve">, dan</w:t>
      </w:r>
      <w:r>
        <w:t xml:space="preserve"> </w:t>
      </w:r>
      <w:r>
        <w:rPr>
          <w:iCs/>
          <w:i/>
        </w:rPr>
        <w:t xml:space="preserve">Zero Tolerance</w:t>
      </w:r>
      <w:r>
        <w:t xml:space="preserve"> </w:t>
      </w:r>
      <w:r>
        <w:t xml:space="preserve">(AKR Corporindo, 2026a, hlm. 63). Lima pilar strategis 2025 adalah</w:t>
      </w:r>
      <w:r>
        <w:t xml:space="preserve"> </w:t>
      </w:r>
      <w:r>
        <w:rPr>
          <w:iCs/>
          <w:i/>
        </w:rPr>
        <w:t xml:space="preserve">Energy &amp; Industrial Connectivity</w:t>
      </w:r>
      <w:r>
        <w:t xml:space="preserve">,</w:t>
      </w:r>
      <w:r>
        <w:t xml:space="preserve"> </w:t>
      </w:r>
      <w:r>
        <w:rPr>
          <w:iCs/>
          <w:i/>
        </w:rPr>
        <w:t xml:space="preserve">Operational Excellence &amp; Financial Resilience</w:t>
      </w:r>
      <w:r>
        <w:t xml:space="preserve">,</w:t>
      </w:r>
      <w:r>
        <w:t xml:space="preserve"> </w:t>
      </w:r>
      <w:r>
        <w:rPr>
          <w:iCs/>
          <w:i/>
        </w:rPr>
        <w:t xml:space="preserve">Trusted Governance &amp; Responsible Growth</w:t>
      </w:r>
      <w:r>
        <w:t xml:space="preserve">,</w:t>
      </w:r>
      <w:r>
        <w:t xml:space="preserve"> </w:t>
      </w:r>
      <w:r>
        <w:rPr>
          <w:iCs/>
          <w:i/>
        </w:rPr>
        <w:t xml:space="preserve">Integrated &amp; Competitive Industrial Ecosystems</w:t>
      </w:r>
      <w:r>
        <w:t xml:space="preserve">, dan</w:t>
      </w:r>
      <w:r>
        <w:t xml:space="preserve"> </w:t>
      </w:r>
      <w:r>
        <w:rPr>
          <w:iCs/>
          <w:i/>
        </w:rPr>
        <w:t xml:space="preserve">Strategic Partnerships &amp; Market Confidence</w:t>
      </w:r>
      <w:r>
        <w:t xml:space="preserve"> </w:t>
      </w:r>
      <w:r>
        <w:t xml:space="preserve">(AKR Corporindo, 2026a, hlm. 7).</w:t>
      </w:r>
    </w:p>
    <w:p>
      <w:pPr>
        <w:pStyle w:val="BodyText"/>
      </w:pPr>
      <w:r>
        <w:t xml:space="preserve">Empat segmen operasi resmi adalah (1) Trading and Distribution of Petroleum and Basic Chemicals, (2) Logistics Infrastructure, (3) Manufacturing, dan (4) Integrated Industrial Estate and Port (AKR Corporindo, 2026a, hlm. 68). Segmen pertama mencakup BBM industri nonsubsidi (B40, IDO, MFO) sejak 2005, ritel nonsubsidi melalui bp AKR sejak 2017, BBM bersubsidi melalui SPBKB dan SPBN AKRA SOL dengan penugasan BPH Migas selama hampir 16 tahun termasuk program BBM Satu Harga di daerah 3T, alokasi FAME terbesar di antara swasta untuk B40, kimia dasar sebagai distributor utama PT Asahimas Chemical, pelumas Castrol melalui PT Anugerah Lubrindo Raya (80%), dan avtur melalui PT Dirgantara Petroindo Raya (50,1%, bersama Air bp) (AKR Corporindo, 2026a, hlm. 68–70, 99–100). Segmen logistik mencakup PT Jakarta Tank Terminal (51%, bersama Royal Vopak, kapasitas 350.000 m³), PT AKR Sea Transport, dan PT AKR Transportasi Indonesia; segmen manufaktur adalah PT Arjuna Utama Kimia (perekat kayu, kapasitas 100.000 ton); segmen kawasan industri dijalankan melalui PT Usaha Era Pratama Nusantara yang memiliki 60% PT Berkah Kawasan Manyar Sejahtera (pengembang; Pelindo 40%) dan 40% PT Berlian Manyar Sejahtera (pelabuhan; konsesi 76 tahun), serta PT Berkah Buana Energi (65%, gas pipa) dan PT Berkah Renewable Energi Nusantara (99,97%, pembangkit EBT) (AKR Corporindo, 2026a, hlm. 60, 64, 99–100, 116–117). Jejak operasi mencakup 19 pelabuhan laut dan sungai, 21 terminal tangki berkapasitas 820.400 KL, 14 kapal dan SPOB, sekitar 250 truk tangki, dan 176 SPBU gabungan AKR dan bp AKR (AKR Corporindo, 2026a, hlm. 15; AKR Corporindo, 2026b, hlm. 18). Gambar 3.1 merangkum struktur grup.</w:t>
      </w:r>
    </w:p>
    <w:p>
      <w:pPr>
        <w:pStyle w:val="CaptionedFigure"/>
      </w:pPr>
      <w:r>
        <w:drawing>
          <wp:inline>
            <wp:extent cx="5334000" cy="3111500"/>
            <wp:effectExtent b="0" l="0" r="0" t="0"/>
            <wp:docPr descr="Gambar 3.1 Struktur grup PT AKR Corporindo Tbk, entitas kunci dan persentase kepemilikan. Sumber: AKR Corporindo (2026a, hlm. 99–100)." title="" id="42" name="Picture"/>
            <a:graphic>
              <a:graphicData uri="http://schemas.openxmlformats.org/drawingml/2006/picture">
                <pic:pic>
                  <pic:nvPicPr>
                    <pic:cNvPr descr="fig_3_1_struktur.png" id="43" name="Picture"/>
                    <pic:cNvPicPr>
                      <a:picLocks noChangeArrowheads="1" noChangeAspect="1"/>
                    </pic:cNvPicPr>
                  </pic:nvPicPr>
                  <pic:blipFill>
                    <a:blip r:embed="rId41"/>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Gambar 3.1 Struktur grup PT AKR Corporindo Tbk, entitas kunci dan persentase kepemilikan. Sumber: AKR Corporindo (2026a, hlm. 99–100).</w:t>
      </w:r>
    </w:p>
    <w:bookmarkEnd w:id="44"/>
    <w:bookmarkStart w:id="45" w:name="ikhtisar-kinerja-20212025"/>
    <w:p>
      <w:pPr>
        <w:pStyle w:val="Heading2"/>
      </w:pPr>
      <w:r>
        <w:t xml:space="preserve">3.4 Ikhtisar Kinerja 2021–2025</w:t>
      </w:r>
    </w:p>
    <w:p>
      <w:pPr>
        <w:pStyle w:val="FirstParagraph"/>
      </w:pPr>
      <w:r>
        <w:rPr>
          <w:bCs/>
          <w:b/>
        </w:rPr>
        <w:t xml:space="preserve">Tabel 3.2 Ikhtisar kinerja PT AKR Corporindo Tbk 2021–2025 (Rp miliar kecuali dinyatakan lain)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Indikator</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Pendapatan</w:t>
            </w:r>
          </w:p>
        </w:tc>
        <w:tc>
          <w:tcPr/>
          <w:p>
            <w:pPr>
              <w:pStyle w:val="Compact"/>
              <w:jc w:val="left"/>
            </w:pPr>
            <w:r>
              <w:t xml:space="preserve">25.707</w:t>
            </w:r>
          </w:p>
        </w:tc>
        <w:tc>
          <w:tcPr/>
          <w:p>
            <w:pPr>
              <w:pStyle w:val="Compact"/>
              <w:jc w:val="left"/>
            </w:pPr>
            <w:r>
              <w:t xml:space="preserve">47.540</w:t>
            </w:r>
          </w:p>
        </w:tc>
        <w:tc>
          <w:tcPr/>
          <w:p>
            <w:pPr>
              <w:pStyle w:val="Compact"/>
              <w:jc w:val="left"/>
            </w:pPr>
            <w:r>
              <w:t xml:space="preserve">42.087</w:t>
            </w:r>
          </w:p>
        </w:tc>
        <w:tc>
          <w:tcPr/>
          <w:p>
            <w:pPr>
              <w:pStyle w:val="Compact"/>
              <w:jc w:val="left"/>
            </w:pPr>
            <w:r>
              <w:t xml:space="preserve">38.729</w:t>
            </w:r>
          </w:p>
        </w:tc>
        <w:tc>
          <w:tcPr/>
          <w:p>
            <w:pPr>
              <w:pStyle w:val="Compact"/>
              <w:jc w:val="left"/>
            </w:pPr>
            <w:r>
              <w:t xml:space="preserve">46.018</w:t>
            </w:r>
          </w:p>
        </w:tc>
      </w:tr>
      <w:tr>
        <w:tc>
          <w:tcPr/>
          <w:p>
            <w:pPr>
              <w:pStyle w:val="Compact"/>
              <w:jc w:val="left"/>
            </w:pPr>
            <w:r>
              <w:t xml:space="preserve">Laba kotor</w:t>
            </w:r>
          </w:p>
        </w:tc>
        <w:tc>
          <w:tcPr/>
          <w:p>
            <w:pPr>
              <w:pStyle w:val="Compact"/>
              <w:jc w:val="left"/>
            </w:pPr>
            <w:r>
              <w:t xml:space="preserve">2.293</w:t>
            </w:r>
          </w:p>
        </w:tc>
        <w:tc>
          <w:tcPr/>
          <w:p>
            <w:pPr>
              <w:pStyle w:val="Compact"/>
              <w:jc w:val="left"/>
            </w:pPr>
            <w:r>
              <w:t xml:space="preserve">4.252</w:t>
            </w:r>
          </w:p>
        </w:tc>
        <w:tc>
          <w:tcPr/>
          <w:p>
            <w:pPr>
              <w:pStyle w:val="Compact"/>
              <w:jc w:val="left"/>
            </w:pPr>
            <w:r>
              <w:t xml:space="preserve">4.473</w:t>
            </w:r>
          </w:p>
        </w:tc>
        <w:tc>
          <w:tcPr/>
          <w:p>
            <w:pPr>
              <w:pStyle w:val="Compact"/>
              <w:jc w:val="left"/>
            </w:pPr>
            <w:r>
              <w:t xml:space="preserve">3.509</w:t>
            </w:r>
          </w:p>
        </w:tc>
        <w:tc>
          <w:tcPr/>
          <w:p>
            <w:pPr>
              <w:pStyle w:val="Compact"/>
              <w:jc w:val="left"/>
            </w:pPr>
            <w:r>
              <w:t xml:space="preserve">4.098</w:t>
            </w:r>
          </w:p>
        </w:tc>
      </w:tr>
      <w:tr>
        <w:tc>
          <w:tcPr/>
          <w:p>
            <w:pPr>
              <w:pStyle w:val="Compact"/>
              <w:jc w:val="left"/>
            </w:pPr>
            <w:r>
              <w:t xml:space="preserve">Margin laba kotor (%)</w:t>
            </w:r>
          </w:p>
        </w:tc>
        <w:tc>
          <w:tcPr/>
          <w:p>
            <w:pPr>
              <w:pStyle w:val="Compact"/>
              <w:jc w:val="left"/>
            </w:pPr>
            <w:r>
              <w:t xml:space="preserve">8,9</w:t>
            </w:r>
          </w:p>
        </w:tc>
        <w:tc>
          <w:tcPr/>
          <w:p>
            <w:pPr>
              <w:pStyle w:val="Compact"/>
              <w:jc w:val="left"/>
            </w:pPr>
            <w:r>
              <w:t xml:space="preserve">8,9</w:t>
            </w:r>
          </w:p>
        </w:tc>
        <w:tc>
          <w:tcPr/>
          <w:p>
            <w:pPr>
              <w:pStyle w:val="Compact"/>
              <w:jc w:val="left"/>
            </w:pPr>
            <w:r>
              <w:t xml:space="preserve">10,6</w:t>
            </w:r>
          </w:p>
        </w:tc>
        <w:tc>
          <w:tcPr/>
          <w:p>
            <w:pPr>
              <w:pStyle w:val="Compact"/>
              <w:jc w:val="left"/>
            </w:pPr>
            <w:r>
              <w:t xml:space="preserve">9,1</w:t>
            </w:r>
          </w:p>
        </w:tc>
        <w:tc>
          <w:tcPr/>
          <w:p>
            <w:pPr>
              <w:pStyle w:val="Compact"/>
              <w:jc w:val="left"/>
            </w:pPr>
            <w:r>
              <w:t xml:space="preserve">8,9</w:t>
            </w:r>
          </w:p>
        </w:tc>
      </w:tr>
      <w:tr>
        <w:tc>
          <w:tcPr/>
          <w:p>
            <w:pPr>
              <w:pStyle w:val="Compact"/>
              <w:jc w:val="left"/>
            </w:pPr>
            <w:r>
              <w:t xml:space="preserve">Laba usaha</w:t>
            </w:r>
          </w:p>
        </w:tc>
        <w:tc>
          <w:tcPr/>
          <w:p>
            <w:pPr>
              <w:pStyle w:val="Compact"/>
              <w:jc w:val="left"/>
            </w:pPr>
            <w:r>
              <w:t xml:space="preserve">1.455</w:t>
            </w:r>
          </w:p>
        </w:tc>
        <w:tc>
          <w:tcPr/>
          <w:p>
            <w:pPr>
              <w:pStyle w:val="Compact"/>
              <w:jc w:val="left"/>
            </w:pPr>
            <w:r>
              <w:t xml:space="preserve">3.087</w:t>
            </w:r>
          </w:p>
        </w:tc>
        <w:tc>
          <w:tcPr/>
          <w:p>
            <w:pPr>
              <w:pStyle w:val="Compact"/>
              <w:jc w:val="left"/>
            </w:pPr>
            <w:r>
              <w:t xml:space="preserve">3.561</w:t>
            </w:r>
          </w:p>
        </w:tc>
        <w:tc>
          <w:tcPr/>
          <w:p>
            <w:pPr>
              <w:pStyle w:val="Compact"/>
              <w:jc w:val="left"/>
            </w:pPr>
            <w:r>
              <w:t xml:space="preserve">2.578</w:t>
            </w:r>
          </w:p>
        </w:tc>
        <w:tc>
          <w:tcPr/>
          <w:p>
            <w:pPr>
              <w:pStyle w:val="Compact"/>
              <w:jc w:val="left"/>
            </w:pPr>
            <w:r>
              <w:t xml:space="preserve">3.084</w:t>
            </w:r>
          </w:p>
        </w:tc>
      </w:tr>
      <w:tr>
        <w:tc>
          <w:tcPr/>
          <w:p>
            <w:pPr>
              <w:pStyle w:val="Compact"/>
              <w:jc w:val="left"/>
            </w:pPr>
            <w:r>
              <w:t xml:space="preserve">Laba bersih pemilik entitas induk</w:t>
            </w:r>
          </w:p>
        </w:tc>
        <w:tc>
          <w:tcPr/>
          <w:p>
            <w:pPr>
              <w:pStyle w:val="Compact"/>
              <w:jc w:val="left"/>
            </w:pPr>
            <w:r>
              <w:t xml:space="preserve">1.112</w:t>
            </w:r>
          </w:p>
        </w:tc>
        <w:tc>
          <w:tcPr/>
          <w:p>
            <w:pPr>
              <w:pStyle w:val="Compact"/>
              <w:jc w:val="left"/>
            </w:pPr>
            <w:r>
              <w:t xml:space="preserve">2.403</w:t>
            </w:r>
          </w:p>
        </w:tc>
        <w:tc>
          <w:tcPr/>
          <w:p>
            <w:pPr>
              <w:pStyle w:val="Compact"/>
              <w:jc w:val="left"/>
            </w:pPr>
            <w:r>
              <w:t xml:space="preserve">2.780</w:t>
            </w:r>
          </w:p>
        </w:tc>
        <w:tc>
          <w:tcPr/>
          <w:p>
            <w:pPr>
              <w:pStyle w:val="Compact"/>
              <w:jc w:val="left"/>
            </w:pPr>
            <w:r>
              <w:t xml:space="preserve">2.225</w:t>
            </w:r>
          </w:p>
        </w:tc>
        <w:tc>
          <w:tcPr/>
          <w:p>
            <w:pPr>
              <w:pStyle w:val="Compact"/>
              <w:jc w:val="left"/>
            </w:pPr>
            <w:r>
              <w:t xml:space="preserve">2.473</w:t>
            </w:r>
          </w:p>
        </w:tc>
      </w:tr>
      <w:tr>
        <w:tc>
          <w:tcPr/>
          <w:p>
            <w:pPr>
              <w:pStyle w:val="Compact"/>
              <w:jc w:val="left"/>
            </w:pPr>
            <w:r>
              <w:t xml:space="preserve">Total aset</w:t>
            </w:r>
          </w:p>
        </w:tc>
        <w:tc>
          <w:tcPr/>
          <w:p>
            <w:pPr>
              <w:pStyle w:val="Compact"/>
              <w:jc w:val="left"/>
            </w:pPr>
            <w:r>
              <w:t xml:space="preserve">23.509</w:t>
            </w:r>
          </w:p>
        </w:tc>
        <w:tc>
          <w:tcPr/>
          <w:p>
            <w:pPr>
              <w:pStyle w:val="Compact"/>
              <w:jc w:val="left"/>
            </w:pPr>
            <w:r>
              <w:t xml:space="preserve">27.188</w:t>
            </w:r>
          </w:p>
        </w:tc>
        <w:tc>
          <w:tcPr/>
          <w:p>
            <w:pPr>
              <w:pStyle w:val="Compact"/>
              <w:jc w:val="left"/>
            </w:pPr>
            <w:r>
              <w:t xml:space="preserve">30.297</w:t>
            </w:r>
          </w:p>
        </w:tc>
        <w:tc>
          <w:tcPr/>
          <w:p>
            <w:pPr>
              <w:pStyle w:val="Compact"/>
              <w:jc w:val="left"/>
            </w:pPr>
            <w:r>
              <w:t xml:space="preserve">33.109</w:t>
            </w:r>
          </w:p>
        </w:tc>
        <w:tc>
          <w:tcPr/>
          <w:p>
            <w:pPr>
              <w:pStyle w:val="Compact"/>
              <w:jc w:val="left"/>
            </w:pPr>
            <w:r>
              <w:t xml:space="preserve">36.562</w:t>
            </w:r>
          </w:p>
        </w:tc>
      </w:tr>
      <w:tr>
        <w:tc>
          <w:tcPr/>
          <w:p>
            <w:pPr>
              <w:pStyle w:val="Compact"/>
              <w:jc w:val="left"/>
            </w:pPr>
            <w:r>
              <w:t xml:space="preserve">Total ekuitas</w:t>
            </w:r>
          </w:p>
        </w:tc>
        <w:tc>
          <w:tcPr/>
          <w:p>
            <w:pPr>
              <w:pStyle w:val="Compact"/>
              <w:jc w:val="left"/>
            </w:pPr>
            <w:r>
              <w:t xml:space="preserve">11.299</w:t>
            </w:r>
          </w:p>
        </w:tc>
        <w:tc>
          <w:tcPr/>
          <w:p>
            <w:pPr>
              <w:pStyle w:val="Compact"/>
              <w:jc w:val="left"/>
            </w:pPr>
            <w:r>
              <w:t xml:space="preserve">13.155</w:t>
            </w:r>
          </w:p>
        </w:tc>
        <w:tc>
          <w:tcPr/>
          <w:p>
            <w:pPr>
              <w:pStyle w:val="Compact"/>
              <w:jc w:val="left"/>
            </w:pPr>
            <w:r>
              <w:t xml:space="preserve">14.043</w:t>
            </w:r>
          </w:p>
        </w:tc>
        <w:tc>
          <w:tcPr/>
          <w:p>
            <w:pPr>
              <w:pStyle w:val="Compact"/>
              <w:jc w:val="left"/>
            </w:pPr>
            <w:r>
              <w:t xml:space="preserve">14.624</w:t>
            </w:r>
          </w:p>
        </w:tc>
        <w:tc>
          <w:tcPr/>
          <w:p>
            <w:pPr>
              <w:pStyle w:val="Compact"/>
              <w:jc w:val="left"/>
            </w:pPr>
            <w:r>
              <w:t xml:space="preserve">15.610</w:t>
            </w:r>
          </w:p>
        </w:tc>
      </w:tr>
      <w:tr>
        <w:tc>
          <w:tcPr/>
          <w:p>
            <w:pPr>
              <w:pStyle w:val="Compact"/>
              <w:jc w:val="left"/>
            </w:pPr>
            <w:r>
              <w:t xml:space="preserve">Kas dan setara kas</w:t>
            </w:r>
          </w:p>
        </w:tc>
        <w:tc>
          <w:tcPr/>
          <w:p>
            <w:pPr>
              <w:pStyle w:val="Compact"/>
              <w:jc w:val="left"/>
            </w:pPr>
            <w:r>
              <w:t xml:space="preserve">2.600</w:t>
            </w:r>
          </w:p>
        </w:tc>
        <w:tc>
          <w:tcPr/>
          <w:p>
            <w:pPr>
              <w:pStyle w:val="Compact"/>
              <w:jc w:val="left"/>
            </w:pPr>
            <w:r>
              <w:t xml:space="preserve">4.338</w:t>
            </w:r>
          </w:p>
        </w:tc>
        <w:tc>
          <w:tcPr/>
          <w:p>
            <w:pPr>
              <w:pStyle w:val="Compact"/>
              <w:jc w:val="left"/>
            </w:pPr>
            <w:r>
              <w:t xml:space="preserve">6.536</w:t>
            </w:r>
          </w:p>
        </w:tc>
        <w:tc>
          <w:tcPr/>
          <w:p>
            <w:pPr>
              <w:pStyle w:val="Compact"/>
              <w:jc w:val="left"/>
            </w:pPr>
            <w:r>
              <w:t xml:space="preserve">5.366</w:t>
            </w:r>
          </w:p>
        </w:tc>
        <w:tc>
          <w:tcPr/>
          <w:p>
            <w:pPr>
              <w:pStyle w:val="Compact"/>
              <w:jc w:val="left"/>
            </w:pPr>
            <w:r>
              <w:t xml:space="preserve">6.404</w:t>
            </w:r>
          </w:p>
        </w:tc>
      </w:tr>
      <w:tr>
        <w:tc>
          <w:tcPr/>
          <w:p>
            <w:pPr>
              <w:pStyle w:val="Compact"/>
              <w:jc w:val="left"/>
            </w:pPr>
            <w:r>
              <w:t xml:space="preserve">ROE (%)</w:t>
            </w:r>
          </w:p>
        </w:tc>
        <w:tc>
          <w:tcPr/>
          <w:p>
            <w:pPr>
              <w:pStyle w:val="Compact"/>
              <w:jc w:val="left"/>
            </w:pPr>
            <w:r>
              <w:t xml:space="preserve">11,9</w:t>
            </w:r>
          </w:p>
        </w:tc>
        <w:tc>
          <w:tcPr/>
          <w:p>
            <w:pPr>
              <w:pStyle w:val="Compact"/>
              <w:jc w:val="left"/>
            </w:pPr>
            <w:r>
              <w:t xml:space="preserve">21,9</w:t>
            </w:r>
          </w:p>
        </w:tc>
        <w:tc>
          <w:tcPr/>
          <w:p>
            <w:pPr>
              <w:pStyle w:val="Compact"/>
              <w:jc w:val="left"/>
            </w:pPr>
            <w:r>
              <w:t xml:space="preserve">24,7</w:t>
            </w:r>
          </w:p>
        </w:tc>
        <w:tc>
          <w:tcPr/>
          <w:p>
            <w:pPr>
              <w:pStyle w:val="Compact"/>
              <w:jc w:val="left"/>
            </w:pPr>
            <w:r>
              <w:t xml:space="preserve">19,2</w:t>
            </w:r>
          </w:p>
        </w:tc>
        <w:tc>
          <w:tcPr/>
          <w:p>
            <w:pPr>
              <w:pStyle w:val="Compact"/>
              <w:jc w:val="left"/>
            </w:pPr>
            <w:r>
              <w:t xml:space="preserve">20,3</w:t>
            </w:r>
          </w:p>
        </w:tc>
      </w:tr>
      <w:tr>
        <w:tc>
          <w:tcPr/>
          <w:p>
            <w:pPr>
              <w:pStyle w:val="Compact"/>
              <w:jc w:val="left"/>
            </w:pPr>
            <w:r>
              <w:t xml:space="preserve">Net gearing (kali)</w:t>
            </w:r>
          </w:p>
        </w:tc>
        <w:tc>
          <w:tcPr/>
          <w:p>
            <w:pPr>
              <w:pStyle w:val="Compact"/>
              <w:jc w:val="left"/>
            </w:pPr>
            <w:r>
              <w:t xml:space="preserve">0,02</w:t>
            </w:r>
          </w:p>
        </w:tc>
        <w:tc>
          <w:tcPr/>
          <w:p>
            <w:pPr>
              <w:pStyle w:val="Compact"/>
              <w:jc w:val="left"/>
            </w:pPr>
            <w:r>
              <w:t xml:space="preserve">−0,12</w:t>
            </w:r>
          </w:p>
        </w:tc>
        <w:tc>
          <w:tcPr/>
          <w:p>
            <w:pPr>
              <w:pStyle w:val="Compact"/>
              <w:jc w:val="left"/>
            </w:pPr>
            <w:r>
              <w:t xml:space="preserve">−0,16</w:t>
            </w:r>
          </w:p>
        </w:tc>
        <w:tc>
          <w:tcPr/>
          <w:p>
            <w:pPr>
              <w:pStyle w:val="Compact"/>
              <w:jc w:val="left"/>
            </w:pPr>
            <w:r>
              <w:t xml:space="preserve">−0,04</w:t>
            </w:r>
          </w:p>
        </w:tc>
        <w:tc>
          <w:tcPr/>
          <w:p>
            <w:pPr>
              <w:pStyle w:val="Compact"/>
              <w:jc w:val="left"/>
            </w:pPr>
            <w:r>
              <w:t xml:space="preserve">−0,08</w:t>
            </w:r>
          </w:p>
        </w:tc>
      </w:tr>
      <w:tr>
        <w:tc>
          <w:tcPr/>
          <w:p>
            <w:pPr>
              <w:pStyle w:val="Compact"/>
              <w:jc w:val="left"/>
            </w:pPr>
            <w:r>
              <w:t xml:space="preserve">Dividen per saham tahun buku (Rp)</w:t>
            </w:r>
          </w:p>
        </w:tc>
        <w:tc>
          <w:tcPr/>
          <w:p>
            <w:pPr>
              <w:pStyle w:val="Compact"/>
              <w:jc w:val="left"/>
            </w:pPr>
            <w:r>
              <w:t xml:space="preserve">[VERIFIKASI]</w:t>
            </w:r>
          </w:p>
        </w:tc>
        <w:tc>
          <w:tcPr/>
          <w:p>
            <w:pPr>
              <w:pStyle w:val="Compact"/>
              <w:jc w:val="left"/>
            </w:pPr>
            <w:r>
              <w:t xml:space="preserve">75</w:t>
            </w:r>
          </w:p>
        </w:tc>
        <w:tc>
          <w:tcPr/>
          <w:p>
            <w:pPr>
              <w:pStyle w:val="Compact"/>
              <w:jc w:val="left"/>
            </w:pPr>
            <w:r>
              <w:t xml:space="preserve">125</w:t>
            </w:r>
          </w:p>
        </w:tc>
        <w:tc>
          <w:tcPr/>
          <w:p>
            <w:pPr>
              <w:pStyle w:val="Compact"/>
              <w:jc w:val="left"/>
            </w:pPr>
            <w:r>
              <w:t xml:space="preserve">100</w:t>
            </w:r>
          </w:p>
        </w:tc>
        <w:tc>
          <w:tcPr/>
          <w:p>
            <w:pPr>
              <w:pStyle w:val="Compact"/>
              <w:jc w:val="left"/>
            </w:pPr>
            <w:r>
              <w:t xml:space="preserve">[belum diputuskan]</w:t>
            </w:r>
          </w:p>
        </w:tc>
      </w:tr>
      <w:tr>
        <w:tc>
          <w:tcPr/>
          <w:p>
            <w:pPr>
              <w:pStyle w:val="Compact"/>
              <w:jc w:val="left"/>
            </w:pPr>
            <w:r>
              <w:t xml:space="preserve">Volume BBM (KL)</w:t>
            </w:r>
          </w:p>
        </w:tc>
        <w:tc>
          <w:tcPr/>
          <w:p>
            <w:pPr>
              <w:pStyle w:val="Compact"/>
              <w:jc w:val="left"/>
            </w:pPr>
            <w:r>
              <w:t xml:space="preserve">[VERIFIKASI]</w:t>
            </w:r>
          </w:p>
        </w:tc>
        <w:tc>
          <w:tcPr/>
          <w:p>
            <w:pPr>
              <w:pStyle w:val="Compact"/>
              <w:jc w:val="left"/>
            </w:pPr>
            <w:r>
              <w:t xml:space="preserve">[VERIFIKASI]</w:t>
            </w:r>
          </w:p>
        </w:tc>
        <w:tc>
          <w:tcPr/>
          <w:p>
            <w:pPr>
              <w:pStyle w:val="Compact"/>
              <w:jc w:val="left"/>
            </w:pPr>
            <w:r>
              <w:t xml:space="preserve">[VERIFIKASI]</w:t>
            </w:r>
          </w:p>
        </w:tc>
        <w:tc>
          <w:tcPr/>
          <w:p>
            <w:pPr>
              <w:pStyle w:val="Compact"/>
              <w:jc w:val="left"/>
            </w:pPr>
            <w:r>
              <w:t xml:space="preserve">[VERIFIKASI]</w:t>
            </w:r>
          </w:p>
        </w:tc>
        <w:tc>
          <w:tcPr/>
          <w:p>
            <w:pPr>
              <w:pStyle w:val="Compact"/>
              <w:jc w:val="left"/>
            </w:pPr>
            <w:r>
              <w:t xml:space="preserve">[VERIFIKASI]</w:t>
            </w:r>
          </w:p>
        </w:tc>
      </w:tr>
      <w:tr>
        <w:tc>
          <w:tcPr/>
          <w:p>
            <w:pPr>
              <w:pStyle w:val="Compact"/>
              <w:jc w:val="left"/>
            </w:pPr>
            <w:r>
              <w:t xml:space="preserve">Volume kimia dasar (ton)</w:t>
            </w:r>
          </w:p>
        </w:tc>
        <w:tc>
          <w:tcPr/>
          <w:p>
            <w:pPr>
              <w:pStyle w:val="Compact"/>
              <w:jc w:val="left"/>
            </w:pPr>
            <w:r>
              <w:t xml:space="preserve">[VERIFIKASI]</w:t>
            </w:r>
          </w:p>
        </w:tc>
        <w:tc>
          <w:tcPr/>
          <w:p>
            <w:pPr>
              <w:pStyle w:val="Compact"/>
              <w:jc w:val="left"/>
            </w:pPr>
            <w:r>
              <w:t xml:space="preserve">[VERIFIKASI]</w:t>
            </w:r>
          </w:p>
        </w:tc>
        <w:tc>
          <w:tcPr/>
          <w:p>
            <w:pPr>
              <w:pStyle w:val="Compact"/>
              <w:jc w:val="left"/>
            </w:pPr>
            <w:r>
              <w:t xml:space="preserve">[VERIFIKASI]</w:t>
            </w:r>
          </w:p>
        </w:tc>
        <w:tc>
          <w:tcPr/>
          <w:p>
            <w:pPr>
              <w:pStyle w:val="Compact"/>
              <w:jc w:val="left"/>
            </w:pPr>
            <w:r>
              <w:t xml:space="preserve">[VERIFIKASI]</w:t>
            </w:r>
          </w:p>
        </w:tc>
        <w:tc>
          <w:tcPr/>
          <w:p>
            <w:pPr>
              <w:pStyle w:val="Compact"/>
              <w:jc w:val="left"/>
            </w:pPr>
            <w:r>
              <w:t xml:space="preserve">[VERIFIKASI]</w:t>
            </w:r>
          </w:p>
        </w:tc>
      </w:tr>
      <w:tr>
        <w:tc>
          <w:tcPr/>
          <w:p>
            <w:pPr>
              <w:pStyle w:val="Compact"/>
              <w:jc w:val="left"/>
            </w:pPr>
            <w:r>
              <w:t xml:space="preserve">Penjualan lahan JIIPE (ha)</w:t>
            </w:r>
          </w:p>
        </w:tc>
        <w:tc>
          <w:tcPr/>
          <w:p>
            <w:pPr>
              <w:pStyle w:val="Compact"/>
              <w:jc w:val="left"/>
            </w:pPr>
            <w:r>
              <w:t xml:space="preserve">[VERIFIKASI]</w:t>
            </w:r>
          </w:p>
        </w:tc>
        <w:tc>
          <w:tcPr/>
          <w:p>
            <w:pPr>
              <w:pStyle w:val="Compact"/>
              <w:jc w:val="left"/>
            </w:pPr>
            <w:r>
              <w:t xml:space="preserve">[VERIFIKASI]</w:t>
            </w:r>
          </w:p>
        </w:tc>
        <w:tc>
          <w:tcPr/>
          <w:p>
            <w:pPr>
              <w:pStyle w:val="Compact"/>
              <w:jc w:val="left"/>
            </w:pPr>
            <w:r>
              <w:t xml:space="preserve">[VERIFIKASI]</w:t>
            </w:r>
          </w:p>
        </w:tc>
        <w:tc>
          <w:tcPr/>
          <w:p>
            <w:pPr>
              <w:pStyle w:val="Compact"/>
              <w:jc w:val="left"/>
            </w:pPr>
            <w:r>
              <w:t xml:space="preserve">38</w:t>
            </w:r>
          </w:p>
        </w:tc>
        <w:tc>
          <w:tcPr/>
          <w:p>
            <w:pPr>
              <w:pStyle w:val="Compact"/>
              <w:jc w:val="left"/>
            </w:pPr>
            <w:r>
              <w:t xml:space="preserve">84</w:t>
            </w:r>
          </w:p>
        </w:tc>
      </w:tr>
    </w:tbl>
    <w:p>
      <w:pPr>
        <w:pStyle w:val="BodyText"/>
      </w:pPr>
      <w:r>
        <w:t xml:space="preserve">Sumber: AKR Corporindo (2026a, hlm. 24–26, 30, 118); AKR Corporindo (2025, hlm. 26, 112). Volume BBM dan kimia dasar tidak diungkapkan dalam satuan fisik pada AR 2025 yang ditelaah; perlu dicek ke paparan publik perusahaan. AR 2024 menyebut penjualan lahan 2024 sebesar 38 ha (hlm. 112) dan 37 ha (hlm. 130).</w:t>
      </w:r>
    </w:p>
    <w:p>
      <w:pPr>
        <w:pStyle w:val="BodyText"/>
      </w:pPr>
      <w:r>
        <w:rPr>
          <w:bCs/>
          <w:b/>
        </w:rPr>
        <w:t xml:space="preserve">Tabel 3.3 Pendapatan dan laba kotor per segmen 2024–2025 (Rp miliar)</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Segmen</w:t>
            </w:r>
          </w:p>
        </w:tc>
        <w:tc>
          <w:tcPr/>
          <w:p>
            <w:pPr>
              <w:pStyle w:val="Compact"/>
              <w:jc w:val="left"/>
            </w:pPr>
            <w:r>
              <w:t xml:space="preserve">Pendapatan 2024</w:t>
            </w:r>
          </w:p>
        </w:tc>
        <w:tc>
          <w:tcPr/>
          <w:p>
            <w:pPr>
              <w:pStyle w:val="Compact"/>
              <w:jc w:val="left"/>
            </w:pPr>
            <w:r>
              <w:t xml:space="preserve">Pendapatan 2025</w:t>
            </w:r>
          </w:p>
        </w:tc>
        <w:tc>
          <w:tcPr/>
          <w:p>
            <w:pPr>
              <w:pStyle w:val="Compact"/>
              <w:jc w:val="left"/>
            </w:pPr>
            <w:r>
              <w:t xml:space="preserve">Pertumbuhan</w:t>
            </w:r>
          </w:p>
        </w:tc>
        <w:tc>
          <w:tcPr/>
          <w:p>
            <w:pPr>
              <w:pStyle w:val="Compact"/>
              <w:jc w:val="left"/>
            </w:pPr>
            <w:r>
              <w:t xml:space="preserve">Laba kotor 2025</w:t>
            </w:r>
          </w:p>
        </w:tc>
        <w:tc>
          <w:tcPr/>
          <w:p>
            <w:pPr>
              <w:pStyle w:val="Compact"/>
              <w:jc w:val="left"/>
            </w:pPr>
            <w:r>
              <w:t xml:space="preserve">Margin 2025</w:t>
            </w:r>
          </w:p>
        </w:tc>
        <w:tc>
          <w:tcPr/>
          <w:p>
            <w:pPr>
              <w:pStyle w:val="Compact"/>
              <w:jc w:val="left"/>
            </w:pPr>
            <w:r>
              <w:t xml:space="preserve">Kontribusi laba kotor 2025</w:t>
            </w:r>
          </w:p>
        </w:tc>
      </w:tr>
      <w:tr>
        <w:tc>
          <w:tcPr/>
          <w:p>
            <w:pPr>
              <w:pStyle w:val="Compact"/>
              <w:jc w:val="left"/>
            </w:pPr>
            <w:r>
              <w:t xml:space="preserve">Trading &amp; Distribution</w:t>
            </w:r>
          </w:p>
        </w:tc>
        <w:tc>
          <w:tcPr/>
          <w:p>
            <w:pPr>
              <w:pStyle w:val="Compact"/>
              <w:jc w:val="left"/>
            </w:pPr>
            <w:r>
              <w:t xml:space="preserve">35.532</w:t>
            </w:r>
          </w:p>
        </w:tc>
        <w:tc>
          <w:tcPr/>
          <w:p>
            <w:pPr>
              <w:pStyle w:val="Compact"/>
              <w:jc w:val="left"/>
            </w:pPr>
            <w:r>
              <w:t xml:space="preserve">41.314</w:t>
            </w:r>
          </w:p>
        </w:tc>
        <w:tc>
          <w:tcPr/>
          <w:p>
            <w:pPr>
              <w:pStyle w:val="Compact"/>
              <w:jc w:val="left"/>
            </w:pPr>
            <w:r>
              <w:t xml:space="preserve">+16%</w:t>
            </w:r>
          </w:p>
        </w:tc>
        <w:tc>
          <w:tcPr/>
          <w:p>
            <w:pPr>
              <w:pStyle w:val="Compact"/>
              <w:jc w:val="left"/>
            </w:pPr>
            <w:r>
              <w:t xml:space="preserve">3.004</w:t>
            </w:r>
          </w:p>
        </w:tc>
        <w:tc>
          <w:tcPr/>
          <w:p>
            <w:pPr>
              <w:pStyle w:val="Compact"/>
              <w:jc w:val="left"/>
            </w:pPr>
            <w:r>
              <w:t xml:space="preserve">7,3%</w:t>
            </w:r>
          </w:p>
        </w:tc>
        <w:tc>
          <w:tcPr/>
          <w:p>
            <w:pPr>
              <w:pStyle w:val="Compact"/>
              <w:jc w:val="left"/>
            </w:pPr>
            <w:r>
              <w:t xml:space="preserve">73%</w:t>
            </w:r>
          </w:p>
        </w:tc>
      </w:tr>
      <w:tr>
        <w:tc>
          <w:tcPr/>
          <w:p>
            <w:pPr>
              <w:pStyle w:val="Compact"/>
              <w:jc w:val="left"/>
            </w:pPr>
            <w:r>
              <w:t xml:space="preserve">— Petroleum</w:t>
            </w:r>
          </w:p>
        </w:tc>
        <w:tc>
          <w:tcPr/>
          <w:p>
            <w:pPr>
              <w:pStyle w:val="Compact"/>
              <w:jc w:val="left"/>
            </w:pPr>
            <w:r>
              <w:t xml:space="preserve">28.934</w:t>
            </w:r>
          </w:p>
        </w:tc>
        <w:tc>
          <w:tcPr/>
          <w:p>
            <w:pPr>
              <w:pStyle w:val="Compact"/>
              <w:jc w:val="left"/>
            </w:pPr>
            <w:r>
              <w:t xml:space="preserve">34.013</w:t>
            </w:r>
          </w:p>
        </w:tc>
        <w:tc>
          <w:tcPr/>
          <w:p>
            <w:pPr>
              <w:pStyle w:val="Compact"/>
              <w:jc w:val="left"/>
            </w:pPr>
            <w:r>
              <w:t xml:space="preserve">+18%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Basic Chemicals</w:t>
            </w:r>
          </w:p>
        </w:tc>
        <w:tc>
          <w:tcPr/>
          <w:p>
            <w:pPr>
              <w:pStyle w:val="Compact"/>
              <w:jc w:val="left"/>
            </w:pPr>
            <w:r>
              <w:t xml:space="preserve">6.598</w:t>
            </w:r>
          </w:p>
        </w:tc>
        <w:tc>
          <w:tcPr/>
          <w:p>
            <w:pPr>
              <w:pStyle w:val="Compact"/>
              <w:jc w:val="left"/>
            </w:pPr>
            <w:r>
              <w:t xml:space="preserve">7.301</w:t>
            </w:r>
          </w:p>
        </w:tc>
        <w:tc>
          <w:tcPr/>
          <w:p>
            <w:pPr>
              <w:pStyle w:val="Compact"/>
              <w:jc w:val="left"/>
            </w:pPr>
            <w:r>
              <w:t xml:space="preserve">+11%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Logistics Services</w:t>
            </w:r>
          </w:p>
        </w:tc>
        <w:tc>
          <w:tcPr/>
          <w:p>
            <w:pPr>
              <w:pStyle w:val="Compact"/>
              <w:jc w:val="left"/>
            </w:pPr>
            <w:r>
              <w:t xml:space="preserve">1.165</w:t>
            </w:r>
          </w:p>
        </w:tc>
        <w:tc>
          <w:tcPr/>
          <w:p>
            <w:pPr>
              <w:pStyle w:val="Compact"/>
              <w:jc w:val="left"/>
            </w:pPr>
            <w:r>
              <w:t xml:space="preserve">1.499</w:t>
            </w:r>
          </w:p>
        </w:tc>
        <w:tc>
          <w:tcPr/>
          <w:p>
            <w:pPr>
              <w:pStyle w:val="Compact"/>
              <w:jc w:val="left"/>
            </w:pPr>
            <w:r>
              <w:t xml:space="preserve">+29%</w:t>
            </w:r>
          </w:p>
        </w:tc>
        <w:tc>
          <w:tcPr/>
          <w:p>
            <w:pPr>
              <w:pStyle w:val="Compact"/>
              <w:jc w:val="left"/>
            </w:pPr>
            <w:r>
              <w:t xml:space="preserve">49</w:t>
            </w:r>
          </w:p>
        </w:tc>
        <w:tc>
          <w:tcPr/>
          <w:p>
            <w:pPr>
              <w:pStyle w:val="Compact"/>
              <w:jc w:val="left"/>
            </w:pPr>
            <w:r>
              <w:t xml:space="preserve">3,3%</w:t>
            </w:r>
          </w:p>
        </w:tc>
        <w:tc>
          <w:tcPr/>
          <w:p>
            <w:pPr>
              <w:pStyle w:val="Compact"/>
              <w:jc w:val="left"/>
            </w:pPr>
            <w:r>
              <w:t xml:space="preserve">1%</w:t>
            </w:r>
          </w:p>
        </w:tc>
      </w:tr>
      <w:tr>
        <w:tc>
          <w:tcPr/>
          <w:p>
            <w:pPr>
              <w:pStyle w:val="Compact"/>
              <w:jc w:val="left"/>
            </w:pPr>
            <w:r>
              <w:t xml:space="preserve">Manufacturing</w:t>
            </w:r>
          </w:p>
        </w:tc>
        <w:tc>
          <w:tcPr/>
          <w:p>
            <w:pPr>
              <w:pStyle w:val="Compact"/>
              <w:jc w:val="left"/>
            </w:pPr>
            <w:r>
              <w:t xml:space="preserve">652</w:t>
            </w:r>
          </w:p>
        </w:tc>
        <w:tc>
          <w:tcPr/>
          <w:p>
            <w:pPr>
              <w:pStyle w:val="Compact"/>
              <w:jc w:val="left"/>
            </w:pPr>
            <w:r>
              <w:t xml:space="preserve">464</w:t>
            </w:r>
          </w:p>
        </w:tc>
        <w:tc>
          <w:tcPr/>
          <w:p>
            <w:pPr>
              <w:pStyle w:val="Compact"/>
              <w:jc w:val="left"/>
            </w:pPr>
            <w:r>
              <w:t xml:space="preserve">−29%</w:t>
            </w:r>
          </w:p>
        </w:tc>
        <w:tc>
          <w:tcPr/>
          <w:p>
            <w:pPr>
              <w:pStyle w:val="Compact"/>
              <w:jc w:val="left"/>
            </w:pPr>
            <w:r>
              <w:t xml:space="preserve">208</w:t>
            </w:r>
          </w:p>
        </w:tc>
        <w:tc>
          <w:tcPr/>
          <w:p>
            <w:pPr>
              <w:pStyle w:val="Compact"/>
              <w:jc w:val="left"/>
            </w:pPr>
            <w:r>
              <w:t xml:space="preserve">44,8%</w:t>
            </w:r>
          </w:p>
        </w:tc>
        <w:tc>
          <w:tcPr/>
          <w:p>
            <w:pPr>
              <w:pStyle w:val="Compact"/>
              <w:jc w:val="left"/>
            </w:pPr>
            <w:r>
              <w:t xml:space="preserve">5%</w:t>
            </w:r>
          </w:p>
        </w:tc>
      </w:tr>
      <w:tr>
        <w:tc>
          <w:tcPr/>
          <w:p>
            <w:pPr>
              <w:pStyle w:val="Compact"/>
              <w:jc w:val="left"/>
            </w:pPr>
            <w:r>
              <w:t xml:space="preserve">Industrial Estate (JIIPE)</w:t>
            </w:r>
          </w:p>
        </w:tc>
        <w:tc>
          <w:tcPr/>
          <w:p>
            <w:pPr>
              <w:pStyle w:val="Compact"/>
              <w:jc w:val="left"/>
            </w:pPr>
            <w:r>
              <w:t xml:space="preserve">1.381</w:t>
            </w:r>
          </w:p>
        </w:tc>
        <w:tc>
          <w:tcPr/>
          <w:p>
            <w:pPr>
              <w:pStyle w:val="Compact"/>
              <w:jc w:val="left"/>
            </w:pPr>
            <w:r>
              <w:t xml:space="preserve">2.741</w:t>
            </w:r>
          </w:p>
        </w:tc>
        <w:tc>
          <w:tcPr/>
          <w:p>
            <w:pPr>
              <w:pStyle w:val="Compact"/>
              <w:jc w:val="left"/>
            </w:pPr>
            <w:r>
              <w:t xml:space="preserve">+99%</w:t>
            </w:r>
          </w:p>
        </w:tc>
        <w:tc>
          <w:tcPr/>
          <w:p>
            <w:pPr>
              <w:pStyle w:val="Compact"/>
              <w:jc w:val="left"/>
            </w:pPr>
            <w:r>
              <w:t xml:space="preserve">836</w:t>
            </w:r>
          </w:p>
        </w:tc>
        <w:tc>
          <w:tcPr/>
          <w:p>
            <w:pPr>
              <w:pStyle w:val="Compact"/>
              <w:jc w:val="left"/>
            </w:pPr>
            <w:r>
              <w:t xml:space="preserve">30,5%</w:t>
            </w:r>
          </w:p>
        </w:tc>
        <w:tc>
          <w:tcPr/>
          <w:p>
            <w:pPr>
              <w:pStyle w:val="Compact"/>
              <w:jc w:val="left"/>
            </w:pPr>
            <w:r>
              <w:t xml:space="preserve">20%</w:t>
            </w:r>
          </w:p>
        </w:tc>
      </w:tr>
      <w:tr>
        <w:tc>
          <w:tcPr/>
          <w:p>
            <w:pPr>
              <w:pStyle w:val="Compact"/>
              <w:jc w:val="left"/>
            </w:pPr>
            <w:r>
              <w:rPr>
                <w:bCs/>
                <w:b/>
              </w:rPr>
              <w:t xml:space="preserve">Konsolidasi</w:t>
            </w:r>
          </w:p>
        </w:tc>
        <w:tc>
          <w:tcPr/>
          <w:p>
            <w:pPr>
              <w:pStyle w:val="Compact"/>
              <w:jc w:val="left"/>
            </w:pPr>
            <w:r>
              <w:rPr>
                <w:bCs/>
                <w:b/>
              </w:rPr>
              <w:t xml:space="preserve">38.729</w:t>
            </w:r>
          </w:p>
        </w:tc>
        <w:tc>
          <w:tcPr/>
          <w:p>
            <w:pPr>
              <w:pStyle w:val="Compact"/>
              <w:jc w:val="left"/>
            </w:pPr>
            <w:r>
              <w:rPr>
                <w:bCs/>
                <w:b/>
              </w:rPr>
              <w:t xml:space="preserve">46.018</w:t>
            </w:r>
          </w:p>
        </w:tc>
        <w:tc>
          <w:tcPr/>
          <w:p>
            <w:pPr>
              <w:pStyle w:val="Compact"/>
              <w:jc w:val="left"/>
            </w:pPr>
            <w:r>
              <w:rPr>
                <w:bCs/>
                <w:b/>
              </w:rPr>
              <w:t xml:space="preserve">+19%</w:t>
            </w:r>
          </w:p>
        </w:tc>
        <w:tc>
          <w:tcPr/>
          <w:p>
            <w:pPr>
              <w:pStyle w:val="Compact"/>
              <w:jc w:val="left"/>
            </w:pPr>
            <w:r>
              <w:rPr>
                <w:bCs/>
                <w:b/>
              </w:rPr>
              <w:t xml:space="preserve">4.098</w:t>
            </w:r>
          </w:p>
        </w:tc>
        <w:tc>
          <w:tcPr/>
          <w:p>
            <w:pPr>
              <w:pStyle w:val="Compact"/>
              <w:jc w:val="left"/>
            </w:pPr>
            <w:r>
              <w:rPr>
                <w:bCs/>
                <w:b/>
              </w:rPr>
              <w:t xml:space="preserve">8,9%</w:t>
            </w:r>
          </w:p>
        </w:tc>
        <w:tc>
          <w:tcPr/>
          <w:p>
            <w:pPr>
              <w:pStyle w:val="Compact"/>
              <w:jc w:val="left"/>
            </w:pPr>
            <w:r>
              <w:rPr>
                <w:bCs/>
                <w:b/>
              </w:rPr>
              <w:t xml:space="preserve">100%</w:t>
            </w:r>
          </w:p>
        </w:tc>
      </w:tr>
    </w:tbl>
    <w:p>
      <w:pPr>
        <w:pStyle w:val="BodyText"/>
      </w:pPr>
      <w:r>
        <w:t xml:space="preserve">Sumber: AKR Corporindo (2026a, hlm. 114–117, 120–121); kontribusi dihitung penulis.</w:t>
      </w:r>
    </w:p>
    <w:p>
      <w:pPr>
        <w:pStyle w:val="BodyText"/>
      </w:pPr>
      <w:r>
        <w:t xml:space="preserve">Tren 2021–2025 menunjukkan tiga hal. Pertama, pendapatan sangat sensitif terhadap harga minyak: lonjakan 2022 dan penurunan 2023–2024 mengikuti harga produk, sementara laba kotor relatif stabil pada Rp3,5–4,5 triliun, konsisten dengan model</w:t>
      </w:r>
      <w:r>
        <w:t xml:space="preserve"> </w:t>
      </w:r>
      <w:r>
        <w:rPr>
          <w:iCs/>
          <w:i/>
        </w:rPr>
        <w:t xml:space="preserve">formula-based pricing</w:t>
      </w:r>
      <w:r>
        <w:t xml:space="preserve"> </w:t>
      </w:r>
      <w:r>
        <w:t xml:space="preserve">yang mengubah risiko harga menjadi risiko volume (AKR Corporindo, 2026b, hlm. 76). Kedua, laba bergeser ke kawasan industri dan utilitas: kontribusi JIIPE pada laba kotor naik menjadi 20% pada 2025, dengan pendapatan utilitas berulang Rp727 miliar yang tumbuh 129% dan penjualan lahan Rp1.820 miliar yang tumbuh 107% (AKR Corporindo, 2026a, hlm. 117). Ketiga, neraca menguat: kas Rp6,4 triliun, posisi kas bersih, dan rasio pembayaran dividen 88,77% untuk tahun buku 2024 menunjukkan kapasitas pendanaan internal yang besar, sementara belanja modal 2025 hanya Rp897 miliar (AKR Corporindo, 2026a, hlm. 26, 30, 136). Manajemen memproyeksikan laba bersih 2026 tumbuh 7–10%, laba kotor Trading and Distribution tumbuh 4–6%, dan penjualan lahan 90–100 ha (AKR Corporindo, 2026a, hlm. 137); realisasi sembilan bulan 2026 dilaporkan Rp2,21 triliun (+34%) dengan pendapatan Rp46,53 triliun (Kontan, Oktober 2026) [VERIFIKASI: laporan keuangan 30 September 2026 di BEI; satu media melaporkan Rp2,44 triliun].</w:t>
      </w:r>
    </w:p>
    <w:bookmarkEnd w:id="45"/>
    <w:bookmarkStart w:id="46" w:name="posisi-kompetitif"/>
    <w:p>
      <w:pPr>
        <w:pStyle w:val="Heading2"/>
      </w:pPr>
      <w:r>
        <w:t xml:space="preserve">3.5 Posisi Kompetitif</w:t>
      </w:r>
    </w:p>
    <w:p>
      <w:pPr>
        <w:pStyle w:val="FirstParagraph"/>
      </w:pPr>
      <w:r>
        <w:t xml:space="preserve">Keunggulan AKR bertumpu pada tiga hal. Pertama, infrastruktur logistik terintegrasi—19 pelabuhan, 820.400 KL tangki, armada laut dan darat, serta sistem pemantauan</w:t>
      </w:r>
      <w:r>
        <w:t xml:space="preserve"> </w:t>
      </w:r>
      <w:r>
        <w:rPr>
          <w:iCs/>
          <w:i/>
        </w:rPr>
        <w:t xml:space="preserve">terminal-to-nozzle</w:t>
      </w:r>
      <w:r>
        <w:t xml:space="preserve"> </w:t>
      </w:r>
      <w:r>
        <w:t xml:space="preserve">waktu nyata—yang sulit ditiru pendatang baru dan menjadi dasar penugasan BBM bersubsidi (AKR Corporindo, 2026a, hlm. 15, 115). Kedua, neraca kas bersih dengan arus kas operasi Rp3.941 miliar pada 2025 (AKR Corporindo, 2026a, hlm. 26) yang memungkinkan investasi tanpa tekanan pendanaan eksternal. Ketiga, JIIPE sebagai KEK dengan pelabuhan laut dalam dan lisensi listrik 515 MW yang menempatkan AKR sebagai penyedia utilitas, bukan hanya penjual lahan. Kerentanannya juga tiga. Pertama, ketergantungan pada kuota impor dan penugasan: Laporan Tahunan menyatakan bahwa sebagian besar BBM dan kimia dasar yang didistribusikan adalah impor dan bahwa pembatasan kuota atau tarif dapat memengaruhi kinerja (AKR Corporindo, 2026a, hlm. 236). Kedua, margin tipis 7,3% pada segmen inti yang menyumbang 90% pendapatan. Ketiga, pendapatan lahan JIIPE yang tidak berulang: dari Rp2.741 miliar pendapatan JIIPE 2025, Rp1.820 miliar adalah penjualan lahan yang bergantung pada keputusan investasi tenant besar, sementara margin kotor segmen turun dari 43,3% ke 30,5% (AKR Corporindo, 2026a, hlm. 117, 121).</w:t>
      </w:r>
    </w:p>
    <w:p>
      <w:r>
        <w:br w:type="page"/>
      </w:r>
    </w:p>
    <w:bookmarkEnd w:id="46"/>
    <w:bookmarkEnd w:id="47"/>
    <w:bookmarkStart w:id="81" w:name="bab-4-analisis-dan-usulan-inovatif"/>
    <w:p>
      <w:pPr>
        <w:pStyle w:val="Heading1"/>
      </w:pPr>
      <w:r>
        <w:t xml:space="preserve">BAB 4 ANALISIS DAN USULAN INOVATIF</w:t>
      </w:r>
    </w:p>
    <w:bookmarkStart w:id="52" w:name="faktor-pemerintah-dan-regulasi"/>
    <w:p>
      <w:pPr>
        <w:pStyle w:val="Heading2"/>
      </w:pPr>
      <w:r>
        <w:t xml:space="preserve">4.1 Faktor Pemerintah dan Regulasi</w:t>
      </w:r>
    </w:p>
    <w:bookmarkStart w:id="48" w:name="issue-20242026"/>
    <w:p>
      <w:pPr>
        <w:pStyle w:val="Heading3"/>
      </w:pPr>
      <w:r>
        <w:t xml:space="preserve">4.1.1 Issue 2024–2026</w:t>
      </w:r>
    </w:p>
    <w:p>
      <w:pPr>
        <w:pStyle w:val="FirstParagraph"/>
      </w:pPr>
      <w:r>
        <w:t xml:space="preserve">[Fakta] Empat</w:t>
      </w:r>
      <w:r>
        <w:t xml:space="preserve"> </w:t>
      </w:r>
      <w:r>
        <w:rPr>
          <w:iCs/>
          <w:i/>
        </w:rPr>
        <w:t xml:space="preserve">issue</w:t>
      </w:r>
      <w:r>
        <w:t xml:space="preserve"> </w:t>
      </w:r>
      <w:r>
        <w:t xml:space="preserve">regulasi paling material bagi AKR teridentifikasi. Pertama, kuota impor BBM ritel swasta 2025 ditetapkan hanya 110% dari penjualan 2024 dan habis pada pertengahan Agustus 2025 untuk bp AKR dan Shell, sehingga SPBU swasta kehabisan bensin; pemulihan baru terjadi setelah bp AKR membeli 100.000 barel</w:t>
      </w:r>
      <w:r>
        <w:t xml:space="preserve"> </w:t>
      </w:r>
      <w:r>
        <w:rPr>
          <w:iCs/>
          <w:i/>
        </w:rPr>
        <w:t xml:space="preserve">base fuel</w:t>
      </w:r>
      <w:r>
        <w:t xml:space="preserve"> </w:t>
      </w:r>
      <w:r>
        <w:t xml:space="preserve">dari Pertamina Patra Niaga pada Oktober–November 2025 dan pemerintah membuka kuota 2026 dengan kenaikan sekitar 10% serta skema persetujuan enam bulanan (Katadata, 7 November 2025; Katadata, 5 Januari 2026; Bloomberg Technoz, 26 Januari 2026). Kedua, mandatori biodiesel naik dari B40 ke B50 melalui Kepmen ESDM Nomor 257.K/EK.01/MEM.E/2026 yang berlaku 1 Juli 2026 dan beredar nasional 1 Oktober 2026 (CNBC Indonesia, 1 Juli 2026; CNBC Indonesia, 10 Juli 2026). Ketiga, beban subsidi dan kompensasi energi mencapai Rp376,8 triliun hingga September 2026 (+54,1%) dengan volume BBM bersubsidi 13,41 juta KL (+9,1%) (ANTARA, 9 Oktober 2026), dan harga Pertalite dipertahankan Rp10.000 per liter sementara harga nonsubsidi dinaikkan 18 April 2026 (Kompas, 18 April 2026) [VERIFIKASI: pernyataan ESDM harga Pertalite tetap hingga akhir 2026; data migrasi Pertamax ke Pertalite BPH Migas Juli 2026]. Keempat, hilirisasi dan fasilitas KEK (PP 71/2021) terus menarik tenant ke JIIPE dengan investasi kumulatif yang dilaporkan Rp111,5 triliun hingga akhir 2025 (AKR Corporindo, 2026a, hlm. 12, 280); angka ini berbeda basis dengan Rp87 triliun per kuartal I 2025 (hlm. 120) dan Rp52 triliun sejak 2021 (AKR Corporindo, 2026b, hlm. 36) [VERIFIKASI: basis perhitungan].</w:t>
      </w:r>
    </w:p>
    <w:bookmarkEnd w:id="48"/>
    <w:bookmarkStart w:id="49" w:name="dampak-terukur-pada-akr"/>
    <w:p>
      <w:pPr>
        <w:pStyle w:val="Heading3"/>
      </w:pPr>
      <w:r>
        <w:t xml:space="preserve">4.1.2 Dampak Terukur pada AKR</w:t>
      </w:r>
    </w:p>
    <w:p>
      <w:pPr>
        <w:pStyle w:val="FirstParagraph"/>
      </w:pPr>
      <w:r>
        <w:t xml:space="preserve">[Fakta] Dampak pada ritel bersifat langsung: bp AKR dengan 72 SPBU pada akhir 2025 kehilangan penjualan bensin selama sekitar dua bulan, dan Laporan Tahunan secara eksplisit mencatat</w:t>
      </w:r>
      <w:r>
        <w:t xml:space="preserve"> </w:t>
      </w:r>
      <w:r>
        <w:t xml:space="preserve">“</w:t>
      </w:r>
      <w:r>
        <w:t xml:space="preserve">optimizing import quota management</w:t>
      </w:r>
      <w:r>
        <w:t xml:space="preserve">”</w:t>
      </w:r>
      <w:r>
        <w:t xml:space="preserve"> </w:t>
      </w:r>
      <w:r>
        <w:t xml:space="preserve">sebagai fokus 2026 (AKR Corporindo, 2026a, hlm. 69, 140). [Fakta] Dampak pada BBM industri justru positif: pendapatan Petroleum naik 18% menjadi Rp34.013 miliar dan laba kotor Trading and Distribution naik 14% menjadi Rp3.004 miliar, ditopang alokasi FAME terbesar di antara swasta dan penugasan BPH Migas 181.000 KL solar bersubsidi untuk 2026 (AKR Corporindo, 2026a, hlm. 68, 115, 120, 411). [Fakta] Dampak pada JIIPE sangat positif: penjualan lahan 84 ha dan pendapatan segmen Rp2.741 miliar (+99%) mengikuti masuknya smelter Freeport, Xinyi, Hailiang, dan Golden Elephant yang semuanya memanfaatkan fasilitas KEK (AKR Corporindo, 2026a, hlm. 117–118, 120). [Fakta] Laporan Tahunan mencantumkan pembatasan impor, skema subsidi, dan perizinan sebagai risiko utama dan menegaskan bahwa kontrak distribusi BBM bergantung pada tender dan deregulasi pemerintah (AKR Corporindo, 2026a, hlm. 236); Dewan Komisaris menyebut</w:t>
      </w:r>
      <w:r>
        <w:t xml:space="preserve"> </w:t>
      </w:r>
      <w:r>
        <w:rPr>
          <w:iCs/>
          <w:i/>
        </w:rPr>
        <w:t xml:space="preserve">regulatory changes</w:t>
      </w:r>
      <w:r>
        <w:t xml:space="preserve"> </w:t>
      </w:r>
      <w:r>
        <w:t xml:space="preserve">sebagai risiko kunci (hlm. 41). [Inferensi] Secara neto, faktor pemerintah pada 2025 menguntungkan BBM industri dan JIIPE tetapi merugikan ritel, dan ketiga arah dampak itu bersumber dari keputusan administratif yang dapat berubah dalam satu tahun anggaran.</w:t>
      </w:r>
    </w:p>
    <w:bookmarkEnd w:id="49"/>
    <w:bookmarkStart w:id="50" w:name="key-factor-penyebab"/>
    <w:p>
      <w:pPr>
        <w:pStyle w:val="Heading3"/>
      </w:pPr>
      <w:r>
        <w:t xml:space="preserve">4.1.3 Key Factor Penyebab</w:t>
      </w:r>
    </w:p>
    <w:p>
      <w:pPr>
        <w:pStyle w:val="FirstParagraph"/>
      </w:pPr>
      <w:r>
        <w:t xml:space="preserve">Gejala yang teramati adalah kuota yang habis, mandatori yang naik, dan insentif KEK yang menarik tenant. Penyebabnya adalah tiga kekuatan di luar kendali AKR. [Inferensi] Pertama, tekanan fiskal subsidi energi. Dartanto (2013,</w:t>
      </w:r>
      <w:r>
        <w:t xml:space="preserve"> </w:t>
      </w:r>
      <w:r>
        <w:rPr>
          <w:iCs/>
          <w:i/>
        </w:rPr>
        <w:t xml:space="preserve">Energy Policy</w:t>
      </w:r>
      <w:r>
        <w:t xml:space="preserve">, SJR Q1) menunjukkan dengan simulasi bahwa subsidi BBM Indonesia bersifat regresif dan membebani fiskal, tetapi pencabutannya menaikkan kemiskinan tanpa kompensasi, sehingga pemerintah memilih jalan tengah: mempertahankan harga eceran bersubsidi sambil mengendalikan volume impor dan mendorong substitusi domestik. Burke dan Kurniawati (2018,</w:t>
      </w:r>
      <w:r>
        <w:t xml:space="preserve"> </w:t>
      </w:r>
      <w:r>
        <w:rPr>
          <w:iCs/>
          <w:i/>
        </w:rPr>
        <w:t xml:space="preserve">Energy Policy</w:t>
      </w:r>
      <w:r>
        <w:t xml:space="preserve">, SJR Q1) membuktikan pada kasus reformasi subsidi listrik Indonesia bahwa kenaikan harga menurunkan konsumsi secara signifikan; implikasinya, pemerintah memahami bahwa harga adalah alat pengendali permintaan, tetapi memilih menahannya karena biaya politik, sehingga beban berpindah ke kompensasi dan ke pembatasan kuantitas bagi swasta. Kedua, agenda ketahanan energi dan substitusi impor: B50, target penghentian impor bensin seiring RDMP Balikpapan [VERIFIKASI: pernyataan resmi target 2027], dan prioritas kilang Pertamina menjadikan impor swasta variabel penyeimbang yang dikendalikan ketat; Henisz (2000) menjelaskan mengapa aturan semacam ini dapat berubah cepat. Ketiga, nasionalisme sumber daya dan hilirisasi: Warburton (2017,</w:t>
      </w:r>
      <w:r>
        <w:t xml:space="preserve"> </w:t>
      </w:r>
      <w:r>
        <w:rPr>
          <w:iCs/>
          <w:i/>
        </w:rPr>
        <w:t xml:space="preserve">Journal of East Asian Studies</w:t>
      </w:r>
      <w:r>
        <w:t xml:space="preserve">, SJR: VERIFIKASI) menunjukkan bahwa kebijakan hilirisasi Indonesia bersumber dari koalisi politik domestik yang stabil lintas pemerintahan, sehingga insentif KEK bagi smelter bukan kebijakan sesaat; Frick et al. (2019) menambahkan bahwa KEK yang menyediakan infrastruktur pelabuhan dan energi, bukan hanya insentif pajak, yang berhasil menarik investasi.</w:t>
      </w:r>
    </w:p>
    <w:bookmarkEnd w:id="50"/>
    <w:bookmarkStart w:id="51" w:name="key-action"/>
    <w:p>
      <w:pPr>
        <w:pStyle w:val="Heading3"/>
      </w:pPr>
      <w:r>
        <w:t xml:space="preserve">4.1.4 Key Action</w:t>
      </w:r>
    </w:p>
    <w:p>
      <w:pPr>
        <w:pStyle w:val="FirstParagraph"/>
      </w:pPr>
      <w:r>
        <w:t xml:space="preserve">[Rekomendasi] Pertama, melembagakan strategi nonpasar (Baron, 1995): membentuk fungsi</w:t>
      </w:r>
      <w:r>
        <w:t xml:space="preserve"> </w:t>
      </w:r>
      <w:r>
        <w:rPr>
          <w:iCs/>
          <w:i/>
        </w:rPr>
        <w:t xml:space="preserve">Regulatory Affairs &amp; Energy Policy</w:t>
      </w:r>
      <w:r>
        <w:t xml:space="preserve"> </w:t>
      </w:r>
      <w:r>
        <w:t xml:space="preserve">di bawah Direktur Utama yang menyediakan data kebutuhan pasokan ritel kepada ESDM setiap semester, mengikuti permintaan pemerintah agar badan usaha menilai kebutuhan impor sebagai dasar kebijakan 2026 (AKR Corporindo, 2026a, hlm. 140). Pemilik: Direktur Utama dan Sekretaris Perusahaan; horizon 0–6 bulan; indikator: kuota 2027 disetujui sebelum 31 Desember 2026 dan nol hari kehabisan stok bensin di bp AKR. Kedua, mengurangi ketergantungan ritel pada impor dengan kontrak pasokan</w:t>
      </w:r>
      <w:r>
        <w:t xml:space="preserve"> </w:t>
      </w:r>
      <w:r>
        <w:rPr>
          <w:iCs/>
          <w:i/>
        </w:rPr>
        <w:t xml:space="preserve">base fuel</w:t>
      </w:r>
      <w:r>
        <w:t xml:space="preserve"> </w:t>
      </w:r>
      <w:r>
        <w:t xml:space="preserve">jangka panjang dengan Pertamina Patra Niaga dan uji kelayakan pencampuran domestik di terminal AKR, sehingga kuota menjadi pelengkap, bukan sumber tunggal. Pemilik: Direktur Trading &amp; Distribution dan Direksi PT Aneka Petroindo Raya; horizon 6–18 bulan; indikator: porsi pasokan non-kuota minimal 30% volume bp AKR [ESTIMASI: target penulis]. Ketiga, mengamankan kepastian KEK dan ketenagalistrikan JIIPE: mengajukan perpanjangan fasilitas tenant dan kepastian aturan penjualan listrik EBT dalam wilayah usaha BKMS kepada Administrator KEK dan Kementerian ESDM. Pemilik: Direksi BKMS; horizon 6–18 bulan; indikator: surat kepastian regulasi untuk skema energi hijau JIIPE.</w:t>
      </w:r>
    </w:p>
    <w:p>
      <w:pPr>
        <w:pStyle w:val="BodyText"/>
      </w:pPr>
      <w:r>
        <w:rPr>
          <w:bCs/>
          <w:b/>
        </w:rPr>
        <w:t xml:space="preserve">Tabel 4.1 Ancaman, peluang, dan implikasi strategis faktor Pemerintah dan Regulasi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Ancaman</w:t>
            </w:r>
          </w:p>
        </w:tc>
        <w:tc>
          <w:tcPr/>
          <w:p>
            <w:pPr>
              <w:pStyle w:val="Compact"/>
              <w:jc w:val="left"/>
            </w:pPr>
            <w:r>
              <w:t xml:space="preserve">Peluang</w:t>
            </w:r>
          </w:p>
        </w:tc>
        <w:tc>
          <w:tcPr/>
          <w:p>
            <w:pPr>
              <w:pStyle w:val="Compact"/>
              <w:jc w:val="left"/>
            </w:pPr>
            <w:r>
              <w:t xml:space="preserve">Implikasi Strategis</w:t>
            </w:r>
          </w:p>
        </w:tc>
      </w:tr>
      <w:tr>
        <w:tc>
          <w:tcPr/>
          <w:p>
            <w:pPr>
              <w:pStyle w:val="Compact"/>
              <w:jc w:val="left"/>
            </w:pPr>
            <w:r>
              <w:t xml:space="preserve">Kuota impor ritel dapat dipangkas lagi; penugasan BPH Migas bergantung tender tahunan; perubahan skema kompensasi dapat menunda arus kas</w:t>
            </w:r>
          </w:p>
        </w:tc>
        <w:tc>
          <w:tcPr/>
          <w:p>
            <w:pPr>
              <w:pStyle w:val="Compact"/>
              <w:jc w:val="left"/>
            </w:pPr>
            <w:r>
              <w:t xml:space="preserve">B50 menaikkan volume FAME yang disalurkan AKR; KEK dan hilirisasi menarik tenant energi-intensif ke JIIPE; pemerintah membutuhkan swasta andal untuk BBM Satu Harga</w:t>
            </w:r>
          </w:p>
        </w:tc>
        <w:tc>
          <w:tcPr/>
          <w:p>
            <w:pPr>
              <w:pStyle w:val="Compact"/>
              <w:jc w:val="left"/>
            </w:pPr>
            <w:r>
              <w:t xml:space="preserve">Perlakukan kebijakan sebagai variabel yang dapat dibentuk, bukan diterima; percepat porsi pendapatan yang tidak bergantung pada kuota (utilitas JIIPE, logistik); jadikan keandalan penugasan sebagai aset reputasi</w:t>
            </w:r>
          </w:p>
        </w:tc>
      </w:tr>
    </w:tbl>
    <w:p>
      <w:pPr>
        <w:pStyle w:val="BodyText"/>
      </w:pPr>
      <w:r>
        <w:t xml:space="preserve">Sumber: analisis penulis.</w:t>
      </w:r>
    </w:p>
    <w:bookmarkEnd w:id="51"/>
    <w:bookmarkEnd w:id="52"/>
    <w:bookmarkStart w:id="57" w:name="faktor-ekonomi"/>
    <w:p>
      <w:pPr>
        <w:pStyle w:val="Heading2"/>
      </w:pPr>
      <w:r>
        <w:t xml:space="preserve">4.2 Faktor Ekonomi</w:t>
      </w:r>
    </w:p>
    <w:bookmarkStart w:id="53" w:name="issue-20242026-1"/>
    <w:p>
      <w:pPr>
        <w:pStyle w:val="Heading3"/>
      </w:pPr>
      <w:r>
        <w:t xml:space="preserve">4.2.1 Issue 2024–2026</w:t>
      </w:r>
    </w:p>
    <w:p>
      <w:pPr>
        <w:pStyle w:val="FirstParagraph"/>
      </w:pPr>
      <w:r>
        <w:t xml:space="preserve">[Fakta] Ekonomi Indonesia tumbuh 5,11% pada 2025 di tengah tarif perdagangan, ketegangan geopolitik, dan volatilitas harga energi (AKR Corporindo, 2026a, hlm. 44). [Fakta] Pada akhir Februari 2026 serangan udara Amerika Serikat dan Israel ke Iran memicu gangguan pasokan minyak dan gas, yang dicatat AKR sebagai peristiwa material setelah tanggal laporan auditor (AKR Corporindo, 2026a, hlm. 138); Pertamina menaikkan harga Pertamax Turbo, Dexlite, dan Pertamina Dex pada 18 April 2026 dengan merujuk gangguan Selat Hormuz (Kompas, 18 April 2026). [Fakta] Kementerian Keuangan melaporkan rata-rata ICP USD 91,9 per barel dan kurs Rp17.449 per dolar AS hingga September 2026 (ANTARA, 9 Oktober 2026). [Fakta] Pertambangan adalah basis pelanggan utama BBM industri AKR, dan pemerintah menargetkan produksi batu bara 2026 di bawah 700 juta ton (AKR Corporindo, 2026a, hlm. 136, 140).</w:t>
      </w:r>
    </w:p>
    <w:bookmarkEnd w:id="53"/>
    <w:bookmarkStart w:id="54" w:name="dampak-terukur-pada-akr-1"/>
    <w:p>
      <w:pPr>
        <w:pStyle w:val="Heading3"/>
      </w:pPr>
      <w:r>
        <w:t xml:space="preserve">4.2.2 Dampak Terukur pada AKR</w:t>
      </w:r>
    </w:p>
    <w:p>
      <w:pPr>
        <w:pStyle w:val="FirstParagraph"/>
      </w:pPr>
      <w:r>
        <w:t xml:space="preserve">[Fakta] Pendapatan AKR mengikuti harga minyak—naik 85% pada 2022, turun pada 2023–2024, dan naik 19% pada 2025—sementara laba kotor bergerak jauh lebih sempit (Tabel 3.2). [Fakta] Penjelasannya adalah model</w:t>
      </w:r>
      <w:r>
        <w:t xml:space="preserve"> </w:t>
      </w:r>
      <w:r>
        <w:rPr>
          <w:iCs/>
          <w:i/>
        </w:rPr>
        <w:t xml:space="preserve">formula-based pricing</w:t>
      </w:r>
      <w:r>
        <w:t xml:space="preserve"> </w:t>
      </w:r>
      <w:r>
        <w:t xml:space="preserve">dengan prinsip</w:t>
      </w:r>
      <w:r>
        <w:t xml:space="preserve"> </w:t>
      </w:r>
      <w:r>
        <w:rPr>
          <w:iCs/>
          <w:i/>
        </w:rPr>
        <w:t xml:space="preserve">zero net open position</w:t>
      </w:r>
      <w:r>
        <w:t xml:space="preserve"> </w:t>
      </w:r>
      <w:r>
        <w:t xml:space="preserve">yang memindahkan risiko harga dan kurs kepada pelanggan (AKR Corporindo, 2026a, hlm. 115; AKR Corporindo, 2026b, hlm. 76); laporan keuangan mencatat bahwa penjualan BBM menyumbang lebih dari 50% penjualan dan bahwa perusahaan mengandalkan lindung nilai alami (AKR Corporindo, 2026a, hlm. 429). [Fakta] Dampak yang tidak terlindungi adalah modal kerja: piutang usaha naik 37% menjadi Rp10.769 miliar pada 2025 seiring volume dan harga (AKR Corporindo, 2026a, hlm. 124), sementara arus kas operasi 2024 anjlok ke Rp1.347 miliar sebelum pulih ke Rp3.941 miliar pada 2025 (hlm. 26). [Inferensi] Guncangan harga 2026 kemungkinan besar menaikkan pendapatan nominal dan laba kotor per liter dalam rupiah, konsisten dengan laba sembilan bulan 2026 yang dilaporkan tumbuh 34% (Kontan, Oktober 2026) [VERIFIKASI], tetapi menaikkan kebutuhan modal kerja dan risiko kredit pelanggan tambang. [Inferensi] Pada JIIPE, siklus komoditas menentukan waktu keputusan investasi tenant logam.</w:t>
      </w:r>
    </w:p>
    <w:bookmarkEnd w:id="54"/>
    <w:bookmarkStart w:id="55" w:name="key-factor-penyebab-1"/>
    <w:p>
      <w:pPr>
        <w:pStyle w:val="Heading3"/>
      </w:pPr>
      <w:r>
        <w:t xml:space="preserve">4.2.3 Key Factor Penyebab</w:t>
      </w:r>
    </w:p>
    <w:p>
      <w:pPr>
        <w:pStyle w:val="FirstParagraph"/>
      </w:pPr>
      <w:r>
        <w:t xml:space="preserve">Gejalanya adalah volatilitas pendapatan, kenaikan piutang, dan kenaikan harga eceran. [Inferensi] Penyebab pertama adalah guncangan pasokan minyak global yang bersifat geopolitik. Kilian (2009) menunjukkan bahwa guncangan pasokan menaikkan harga dengan dampak kontraktif pada ekonomi pengimpor, berbeda dari guncangan permintaan yang disertai pertumbuhan; gangguan Hormuz 2026 termasuk guncangan pasokan, sehingga kenaikan harga tidak disertai kenaikan permintaan pelanggan AKR. Hamilton (2009) menunjukkan guncangan semacam ini menekan konsumsi rumah tangga, yaitu volume ritel bp AKR. Penyebab kedua adalah transmisi kurs: Basher et al. (2012) menemukan kenaikan harga minyak melemahkan kurs negara pengimpor, dan pelemahan rupiah ke Rp17.449 menaikkan harga beli impor dalam rupiah yang, melalui formula, menaikkan nilai piutang dan kebutuhan pembiayaan modal kerja. Penyebab ketiga adalah struktur</w:t>
      </w:r>
      <w:r>
        <w:t xml:space="preserve"> </w:t>
      </w:r>
      <w:r>
        <w:rPr>
          <w:iCs/>
          <w:i/>
        </w:rPr>
        <w:t xml:space="preserve">pass-through</w:t>
      </w:r>
      <w:r>
        <w:t xml:space="preserve"> </w:t>
      </w:r>
      <w:r>
        <w:t xml:space="preserve">yang diadministrasi: Borenstein et al. (1997) menunjukkan asimetri harga eceran di pasar bebas, tetapi di Indonesia asimetri itu dibalik oleh negara—harga bersubsidi tidak naik, harga nonsubsidi naik tertunda—sehingga permintaan bermigrasi ke produk bersubsidi dan beban berpindah ke APBN; Froot et al. (1993) menjelaskan mengapa lindung nilai arus kas tetap bernilai meskipun margin per unit sudah berbasis formula, yaitu untuk menjaga kapasitas investasi saat pembiayaan eksternal mahal.</w:t>
      </w:r>
    </w:p>
    <w:bookmarkEnd w:id="55"/>
    <w:bookmarkStart w:id="56" w:name="key-action-1"/>
    <w:p>
      <w:pPr>
        <w:pStyle w:val="Heading3"/>
      </w:pPr>
      <w:r>
        <w:t xml:space="preserve">4.2.4 Key Action</w:t>
      </w:r>
    </w:p>
    <w:p>
      <w:pPr>
        <w:pStyle w:val="FirstParagraph"/>
      </w:pPr>
      <w:r>
        <w:t xml:space="preserve">[Rekomendasi] Pertama, menetapkan kebijakan modal kerja berbasis skenario harga: fasilitas kredit</w:t>
      </w:r>
      <w:r>
        <w:t xml:space="preserve"> </w:t>
      </w:r>
      <w:r>
        <w:rPr>
          <w:iCs/>
          <w:i/>
        </w:rPr>
        <w:t xml:space="preserve">revolving</w:t>
      </w:r>
      <w:r>
        <w:t xml:space="preserve"> </w:t>
      </w:r>
      <w:r>
        <w:t xml:space="preserve">siaga setara 15% piutang puncak dan lindung nilai kurs atas eksposur impor yang belum tertagih [ESTIMASI: parameter penulis]. Pemilik: Direktur Keuangan; horizon 0–6 bulan; indikator: siklus konversi kas di bawah 30 hari dan nol pelanggaran kovenan. Kedua, menggeser bauran pelanggan industri dari pertambangan batu bara menuju smelter, pembangkit, dan tenant JIIPE yang permintaannya lebih stabil. Pemilik: Direktur Trading &amp; Distribution; horizon 6–18 bulan; indikator: porsi volume non-batu bara naik 10 poin persentase [ESTIMASI]. Ketiga, memasukkan klausul penyesuaian kurs dan harga ke kontrak jual lahan dan utilitas JIIPE agar siklus komoditas tenant tidak menggerus margin kawasan. Pemilik: Direksi BKMS; horizon 6–18 bulan; indikator: 100% kontrak baru memuat klausul penyesuaian.</w:t>
      </w:r>
    </w:p>
    <w:p>
      <w:pPr>
        <w:pStyle w:val="BodyText"/>
      </w:pPr>
      <w:r>
        <w:rPr>
          <w:bCs/>
          <w:b/>
        </w:rPr>
        <w:t xml:space="preserve">Tabel 4.2 Ancaman, peluang, dan implikasi strategis faktor Ekonomi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Ancaman</w:t>
            </w:r>
          </w:p>
        </w:tc>
        <w:tc>
          <w:tcPr/>
          <w:p>
            <w:pPr>
              <w:pStyle w:val="Compact"/>
              <w:jc w:val="left"/>
            </w:pPr>
            <w:r>
              <w:t xml:space="preserve">Peluang</w:t>
            </w:r>
          </w:p>
        </w:tc>
        <w:tc>
          <w:tcPr/>
          <w:p>
            <w:pPr>
              <w:pStyle w:val="Compact"/>
              <w:jc w:val="left"/>
            </w:pPr>
            <w:r>
              <w:t xml:space="preserve">Implikasi Strategis</w:t>
            </w:r>
          </w:p>
        </w:tc>
      </w:tr>
      <w:tr>
        <w:tc>
          <w:tcPr/>
          <w:p>
            <w:pPr>
              <w:pStyle w:val="Compact"/>
              <w:jc w:val="left"/>
            </w:pPr>
            <w:r>
              <w:t xml:space="preserve">Guncangan pasokan minyak menaikkan modal kerja dan risiko kredit; pelemahan rupiah; perlambatan pertambangan batu bara menurunkan volume industri</w:t>
            </w:r>
          </w:p>
        </w:tc>
        <w:tc>
          <w:tcPr/>
          <w:p>
            <w:pPr>
              <w:pStyle w:val="Compact"/>
              <w:jc w:val="left"/>
            </w:pPr>
            <w:r>
              <w:t xml:space="preserve">Harga tinggi menaikkan laba kotor nominal berbasis formula; hilirisasi logam menopang permintaan energi industri; neraca kas bersih memungkinkan akuisisi aset saat pesaing tertekan</w:t>
            </w:r>
          </w:p>
        </w:tc>
        <w:tc>
          <w:tcPr/>
          <w:p>
            <w:pPr>
              <w:pStyle w:val="Compact"/>
              <w:jc w:val="left"/>
            </w:pPr>
            <w:r>
              <w:t xml:space="preserve">Pertahankan disiplin</w:t>
            </w:r>
            <w:r>
              <w:t xml:space="preserve"> </w:t>
            </w:r>
            <w:r>
              <w:rPr>
                <w:iCs/>
                <w:i/>
              </w:rPr>
              <w:t xml:space="preserve">net open position</w:t>
            </w:r>
            <w:r>
              <w:t xml:space="preserve"> </w:t>
            </w:r>
            <w:r>
              <w:t xml:space="preserve">nol; kelola modal kerja sebagai risiko utama, bukan harga; percepat pendapatan berulang yang tidak berkorelasi dengan harga minyak</w:t>
            </w:r>
          </w:p>
        </w:tc>
      </w:tr>
    </w:tbl>
    <w:p>
      <w:pPr>
        <w:pStyle w:val="BodyText"/>
      </w:pPr>
      <w:r>
        <w:t xml:space="preserve">Sumber: analisis penulis.</w:t>
      </w:r>
    </w:p>
    <w:bookmarkEnd w:id="56"/>
    <w:bookmarkEnd w:id="57"/>
    <w:bookmarkStart w:id="62" w:name="X19fa34bbeac1645e912f933bca467b515958f25"/>
    <w:p>
      <w:pPr>
        <w:pStyle w:val="Heading2"/>
      </w:pPr>
      <w:r>
        <w:t xml:space="preserve">4.3 Faktor Teknologi dan Lingkungan (Transisi Energi)</w:t>
      </w:r>
    </w:p>
    <w:bookmarkStart w:id="58" w:name="issue-20242026-2"/>
    <w:p>
      <w:pPr>
        <w:pStyle w:val="Heading3"/>
      </w:pPr>
      <w:r>
        <w:t xml:space="preserve">4.3.1 Issue 2024–2026</w:t>
      </w:r>
    </w:p>
    <w:p>
      <w:pPr>
        <w:pStyle w:val="FirstParagraph"/>
      </w:pPr>
      <w:r>
        <w:t xml:space="preserve">[Fakta] Pangsa kendaraan elektrifikasi (HEV, PHEV, BEV) mencapai 26,8% dari pasar mobil nasional pada semester I 2026 dengan BEV 15,9% atau 69.739 unit, naik sekitar 81% dari tahun sebelumnya (Kompas, 14 Juli 2026). [Fakta] Mandatori B50 berlaku 1 Juli 2026 dan mengubah spesifikasi produk yang disalurkan seluruh distributor solar (CNBC Indonesia, 1 Juli 2026). [Fakta] Di JIIPE, tenant eksportir menghadapi tuntutan karbon rantai pasok: Golden Elephant memproduksi asam nitrat dan amonium nitrat (AKR Corporindo, 2026a, hlm. 120) yang termasuk cakupan</w:t>
      </w:r>
      <w:r>
        <w:t xml:space="preserve"> </w:t>
      </w:r>
      <w:r>
        <w:rPr>
          <w:iCs/>
          <w:i/>
        </w:rPr>
        <w:t xml:space="preserve">Carbon Border Adjustment Mechanism</w:t>
      </w:r>
      <w:r>
        <w:t xml:space="preserve"> </w:t>
      </w:r>
      <w:r>
        <w:t xml:space="preserve">Uni Eropa pada fase definitif sejak 2026 [VERIFIKASI: Regulation (EU) 2023/956, Annex I], sementara pabrik kaca surya dan</w:t>
      </w:r>
      <w:r>
        <w:t xml:space="preserve"> </w:t>
      </w:r>
      <w:r>
        <w:rPr>
          <w:iCs/>
          <w:i/>
        </w:rPr>
        <w:t xml:space="preserve">copper foil</w:t>
      </w:r>
      <w:r>
        <w:t xml:space="preserve"> </w:t>
      </w:r>
      <w:r>
        <w:t xml:space="preserve">melayani rantai pasok panel surya dan baterai yang mensyaratkan deklarasi jejak karbon [VERIFIKASI: EU Battery Regulation 2023/1542]. [Fakta] Posisi AKR: emisi Scope 1 dan 2 2025 sebesar 50.124 tCO₂e (2024: 53.596), Scope 3 64.281 tCO₂e (2024: 91.637), bauran EBT internal 26% dengan target 30% pada 2030, tanpa target</w:t>
      </w:r>
      <w:r>
        <w:t xml:space="preserve"> </w:t>
      </w:r>
      <w:r>
        <w:rPr>
          <w:iCs/>
          <w:i/>
        </w:rPr>
        <w:t xml:space="preserve">net zero</w:t>
      </w:r>
      <w:r>
        <w:t xml:space="preserve"> </w:t>
      </w:r>
      <w:r>
        <w:t xml:space="preserve">korporat yang berangka meskipun berkomitmen mendukung NZE nasional 2060; peringkat MSCI ESG naik dari A ke AA dan Sustainalytics 20,9 (AKR Corporindo, 2026b, hlm. 7, 52, 164; AKR Corporindo, 2026a, hlm. 41). [Fakta] Infrastruktur rendah karbon yang direncanakan: PLTS JIIPE 56 MWp fase pertama (studi kelayakan) menuju 148 MWp pada 2032, PLTS terapung 55 MW oleh BREN, dan terminal LNG bersama bp Gas &amp; Power beroperasi 2029 (AKR Corporindo, 2026b, hlm. 42, 61, 92).</w:t>
      </w:r>
    </w:p>
    <w:bookmarkEnd w:id="58"/>
    <w:bookmarkStart w:id="59" w:name="dampak-terukur-pada-akr-2"/>
    <w:p>
      <w:pPr>
        <w:pStyle w:val="Heading3"/>
      </w:pPr>
      <w:r>
        <w:t xml:space="preserve">4.3.2 Dampak Terukur pada AKR</w:t>
      </w:r>
    </w:p>
    <w:p>
      <w:pPr>
        <w:pStyle w:val="FirstParagraph"/>
      </w:pPr>
      <w:r>
        <w:t xml:space="preserve">[Inferensi] Dampak jangka pendek pada laba terbatas karena 73% laba kotor berasal dari pelanggan industri, pertambangan, dan pembangkit yang belum memiliki substitusi listrik skala besar; B50 justru menaikkan volume FAME yang disalurkan AKR. [Inferensi] Dampak jangka menengah terasa pada ritel: stok kendaraan bensin masih dominan hingga 2030, tetapi pertumbuhan permintaan bensin di koridor perkotaan Jawa, lokasi 72 SPBU bp AKR, akan melandai. [Fakta] Laporan Tahunan mengakui risiko industri berupa transisi ke energi bersih dan risiko teknologi berupa keterlambatan adopsi sistem digital (AKR Corporindo, 2026a, hlm. 236), dan Laporan Keberlanjutan mencatat</w:t>
      </w:r>
      <w:r>
        <w:t xml:space="preserve"> </w:t>
      </w:r>
      <w:r>
        <w:t xml:space="preserve">“</w:t>
      </w:r>
      <w:r>
        <w:t xml:space="preserve">Advancing EV ecosystem</w:t>
      </w:r>
      <w:r>
        <w:t xml:space="preserve">”</w:t>
      </w:r>
      <w:r>
        <w:t xml:space="preserve"> </w:t>
      </w:r>
      <w:r>
        <w:t xml:space="preserve">sebagai peluang pasar tanpa rincian (AKR Corporindo, 2026b, hlm. 65). [Inferensi] Dampak paling besar justru berupa peluang: pendapatan utilitas JIIPE Rp727 miliar yang tumbuh 129% (AKR Corporindo, 2026a, hlm. 117) berasal dari tenant yang membutuhkan listrik dan gas dalam jumlah besar dan yang pembelinya menuntut bukti rendah karbon; setiap kWh yang dapat dibuktikan rendah karbon bernilai lebih tinggi daripada kWh biasa.</w:t>
      </w:r>
    </w:p>
    <w:bookmarkEnd w:id="59"/>
    <w:bookmarkStart w:id="60" w:name="key-factor-penyebab-2"/>
    <w:p>
      <w:pPr>
        <w:pStyle w:val="Heading3"/>
      </w:pPr>
      <w:r>
        <w:t xml:space="preserve">4.3.3 Key Factor Penyebab</w:t>
      </w:r>
    </w:p>
    <w:p>
      <w:pPr>
        <w:pStyle w:val="FirstParagraph"/>
      </w:pPr>
      <w:r>
        <w:t xml:space="preserve">Gejalanya adalah kenaikan pangsa EV, mandatori biofuel, dan permintaan energi rendah karbon tenant. [Inferensi] Penyebab pertama adalah penurunan biaya teknologi yang mengikuti kurva S (Geroski, 2000) dan efek jaringan tidak langsung antara EV dan infrastruktur pengisian (Li et al., 2017); Sierzchula et al. (2014) menunjukkan insentif fiskal dan kepadatan pengisi daya memprediksi adopsi, dan Hardman et al. (2018,</w:t>
      </w:r>
      <w:r>
        <w:t xml:space="preserve"> </w:t>
      </w:r>
      <w:r>
        <w:rPr>
          <w:iCs/>
          <w:i/>
        </w:rPr>
        <w:t xml:space="preserve">Transportation Research Part D</w:t>
      </w:r>
      <w:r>
        <w:t xml:space="preserve">, SJR Q1) merangkum bahwa konsumen menilai keandalan dan lokasi pengisian cepat di koridor antarkota sebagai penentu adopsi—persis lokasi SPBU bp AKR di jalan tol. Penyebab kedua adalah tekanan</w:t>
      </w:r>
      <w:r>
        <w:t xml:space="preserve"> </w:t>
      </w:r>
      <w:r>
        <w:rPr>
          <w:iCs/>
          <w:i/>
        </w:rPr>
        <w:t xml:space="preserve">landscape</w:t>
      </w:r>
      <w:r>
        <w:t xml:space="preserve"> </w:t>
      </w:r>
      <w:r>
        <w:t xml:space="preserve">(Geels, 2002) berupa kebijakan iklim pembeli global yang diterjemahkan menjadi persyaratan rantai pasok; Dechezleprêtre dan Sato (2017) menunjukkan bahwa perbedaan regulasi karbon antarnegara memindahkan pola perdagangan, sehingga tenant eksportir di Indonesia mencari pasokan energi yang dapat diaudit. Penyebab ketiga adalah hambatan struktural EBT di Indonesia: Maulidia et al. (2019,</w:t>
      </w:r>
      <w:r>
        <w:t xml:space="preserve"> </w:t>
      </w:r>
      <w:r>
        <w:rPr>
          <w:iCs/>
          <w:i/>
        </w:rPr>
        <w:t xml:space="preserve">Renewable and Sustainable Energy Reviews</w:t>
      </w:r>
      <w:r>
        <w:t xml:space="preserve">, SJR Q1) dan Burke et al. (2019,</w:t>
      </w:r>
      <w:r>
        <w:t xml:space="preserve"> </w:t>
      </w:r>
      <w:r>
        <w:rPr>
          <w:iCs/>
          <w:i/>
        </w:rPr>
        <w:t xml:space="preserve">Energy Policy</w:t>
      </w:r>
      <w:r>
        <w:t xml:space="preserve">, SJR Q1) mengidentifikasi monopoli wilayah usaha PLN, tarif, dan ketidakpastian regulasi sebagai penghambat utama; justru hambatan ini membuat lisensi ketenagalistrikan 515 MW JIIPE menjadi aset langka. Penyebab keempat adalah mekanisme</w:t>
      </w:r>
      <w:r>
        <w:t xml:space="preserve"> </w:t>
      </w:r>
      <w:r>
        <w:rPr>
          <w:iCs/>
          <w:i/>
        </w:rPr>
        <w:t xml:space="preserve">stranded assets</w:t>
      </w:r>
      <w:r>
        <w:t xml:space="preserve"> </w:t>
      </w:r>
      <w:r>
        <w:t xml:space="preserve">(Mercure et al., 2018; Semieniuk et al., 2022,</w:t>
      </w:r>
      <w:r>
        <w:t xml:space="preserve"> </w:t>
      </w:r>
      <w:r>
        <w:rPr>
          <w:iCs/>
          <w:i/>
        </w:rPr>
        <w:t xml:space="preserve">Nature Climate Change</w:t>
      </w:r>
      <w:r>
        <w:t xml:space="preserve">, SJR Q1): difusi teknologi yang sudah berjalan menggerus nilai infrastruktur fosil hilir, termasuk terminal dan SPBU, dalam horizon panjang.</w:t>
      </w:r>
    </w:p>
    <w:bookmarkEnd w:id="60"/>
    <w:bookmarkStart w:id="61" w:name="key-action-2"/>
    <w:p>
      <w:pPr>
        <w:pStyle w:val="Heading3"/>
      </w:pPr>
      <w:r>
        <w:t xml:space="preserve">4.3.4 Key Action</w:t>
      </w:r>
    </w:p>
    <w:p>
      <w:pPr>
        <w:pStyle w:val="FirstParagraph"/>
      </w:pPr>
      <w:r>
        <w:t xml:space="preserve">[Rekomendasi] Pertama, menetapkan</w:t>
      </w:r>
      <w:r>
        <w:t xml:space="preserve"> </w:t>
      </w:r>
      <w:r>
        <w:rPr>
          <w:iCs/>
          <w:i/>
        </w:rPr>
        <w:t xml:space="preserve">baseline</w:t>
      </w:r>
      <w:r>
        <w:t xml:space="preserve"> </w:t>
      </w:r>
      <w:r>
        <w:t xml:space="preserve">emisi dan target intensitas karbon per segmen yang berangka, serta menyiapkan pelaporan sesuai IFRS S1/S2 yang sedang diadopsi di Indonesia [VERIFIKASI: tanggal efektif adopsi DSAK]. Pemilik: Komite ESG dan Direktur Keuangan; horizon 0–6 bulan; indikator: target intensitas disetujui Dewan Komisaris. Kedua, memulai pilot stasiun multi-energi di dua SPBU bp AKR di rest area tol dengan mitra penyedia pengisian cepat untuk menguji ekonomi retail non-BBM. Pemilik: Direksi PT Aneka Petroindo Raya; horizon 6–18 bulan; indikator: pendapatan non-BBM 15% dari pendapatan gerai pilot [ESTIMASI]. Ketiga, mempercepat keputusan investasi PLTS 56 MWp dan PLTS terapung 55 MW dengan kontrak jual listrik hijau yang ditandatangani tenant terlebih dahulu, bukan dibangun lalu dijual. Pemilik: Direksi BKMS dan BREN; horizon 6–18 bulan; indikator: kontrak minimal 30 MW sebelum keputusan investasi akhir [ESTIMASI].</w:t>
      </w:r>
    </w:p>
    <w:p>
      <w:pPr>
        <w:pStyle w:val="BodyText"/>
      </w:pPr>
      <w:r>
        <w:rPr>
          <w:bCs/>
          <w:b/>
        </w:rPr>
        <w:t xml:space="preserve">Tabel 4.3 Ancaman, peluang, dan implikasi strategis faktor Teknologi dan Lingkungan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Ancaman</w:t>
            </w:r>
          </w:p>
        </w:tc>
        <w:tc>
          <w:tcPr/>
          <w:p>
            <w:pPr>
              <w:pStyle w:val="Compact"/>
              <w:jc w:val="left"/>
            </w:pPr>
            <w:r>
              <w:t xml:space="preserve">Peluang</w:t>
            </w:r>
          </w:p>
        </w:tc>
        <w:tc>
          <w:tcPr/>
          <w:p>
            <w:pPr>
              <w:pStyle w:val="Compact"/>
              <w:jc w:val="left"/>
            </w:pPr>
            <w:r>
              <w:t xml:space="preserve">Implikasi Strategis</w:t>
            </w:r>
          </w:p>
        </w:tc>
      </w:tr>
      <w:tr>
        <w:tc>
          <w:tcPr/>
          <w:p>
            <w:pPr>
              <w:pStyle w:val="Compact"/>
              <w:jc w:val="left"/>
            </w:pPr>
            <w:r>
              <w:t xml:space="preserve">Erosi permintaan bensin ritel di koridor Jawa; risiko</w:t>
            </w:r>
            <w:r>
              <w:t xml:space="preserve"> </w:t>
            </w:r>
            <w:r>
              <w:rPr>
                <w:iCs/>
                <w:i/>
              </w:rPr>
              <w:t xml:space="preserve">stranded</w:t>
            </w:r>
            <w:r>
              <w:t xml:space="preserve"> </w:t>
            </w:r>
            <w:r>
              <w:t xml:space="preserve">terminal dan SPBU jangka panjang; tuntutan pelaporan dan pembeli global yang tidak dapat dipenuhi</w:t>
            </w:r>
          </w:p>
        </w:tc>
        <w:tc>
          <w:tcPr/>
          <w:p>
            <w:pPr>
              <w:pStyle w:val="Compact"/>
              <w:jc w:val="left"/>
            </w:pPr>
            <w:r>
              <w:t xml:space="preserve">Permintaan energi rendah karbon yang dapat diaudit dari tenant eksportir JIIPE; B50 menaikkan volume FAME; lisensi 515 MW dan lahan JIIPE memungkinkan AKR menjadi penyedia utilitas hijau</w:t>
            </w:r>
          </w:p>
        </w:tc>
        <w:tc>
          <w:tcPr/>
          <w:p>
            <w:pPr>
              <w:pStyle w:val="Compact"/>
              <w:jc w:val="left"/>
            </w:pPr>
            <w:r>
              <w:t xml:space="preserve">Posisikan JIIPE sebagai</w:t>
            </w:r>
            <w:r>
              <w:t xml:space="preserve"> </w:t>
            </w:r>
            <w:r>
              <w:rPr>
                <w:iCs/>
                <w:i/>
              </w:rPr>
              <w:t xml:space="preserve">niche</w:t>
            </w:r>
            <w:r>
              <w:t xml:space="preserve"> </w:t>
            </w:r>
            <w:r>
              <w:t xml:space="preserve">transisi energi, bukan sekadar kawasan; ubah utilitas dari komoditas menjadi layanan bersertifikat; siapkan ritel untuk multi-energi secara bertahap</w:t>
            </w:r>
          </w:p>
        </w:tc>
      </w:tr>
    </w:tbl>
    <w:p>
      <w:pPr>
        <w:pStyle w:val="BodyText"/>
      </w:pPr>
      <w:r>
        <w:t xml:space="preserve">Sumber: analisis penulis.</w:t>
      </w:r>
    </w:p>
    <w:bookmarkEnd w:id="61"/>
    <w:bookmarkEnd w:id="62"/>
    <w:bookmarkStart w:id="63" w:name="sintesis-matriks-faktor-dan-interaksi"/>
    <w:p>
      <w:pPr>
        <w:pStyle w:val="Heading2"/>
      </w:pPr>
      <w:r>
        <w:t xml:space="preserve">4.4 Sintesis: Matriks Faktor dan Interaksi</w:t>
      </w:r>
    </w:p>
    <w:p>
      <w:pPr>
        <w:pStyle w:val="FirstParagraph"/>
      </w:pPr>
      <w:r>
        <w:rPr>
          <w:bCs/>
          <w:b/>
        </w:rPr>
        <w:t xml:space="preserve">Tabel 4.4 Matriks penilaian faktor eksternal (skor 1–5; 5 = paling tinggi)</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Faktor</w:t>
            </w:r>
          </w:p>
        </w:tc>
        <w:tc>
          <w:tcPr/>
          <w:p>
            <w:pPr>
              <w:pStyle w:val="Compact"/>
              <w:jc w:val="left"/>
            </w:pPr>
            <w:r>
              <w:t xml:space="preserve">Magnitudo</w:t>
            </w:r>
          </w:p>
        </w:tc>
        <w:tc>
          <w:tcPr/>
          <w:p>
            <w:pPr>
              <w:pStyle w:val="Compact"/>
              <w:jc w:val="left"/>
            </w:pPr>
            <w:r>
              <w:t xml:space="preserve">Probabilitas</w:t>
            </w:r>
          </w:p>
        </w:tc>
        <w:tc>
          <w:tcPr/>
          <w:p>
            <w:pPr>
              <w:pStyle w:val="Compact"/>
              <w:jc w:val="left"/>
            </w:pPr>
            <w:r>
              <w:t xml:space="preserve">Kecepatan</w:t>
            </w:r>
          </w:p>
        </w:tc>
        <w:tc>
          <w:tcPr/>
          <w:p>
            <w:pPr>
              <w:pStyle w:val="Compact"/>
              <w:jc w:val="left"/>
            </w:pPr>
            <w:r>
              <w:t xml:space="preserve">Kontrolabilitas (5 = paling sulit dikendalikan)</w:t>
            </w:r>
          </w:p>
        </w:tc>
        <w:tc>
          <w:tcPr/>
          <w:p>
            <w:pPr>
              <w:pStyle w:val="Compact"/>
              <w:jc w:val="left"/>
            </w:pPr>
            <w:r>
              <w:t xml:space="preserve">Total</w:t>
            </w:r>
          </w:p>
        </w:tc>
        <w:tc>
          <w:tcPr/>
          <w:p>
            <w:pPr>
              <w:pStyle w:val="Compact"/>
              <w:jc w:val="left"/>
            </w:pPr>
            <w:r>
              <w:t xml:space="preserve">Justifikasi ringkas</w:t>
            </w:r>
          </w:p>
        </w:tc>
      </w:tr>
      <w:tr>
        <w:tc>
          <w:tcPr/>
          <w:p>
            <w:pPr>
              <w:pStyle w:val="Compact"/>
              <w:jc w:val="left"/>
            </w:pPr>
            <w:r>
              <w:t xml:space="preserve">Pemerintah &amp; Regulasi</w:t>
            </w:r>
          </w:p>
        </w:tc>
        <w:tc>
          <w:tcPr/>
          <w:p>
            <w:pPr>
              <w:pStyle w:val="Compact"/>
              <w:jc w:val="left"/>
            </w:pPr>
            <w:r>
              <w:t xml:space="preserve">5</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19</w:t>
            </w:r>
          </w:p>
        </w:tc>
        <w:tc>
          <w:tcPr/>
          <w:p>
            <w:pPr>
              <w:pStyle w:val="Compact"/>
              <w:jc w:val="left"/>
            </w:pPr>
            <w:r>
              <w:t xml:space="preserve">Menentukan volume (kuota, penugasan), produk (B50), harga (subsidi), dan insentif KEK; berubah tiap tahun; hanya dapat dipengaruhi di margin melalui strategi nonpasar</w:t>
            </w:r>
          </w:p>
        </w:tc>
      </w:tr>
      <w:tr>
        <w:tc>
          <w:tcPr/>
          <w:p>
            <w:pPr>
              <w:pStyle w:val="Compact"/>
              <w:jc w:val="left"/>
            </w:pPr>
            <w:r>
              <w:t xml:space="preserve">Ekonomi</w:t>
            </w:r>
          </w:p>
        </w:tc>
        <w:tc>
          <w:tcPr/>
          <w:p>
            <w:pPr>
              <w:pStyle w:val="Compact"/>
              <w:jc w:val="left"/>
            </w:pPr>
            <w:r>
              <w:t xml:space="preserve">4</w:t>
            </w:r>
          </w:p>
        </w:tc>
        <w:tc>
          <w:tcPr/>
          <w:p>
            <w:pPr>
              <w:pStyle w:val="Compact"/>
              <w:jc w:val="left"/>
            </w:pPr>
            <w:r>
              <w:t xml:space="preserve">5</w:t>
            </w:r>
          </w:p>
        </w:tc>
        <w:tc>
          <w:tcPr/>
          <w:p>
            <w:pPr>
              <w:pStyle w:val="Compact"/>
              <w:jc w:val="left"/>
            </w:pPr>
            <w:r>
              <w:t xml:space="preserve">5</w:t>
            </w:r>
          </w:p>
        </w:tc>
        <w:tc>
          <w:tcPr/>
          <w:p>
            <w:pPr>
              <w:pStyle w:val="Compact"/>
              <w:jc w:val="left"/>
            </w:pPr>
            <w:r>
              <w:t xml:space="preserve">3</w:t>
            </w:r>
          </w:p>
        </w:tc>
        <w:tc>
          <w:tcPr/>
          <w:p>
            <w:pPr>
              <w:pStyle w:val="Compact"/>
              <w:jc w:val="left"/>
            </w:pPr>
            <w:r>
              <w:t xml:space="preserve">17</w:t>
            </w:r>
          </w:p>
        </w:tc>
        <w:tc>
          <w:tcPr/>
          <w:p>
            <w:pPr>
              <w:pStyle w:val="Compact"/>
              <w:jc w:val="left"/>
            </w:pPr>
            <w:r>
              <w:t xml:space="preserve">Guncangan 2026 nyata dan berulang, tetapi margin dilindungi formula; dampak terbesar pada modal kerja yang dapat dikelola</w:t>
            </w:r>
          </w:p>
        </w:tc>
      </w:tr>
      <w:tr>
        <w:tc>
          <w:tcPr/>
          <w:p>
            <w:pPr>
              <w:pStyle w:val="Compact"/>
              <w:jc w:val="left"/>
            </w:pPr>
            <w:r>
              <w:t xml:space="preserve">Teknologi &amp; Lingkungan</w:t>
            </w:r>
          </w:p>
        </w:tc>
        <w:tc>
          <w:tcPr/>
          <w:p>
            <w:pPr>
              <w:pStyle w:val="Compact"/>
              <w:jc w:val="left"/>
            </w:pPr>
            <w:r>
              <w:t xml:space="preserve">4</w:t>
            </w:r>
          </w:p>
        </w:tc>
        <w:tc>
          <w:tcPr/>
          <w:p>
            <w:pPr>
              <w:pStyle w:val="Compact"/>
              <w:jc w:val="left"/>
            </w:pPr>
            <w:r>
              <w:t xml:space="preserve">4</w:t>
            </w:r>
          </w:p>
        </w:tc>
        <w:tc>
          <w:tcPr/>
          <w:p>
            <w:pPr>
              <w:pStyle w:val="Compact"/>
              <w:jc w:val="left"/>
            </w:pPr>
            <w:r>
              <w:t xml:space="preserve">5</w:t>
            </w:r>
          </w:p>
        </w:tc>
        <w:tc>
          <w:tcPr/>
          <w:p>
            <w:pPr>
              <w:pStyle w:val="Compact"/>
              <w:jc w:val="left"/>
            </w:pPr>
            <w:r>
              <w:t xml:space="preserve">3</w:t>
            </w:r>
          </w:p>
        </w:tc>
        <w:tc>
          <w:tcPr/>
          <w:p>
            <w:pPr>
              <w:pStyle w:val="Compact"/>
              <w:jc w:val="left"/>
            </w:pPr>
            <w:r>
              <w:t xml:space="preserve">16</w:t>
            </w:r>
          </w:p>
        </w:tc>
        <w:tc>
          <w:tcPr/>
          <w:p>
            <w:pPr>
              <w:pStyle w:val="Compact"/>
              <w:jc w:val="left"/>
            </w:pPr>
            <w:r>
              <w:t xml:space="preserve">Berjalan paling cepat (BEV 15,9%), tetapi dampak laba jangka pendek kecil karena basis pelanggan industri; AKR dapat memilih posisi melalui JIIPE</w:t>
            </w:r>
          </w:p>
        </w:tc>
      </w:tr>
    </w:tbl>
    <w:p>
      <w:pPr>
        <w:pStyle w:val="BodyText"/>
      </w:pPr>
      <w:r>
        <w:t xml:space="preserve">Sumber: penilaian penulis berdasarkan Bab 4.1–4.3.</w:t>
      </w:r>
    </w:p>
    <w:p>
      <w:pPr>
        <w:pStyle w:val="BodyText"/>
      </w:pPr>
      <w:r>
        <w:t xml:space="preserve">[Inferensi] Matriks menegaskan faktor Pemerintah dan Regulasi sebagai faktor terpenting, konsisten dengan Bab 2.5. Faktor ekonomi memperkuat faktor pemerintah: guncangan harga minyak 2026 menaikkan beban kompensasi 54,1%, yang menaikkan probabilitas pemerintah memperketat kuota impor swasta dan mempercepat substitusi domestik melalui B50. Faktor pemerintah memediasi faktor teknologi: kecepatan EV dan EBT di Indonesia ditentukan oleh insentif fiskal dan aturan ketenagalistrikan, sehingga kebijakan yang mendukung JIIPE sebagai KEK sekaligus membuka ruang bagi utilitas hijau di dalamnya. Faktor teknologi pada gilirannya mengubah faktor ekonomi jangka panjang dengan menurunkan elastisitas permintaan bensin terhadap pertumbuhan. Implikasinya bagi pemilihan inovasi: usulan yang paling layak adalah yang mengurangi ketergantungan pada kuota (faktor 1), menghasilkan pendapatan berulang yang tidak berkorelasi dengan harga minyak (faktor 2), dan memanfaatkan transisi energi sebagai sumber pendapatan, bukan hanya risiko (faktor 3).</w:t>
      </w:r>
    </w:p>
    <w:p>
      <w:r>
        <w:br w:type="page"/>
      </w:r>
    </w:p>
    <w:bookmarkEnd w:id="63"/>
    <w:bookmarkStart w:id="67" w:name="tiga-alternatif-inovasi"/>
    <w:p>
      <w:pPr>
        <w:pStyle w:val="Heading2"/>
      </w:pPr>
      <w:r>
        <w:t xml:space="preserve">4.5 Tiga Alternatif Inovasi</w:t>
      </w:r>
    </w:p>
    <w:p>
      <w:pPr>
        <w:pStyle w:val="FirstParagraph"/>
      </w:pPr>
      <w:r>
        <w:t xml:space="preserve">Tiga alternatif dirumuskan dari interaksi faktor pada 4.4; masing-masing menjawab kombinasi faktor yang berbeda dan deskripsinya dipertajam agar lolos uji kebaruan terhadap rencana resmi AKR.</w:t>
      </w:r>
    </w:p>
    <w:bookmarkStart w:id="64" w:name="Xc958075e3273c519e3c78b1bad38acc219ca676"/>
    <w:p>
      <w:pPr>
        <w:pStyle w:val="Heading3"/>
      </w:pPr>
      <w:r>
        <w:t xml:space="preserve">4.5.1 Alternatif A: JIIPE Low-Carbon Industrial Energy-as-a-Service</w:t>
      </w:r>
    </w:p>
    <w:p>
      <w:pPr>
        <w:pStyle w:val="FirstParagraph"/>
      </w:pPr>
      <w:r>
        <w:t xml:space="preserve">Deskripsi: BKMS bersama BREN dan BBE menawarkan paket energi industri berlangganan kepada tenant JIIPE yang terdiri atas pasokan listrik dengan tingkat kandungan rendah karbon yang dikontrak (misalnya 30%, 60%, atau</w:t>
      </w:r>
      <w:r>
        <w:t xml:space="preserve"> </w:t>
      </w:r>
      <w:r>
        <w:rPr>
          <w:iCs/>
          <w:i/>
        </w:rPr>
        <w:t xml:space="preserve">24/7 matched</w:t>
      </w:r>
      <w:r>
        <w:t xml:space="preserve">), sertifikat energi terbarukan (</w:t>
      </w:r>
      <w:r>
        <w:rPr>
          <w:iCs/>
          <w:i/>
        </w:rPr>
        <w:t xml:space="preserve">renewable energy certificate</w:t>
      </w:r>
      <w:r>
        <w:t xml:space="preserve">, REC) yang dapat dilacak, gas pipa dan kelak LNG sebagai pasokan dasar, serta laporan emisi</w:t>
      </w:r>
      <w:r>
        <w:t xml:space="preserve"> </w:t>
      </w:r>
      <w:r>
        <w:rPr>
          <w:iCs/>
          <w:i/>
        </w:rPr>
        <w:t xml:space="preserve">Scope 2</w:t>
      </w:r>
      <w:r>
        <w:t xml:space="preserve"> </w:t>
      </w:r>
      <w:r>
        <w:t xml:space="preserve">metode berbasis pasar yang diverifikasi pihak ketiga dan siap dipakai untuk pelaporan pembeli global dan CBAM. Faktor eksternal yang dijawab: faktor 3 (permintaan energi rendah karbon tenant), faktor 1 (memanfaatkan lisensi 515 MW dan status KEK, mengurangi ketergantungan laba pada kuota), dan faktor 2 (pendapatan berulang berbasis kontrak yang tidak berkorelasi dengan harga minyak). Investasi [ESTIMASI]: PLTS darat 56 MWp sekitar Rp600–750 miliar dan PLTS terapung 55 MW sekitar Rp750–950 miliar (asumsi biaya USD 0,65–0,8 juta per MWp dan USD 0,8–1,0 juta per MW terapung pada kurs Rp16.500–17.500), ditambah meter pintar, platform data, dan sertifikasi sekitar Rp60–100 miliar; total Rp1,4–1,8 triliun selama tiga tahun. Sumber pendanaan: kas internal Rp6,4 triliun dan arus kas operasi Rp3,9 triliun per tahun, dilengkapi pinjaman hijau atau obligasi berwawasan lingkungan sesuai Taksonomi untuk Keuangan Berkelanjutan Indonesia, dengan kemungkinan mitra ekuitas di tingkat proyek PLTS. Risiko utama: aturan ketenagalistrikan dalam wilayah usaha dan harga jual listrik EBT, integritas REC (dibahas di 4.7), dan risiko tenant tidak mengambil tingkat premium. Uji kebaruan: AKR sudah merencanakan PLTS 56 MWp menuju 148 MWp, PLTS terapung 55 MW, LNG 2029, dan gas pipa BBE, dan sudah menjual utilitas senilai Rp727 miliar (AKR Corporindo, 2026a, hlm. 117; AKR Corporindo, 2026b, hlm. 42, 61, 92); JTT bahkan sudah menggunakan REC untuk operasinya sendiri (AKR Corporindo, 2026b, hlm. 90). Batas kebaruan usulan ini adalah model bisnisnya: energi dijual sebagai layanan berkontrak dengan atribut karbon yang dijamin dan dilaporkan, bukan sebagai kWh dan gas; pendapatan bergeser dari tarif volumetrik ke langganan bertingkat dan jasa pelaporan; dan keputusan investasi PLTS dikunci oleh kontrak tenant, bukan dibangun secara spekulatif.</w:t>
      </w:r>
    </w:p>
    <w:bookmarkEnd w:id="64"/>
    <w:bookmarkStart w:id="65" w:name="X8dccc055b8e3f32c77d014c2cd6ffa296416458"/>
    <w:p>
      <w:pPr>
        <w:pStyle w:val="Heading3"/>
      </w:pPr>
      <w:r>
        <w:t xml:space="preserve">4.5.2 Alternatif B: bp AKR Multi-Energy Mobility Hub</w:t>
      </w:r>
    </w:p>
    <w:p>
      <w:pPr>
        <w:pStyle w:val="FirstParagraph"/>
      </w:pPr>
      <w:r>
        <w:t xml:space="preserve">Deskripsi: mengubah SPBU bp AKR di koridor logistik dan tol Jawa (Cipularang, Trans-Jawa, Pasuruan–Probolinggo) menjadi stasiun multi-energi yang menjual bensin, B50, pengisian cepat EV minimal 120 kW melalui kemitraan dengan operator pengisian, serta ritel non-BBM dan layanan armada logistik. Faktor eksternal yang dijawab: faktor 3 (elektrifikasi dan B50) dan sebagian faktor 1 (mengurangi ketergantungan gerai pada kuota bensin). Investasi [ESTIMASI]: Rp3–5 miliar per gerai untuk dua hingga empat pengisi cepat dan penataan ritel, atau Rp150–250 miliar untuk 50 gerai dalam tiga tahun, didanai bp AKR (50,1% AKR) dan mitra pengisian dengan skema bagi hasil. Risiko utama: utilisasi pengisi daya yang rendah pada tahun-tahun awal, persaingan dengan Pertamina dan operator pengisian independen yang sudah hadir di rest area, dan tarif listrik untuk pengisian yang diatur. Uji kebaruan: AKR menyebut</w:t>
      </w:r>
      <w:r>
        <w:t xml:space="preserve"> </w:t>
      </w:r>
      <w:r>
        <w:t xml:space="preserve">“</w:t>
      </w:r>
      <w:r>
        <w:t xml:space="preserve">Advancing EV ecosystem</w:t>
      </w:r>
      <w:r>
        <w:t xml:space="preserve">”</w:t>
      </w:r>
      <w:r>
        <w:t xml:space="preserve"> </w:t>
      </w:r>
      <w:r>
        <w:t xml:space="preserve">sebagai peluang tanpa rincian dan sedang memperluas jaringan SPBU (AKR Corporindo, 2026b, hlm. 65; AKR Corporindo, 2026a, hlm. 50), sementara Pertamina dan Shell sudah mengoperasikan pengisi daya di sebagian SPBU [VERIFIKASI: jumlah SPKLU di SPBU Pertamina dan Shell 2026]. Kebaruan bagi AKR nyata, tetapi kebaruan bagi industri rendah karena bersifat mengikuti pesaing.</w:t>
      </w:r>
    </w:p>
    <w:bookmarkEnd w:id="65"/>
    <w:bookmarkStart w:id="66" w:name="X31cdd4a94af058854c723d16761afc3bbf717ec"/>
    <w:p>
      <w:pPr>
        <w:pStyle w:val="Heading3"/>
      </w:pPr>
      <w:r>
        <w:t xml:space="preserve">4.5.3 Alternatif C: AKR Integrated Energy &amp; Chemical Logistics Platform</w:t>
      </w:r>
    </w:p>
    <w:p>
      <w:pPr>
        <w:pStyle w:val="FirstParagraph"/>
      </w:pPr>
      <w:r>
        <w:t xml:space="preserve">Deskripsi: membuka kapasitas tangki 820.400 KL, 19 pelabuhan, 14 kapal, dan 250 truk sebagai layanan logistik pihak ketiga berbasis data (</w:t>
      </w:r>
      <w:r>
        <w:rPr>
          <w:iCs/>
          <w:i/>
        </w:rPr>
        <w:t xml:space="preserve">logistics-as-a-service</w:t>
      </w:r>
      <w:r>
        <w:t xml:space="preserve">) untuk industri hilirisasi di Sulawesi dan Indonesia Timur, dengan platform digital yang menampilkan ketersediaan tangki dan jadwal kapal secara waktu nyata, kontrak</w:t>
      </w:r>
      <w:r>
        <w:t xml:space="preserve"> </w:t>
      </w:r>
      <w:r>
        <w:rPr>
          <w:iCs/>
          <w:i/>
        </w:rPr>
        <w:t xml:space="preserve">take-or-pay</w:t>
      </w:r>
      <w:r>
        <w:t xml:space="preserve">, dan integrasi dengan sistem pelanggan. Faktor eksternal yang dijawab: faktor 2 (pendapatan jasa yang tidak bergantung harga minyak) dan faktor 1 (pendapatan di luar kuota). Investasi [ESTIMASI]: Rp400–700 miliar untuk tangki dan kapal tambahan di Morowali dan Bitung ditambah Rp50 miliar platform, didanai kas internal. Risiko utama: konflik kepentingan antara kapasitas untuk perdagangan sendiri dan untuk pihak ketiga, margin logistik yang tipis (3,3% pada 2025), dan ketergantungan pada siklus smelter nikel. Uji kebaruan: AKR sudah menyewakan tangki melalui JTT, sudah menggunakan AI untuk perencanaan distribusi sejak 2025, dan sudah merencanakan ekspansi logistik ke Indonesia Timur (AKR Corporindo, 2026a, hlm. 50, 117, 141; AKR Corporindo, 2026b, hlm. 42). Kebaruannya terletak pada pembukaan kapasitas secara sistematis kepada pihak ketiga melalui platform, tetapi margin dan keunikan terhadap pesaing logistik curah terbatas.</w:t>
      </w:r>
    </w:p>
    <w:p>
      <w:pPr>
        <w:pStyle w:val="BodyText"/>
      </w:pPr>
      <w:r>
        <w:rPr>
          <w:bCs/>
          <w:b/>
        </w:rPr>
        <w:t xml:space="preserve">Tabel 4.5 Ringkasan tiga alternatif inovasi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Aspek</w:t>
            </w:r>
          </w:p>
        </w:tc>
        <w:tc>
          <w:tcPr/>
          <w:p>
            <w:pPr>
              <w:pStyle w:val="Compact"/>
              <w:jc w:val="left"/>
            </w:pPr>
            <w:r>
              <w:t xml:space="preserve">A. Low-Carbon Industrial EaaS</w:t>
            </w:r>
          </w:p>
        </w:tc>
        <w:tc>
          <w:tcPr/>
          <w:p>
            <w:pPr>
              <w:pStyle w:val="Compact"/>
              <w:jc w:val="left"/>
            </w:pPr>
            <w:r>
              <w:t xml:space="preserve">B. Multi-Energy Mobility Hub</w:t>
            </w:r>
          </w:p>
        </w:tc>
        <w:tc>
          <w:tcPr/>
          <w:p>
            <w:pPr>
              <w:pStyle w:val="Compact"/>
              <w:jc w:val="left"/>
            </w:pPr>
            <w:r>
              <w:t xml:space="preserve">C. Logistics Platform</w:t>
            </w:r>
          </w:p>
        </w:tc>
      </w:tr>
      <w:tr>
        <w:tc>
          <w:tcPr/>
          <w:p>
            <w:pPr>
              <w:pStyle w:val="Compact"/>
              <w:jc w:val="left"/>
            </w:pPr>
            <w:r>
              <w:t xml:space="preserve">Faktor yang dijawab</w:t>
            </w:r>
          </w:p>
        </w:tc>
        <w:tc>
          <w:tcPr/>
          <w:p>
            <w:pPr>
              <w:pStyle w:val="Compact"/>
              <w:jc w:val="left"/>
            </w:pPr>
            <w:r>
              <w:t xml:space="preserve">1, 2, 3</w:t>
            </w:r>
          </w:p>
        </w:tc>
        <w:tc>
          <w:tcPr/>
          <w:p>
            <w:pPr>
              <w:pStyle w:val="Compact"/>
              <w:jc w:val="left"/>
            </w:pPr>
            <w:r>
              <w:t xml:space="preserve">3, sebagian 1</w:t>
            </w:r>
          </w:p>
        </w:tc>
        <w:tc>
          <w:tcPr/>
          <w:p>
            <w:pPr>
              <w:pStyle w:val="Compact"/>
              <w:jc w:val="left"/>
            </w:pPr>
            <w:r>
              <w:t xml:space="preserve">2, sebagian 1</w:t>
            </w:r>
          </w:p>
        </w:tc>
      </w:tr>
      <w:tr>
        <w:tc>
          <w:tcPr/>
          <w:p>
            <w:pPr>
              <w:pStyle w:val="Compact"/>
              <w:jc w:val="left"/>
            </w:pPr>
            <w:r>
              <w:t xml:space="preserve">Investasi 3 tahun [ESTIMASI]</w:t>
            </w:r>
          </w:p>
        </w:tc>
        <w:tc>
          <w:tcPr/>
          <w:p>
            <w:pPr>
              <w:pStyle w:val="Compact"/>
              <w:jc w:val="left"/>
            </w:pPr>
            <w:r>
              <w:t xml:space="preserve">Rp1,4–1,8 triliun</w:t>
            </w:r>
          </w:p>
        </w:tc>
        <w:tc>
          <w:tcPr/>
          <w:p>
            <w:pPr>
              <w:pStyle w:val="Compact"/>
              <w:jc w:val="left"/>
            </w:pPr>
            <w:r>
              <w:t xml:space="preserve">Rp150–250 miliar</w:t>
            </w:r>
          </w:p>
        </w:tc>
        <w:tc>
          <w:tcPr/>
          <w:p>
            <w:pPr>
              <w:pStyle w:val="Compact"/>
              <w:jc w:val="left"/>
            </w:pPr>
            <w:r>
              <w:t xml:space="preserve">Rp450–750 miliar</w:t>
            </w:r>
          </w:p>
        </w:tc>
      </w:tr>
      <w:tr>
        <w:tc>
          <w:tcPr/>
          <w:p>
            <w:pPr>
              <w:pStyle w:val="Compact"/>
              <w:jc w:val="left"/>
            </w:pPr>
            <w:r>
              <w:t xml:space="preserve">Sumber pendanaan</w:t>
            </w:r>
          </w:p>
        </w:tc>
        <w:tc>
          <w:tcPr/>
          <w:p>
            <w:pPr>
              <w:pStyle w:val="Compact"/>
              <w:jc w:val="left"/>
            </w:pPr>
            <w:r>
              <w:t xml:space="preserve">Kas internal + pinjaman hijau + mitra proyek</w:t>
            </w:r>
          </w:p>
        </w:tc>
        <w:tc>
          <w:tcPr/>
          <w:p>
            <w:pPr>
              <w:pStyle w:val="Compact"/>
              <w:jc w:val="left"/>
            </w:pPr>
            <w:r>
              <w:t xml:space="preserve">bp AKR + mitra pengisian</w:t>
            </w:r>
          </w:p>
        </w:tc>
        <w:tc>
          <w:tcPr/>
          <w:p>
            <w:pPr>
              <w:pStyle w:val="Compact"/>
              <w:jc w:val="left"/>
            </w:pPr>
            <w:r>
              <w:t xml:space="preserve">Kas internal</w:t>
            </w:r>
          </w:p>
        </w:tc>
      </w:tr>
      <w:tr>
        <w:tc>
          <w:tcPr/>
          <w:p>
            <w:pPr>
              <w:pStyle w:val="Compact"/>
              <w:jc w:val="left"/>
            </w:pPr>
            <w:r>
              <w:t xml:space="preserve">Sifat pendapatan</w:t>
            </w:r>
          </w:p>
        </w:tc>
        <w:tc>
          <w:tcPr/>
          <w:p>
            <w:pPr>
              <w:pStyle w:val="Compact"/>
              <w:jc w:val="left"/>
            </w:pPr>
            <w:r>
              <w:t xml:space="preserve">Berulang, berkontrak multi-tahun</w:t>
            </w:r>
          </w:p>
        </w:tc>
        <w:tc>
          <w:tcPr/>
          <w:p>
            <w:pPr>
              <w:pStyle w:val="Compact"/>
              <w:jc w:val="left"/>
            </w:pPr>
            <w:r>
              <w:t xml:space="preserve">Transaksional, bergantung lalu lintas</w:t>
            </w:r>
          </w:p>
        </w:tc>
        <w:tc>
          <w:tcPr/>
          <w:p>
            <w:pPr>
              <w:pStyle w:val="Compact"/>
              <w:jc w:val="left"/>
            </w:pPr>
            <w:r>
              <w:t xml:space="preserve">Berulang,</w:t>
            </w:r>
            <w:r>
              <w:t xml:space="preserve"> </w:t>
            </w:r>
            <w:r>
              <w:rPr>
                <w:iCs/>
                <w:i/>
              </w:rPr>
              <w:t xml:space="preserve">take-or-pay</w:t>
            </w:r>
          </w:p>
        </w:tc>
      </w:tr>
      <w:tr>
        <w:tc>
          <w:tcPr/>
          <w:p>
            <w:pPr>
              <w:pStyle w:val="Compact"/>
              <w:jc w:val="left"/>
            </w:pPr>
            <w:r>
              <w:t xml:space="preserve">Risiko regulasi</w:t>
            </w:r>
          </w:p>
        </w:tc>
        <w:tc>
          <w:tcPr/>
          <w:p>
            <w:pPr>
              <w:pStyle w:val="Compact"/>
              <w:jc w:val="left"/>
            </w:pPr>
            <w:r>
              <w:t xml:space="preserve">Sedang (aturan ketenagalistrikan, REC)</w:t>
            </w:r>
          </w:p>
        </w:tc>
        <w:tc>
          <w:tcPr/>
          <w:p>
            <w:pPr>
              <w:pStyle w:val="Compact"/>
              <w:jc w:val="left"/>
            </w:pPr>
            <w:r>
              <w:t xml:space="preserve">Sedang–tinggi (kuota bensin, tarif pengisian)</w:t>
            </w:r>
          </w:p>
        </w:tc>
        <w:tc>
          <w:tcPr/>
          <w:p>
            <w:pPr>
              <w:pStyle w:val="Compact"/>
              <w:jc w:val="left"/>
            </w:pPr>
            <w:r>
              <w:t xml:space="preserve">Rendah</w:t>
            </w:r>
          </w:p>
        </w:tc>
      </w:tr>
      <w:tr>
        <w:tc>
          <w:tcPr/>
          <w:p>
            <w:pPr>
              <w:pStyle w:val="Compact"/>
              <w:jc w:val="left"/>
            </w:pPr>
            <w:r>
              <w:t xml:space="preserve">Kebaruan vs rencana resmi</w:t>
            </w:r>
          </w:p>
        </w:tc>
        <w:tc>
          <w:tcPr/>
          <w:p>
            <w:pPr>
              <w:pStyle w:val="Compact"/>
              <w:jc w:val="left"/>
            </w:pPr>
            <w:r>
              <w:t xml:space="preserve">Tinggi pada model bisnis</w:t>
            </w:r>
          </w:p>
        </w:tc>
        <w:tc>
          <w:tcPr/>
          <w:p>
            <w:pPr>
              <w:pStyle w:val="Compact"/>
              <w:jc w:val="left"/>
            </w:pPr>
            <w:r>
              <w:t xml:space="preserve">Sedang</w:t>
            </w:r>
          </w:p>
        </w:tc>
        <w:tc>
          <w:tcPr/>
          <w:p>
            <w:pPr>
              <w:pStyle w:val="Compact"/>
              <w:jc w:val="left"/>
            </w:pPr>
            <w:r>
              <w:t xml:space="preserve">Sedang</w:t>
            </w:r>
          </w:p>
        </w:tc>
      </w:tr>
    </w:tbl>
    <w:p>
      <w:pPr>
        <w:pStyle w:val="BodyText"/>
      </w:pPr>
      <w:r>
        <w:t xml:space="preserve">Sumber: analisis penulis.</w:t>
      </w:r>
    </w:p>
    <w:bookmarkEnd w:id="66"/>
    <w:bookmarkEnd w:id="67"/>
    <w:bookmarkStart w:id="68" w:name="matriks-pemilihan"/>
    <w:p>
      <w:pPr>
        <w:pStyle w:val="Heading2"/>
      </w:pPr>
      <w:r>
        <w:t xml:space="preserve">4.6 Matriks Pemilihan</w:t>
      </w:r>
    </w:p>
    <w:p>
      <w:pPr>
        <w:pStyle w:val="FirstParagraph"/>
      </w:pPr>
      <w:r>
        <w:rPr>
          <w:bCs/>
          <w:b/>
        </w:rPr>
        <w:t xml:space="preserve">Tabel 4.6 Matriks pemilihan alternatif inovasi (skor 1–5, berbobot)</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Kriteria</w:t>
            </w:r>
          </w:p>
        </w:tc>
        <w:tc>
          <w:tcPr/>
          <w:p>
            <w:pPr>
              <w:pStyle w:val="Compact"/>
              <w:jc w:val="left"/>
            </w:pPr>
            <w:r>
              <w:t xml:space="preserve">Bobot</w:t>
            </w:r>
          </w:p>
        </w:tc>
        <w:tc>
          <w:tcPr/>
          <w:p>
            <w:pPr>
              <w:pStyle w:val="Compact"/>
              <w:jc w:val="left"/>
            </w:pPr>
            <w:r>
              <w:t xml:space="preserve">A</w:t>
            </w:r>
          </w:p>
        </w:tc>
        <w:tc>
          <w:tcPr/>
          <w:p>
            <w:pPr>
              <w:pStyle w:val="Compact"/>
              <w:jc w:val="left"/>
            </w:pPr>
            <w:r>
              <w:t xml:space="preserve">B</w:t>
            </w:r>
          </w:p>
        </w:tc>
        <w:tc>
          <w:tcPr/>
          <w:p>
            <w:pPr>
              <w:pStyle w:val="Compact"/>
              <w:jc w:val="left"/>
            </w:pPr>
            <w:r>
              <w:t xml:space="preserve">C</w:t>
            </w:r>
          </w:p>
        </w:tc>
        <w:tc>
          <w:tcPr/>
          <w:p>
            <w:pPr>
              <w:pStyle w:val="Compact"/>
              <w:jc w:val="left"/>
            </w:pPr>
            <w:r>
              <w:t xml:space="preserve">A × bobot</w:t>
            </w:r>
          </w:p>
        </w:tc>
        <w:tc>
          <w:tcPr/>
          <w:p>
            <w:pPr>
              <w:pStyle w:val="Compact"/>
              <w:jc w:val="left"/>
            </w:pPr>
            <w:r>
              <w:t xml:space="preserve">B × bobot</w:t>
            </w:r>
          </w:p>
        </w:tc>
        <w:tc>
          <w:tcPr/>
          <w:p>
            <w:pPr>
              <w:pStyle w:val="Compact"/>
              <w:jc w:val="left"/>
            </w:pPr>
            <w:r>
              <w:t xml:space="preserve">C × bobot</w:t>
            </w:r>
          </w:p>
        </w:tc>
      </w:tr>
      <w:tr>
        <w:tc>
          <w:tcPr/>
          <w:p>
            <w:pPr>
              <w:pStyle w:val="Compact"/>
              <w:jc w:val="left"/>
            </w:pPr>
            <w:r>
              <w:t xml:space="preserve">Kesesuaian dengan tiga faktor prioritas</w:t>
            </w:r>
          </w:p>
        </w:tc>
        <w:tc>
          <w:tcPr/>
          <w:p>
            <w:pPr>
              <w:pStyle w:val="Compact"/>
              <w:jc w:val="left"/>
            </w:pPr>
            <w:r>
              <w:t xml:space="preserve">25%</w:t>
            </w:r>
          </w:p>
        </w:tc>
        <w:tc>
          <w:tcPr/>
          <w:p>
            <w:pPr>
              <w:pStyle w:val="Compact"/>
              <w:jc w:val="left"/>
            </w:pPr>
            <w:r>
              <w:t xml:space="preserve">5</w:t>
            </w:r>
          </w:p>
        </w:tc>
        <w:tc>
          <w:tcPr/>
          <w:p>
            <w:pPr>
              <w:pStyle w:val="Compact"/>
              <w:jc w:val="left"/>
            </w:pPr>
            <w:r>
              <w:t xml:space="preserve">3</w:t>
            </w:r>
          </w:p>
        </w:tc>
        <w:tc>
          <w:tcPr/>
          <w:p>
            <w:pPr>
              <w:pStyle w:val="Compact"/>
              <w:jc w:val="left"/>
            </w:pPr>
            <w:r>
              <w:t xml:space="preserve">3</w:t>
            </w:r>
          </w:p>
        </w:tc>
        <w:tc>
          <w:tcPr/>
          <w:p>
            <w:pPr>
              <w:pStyle w:val="Compact"/>
              <w:jc w:val="left"/>
            </w:pPr>
            <w:r>
              <w:t xml:space="preserve">1,25</w:t>
            </w:r>
          </w:p>
        </w:tc>
        <w:tc>
          <w:tcPr/>
          <w:p>
            <w:pPr>
              <w:pStyle w:val="Compact"/>
              <w:jc w:val="left"/>
            </w:pPr>
            <w:r>
              <w:t xml:space="preserve">0,75</w:t>
            </w:r>
          </w:p>
        </w:tc>
        <w:tc>
          <w:tcPr/>
          <w:p>
            <w:pPr>
              <w:pStyle w:val="Compact"/>
              <w:jc w:val="left"/>
            </w:pPr>
            <w:r>
              <w:t xml:space="preserve">0,75</w:t>
            </w:r>
          </w:p>
        </w:tc>
      </w:tr>
      <w:tr>
        <w:tc>
          <w:tcPr/>
          <w:p>
            <w:pPr>
              <w:pStyle w:val="Compact"/>
              <w:jc w:val="left"/>
            </w:pPr>
            <w:r>
              <w:t xml:space="preserve">Kelayakan finansial (kapasitas neraca)</w:t>
            </w:r>
          </w:p>
        </w:tc>
        <w:tc>
          <w:tcPr/>
          <w:p>
            <w:pPr>
              <w:pStyle w:val="Compact"/>
              <w:jc w:val="left"/>
            </w:pPr>
            <w:r>
              <w:t xml:space="preserve">20%</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0,80</w:t>
            </w:r>
          </w:p>
        </w:tc>
        <w:tc>
          <w:tcPr/>
          <w:p>
            <w:pPr>
              <w:pStyle w:val="Compact"/>
              <w:jc w:val="left"/>
            </w:pPr>
            <w:r>
              <w:t xml:space="preserve">1,00</w:t>
            </w:r>
          </w:p>
        </w:tc>
        <w:tc>
          <w:tcPr/>
          <w:p>
            <w:pPr>
              <w:pStyle w:val="Compact"/>
              <w:jc w:val="left"/>
            </w:pPr>
            <w:r>
              <w:t xml:space="preserve">0,80</w:t>
            </w:r>
          </w:p>
        </w:tc>
      </w:tr>
      <w:tr>
        <w:tc>
          <w:tcPr/>
          <w:p>
            <w:pPr>
              <w:pStyle w:val="Compact"/>
              <w:jc w:val="left"/>
            </w:pPr>
            <w:r>
              <w:t xml:space="preserve">Kecepatan implementasi</w:t>
            </w:r>
          </w:p>
        </w:tc>
        <w:tc>
          <w:tcPr/>
          <w:p>
            <w:pPr>
              <w:pStyle w:val="Compact"/>
              <w:jc w:val="left"/>
            </w:pPr>
            <w:r>
              <w:t xml:space="preserve">15%</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c>
          <w:tcPr/>
          <w:p>
            <w:pPr>
              <w:pStyle w:val="Compact"/>
              <w:jc w:val="left"/>
            </w:pPr>
            <w:r>
              <w:t xml:space="preserve">0,45</w:t>
            </w:r>
          </w:p>
        </w:tc>
        <w:tc>
          <w:tcPr/>
          <w:p>
            <w:pPr>
              <w:pStyle w:val="Compact"/>
              <w:jc w:val="left"/>
            </w:pPr>
            <w:r>
              <w:t xml:space="preserve">0,60</w:t>
            </w:r>
          </w:p>
        </w:tc>
        <w:tc>
          <w:tcPr/>
          <w:p>
            <w:pPr>
              <w:pStyle w:val="Compact"/>
              <w:jc w:val="left"/>
            </w:pPr>
            <w:r>
              <w:t xml:space="preserve">0,60</w:t>
            </w:r>
          </w:p>
        </w:tc>
      </w:tr>
      <w:tr>
        <w:tc>
          <w:tcPr/>
          <w:p>
            <w:pPr>
              <w:pStyle w:val="Compact"/>
              <w:jc w:val="left"/>
            </w:pPr>
            <w:r>
              <w:t xml:space="preserve">Risiko regulasi (5 = paling rendah)</w:t>
            </w:r>
          </w:p>
        </w:tc>
        <w:tc>
          <w:tcPr/>
          <w:p>
            <w:pPr>
              <w:pStyle w:val="Compact"/>
              <w:jc w:val="left"/>
            </w:pPr>
            <w:r>
              <w:t xml:space="preserve">15%</w:t>
            </w:r>
          </w:p>
        </w:tc>
        <w:tc>
          <w:tcPr/>
          <w:p>
            <w:pPr>
              <w:pStyle w:val="Compact"/>
              <w:jc w:val="left"/>
            </w:pPr>
            <w:r>
              <w:t xml:space="preserve">3</w:t>
            </w:r>
          </w:p>
        </w:tc>
        <w:tc>
          <w:tcPr/>
          <w:p>
            <w:pPr>
              <w:pStyle w:val="Compact"/>
              <w:jc w:val="left"/>
            </w:pPr>
            <w:r>
              <w:t xml:space="preserve">2</w:t>
            </w:r>
          </w:p>
        </w:tc>
        <w:tc>
          <w:tcPr/>
          <w:p>
            <w:pPr>
              <w:pStyle w:val="Compact"/>
              <w:jc w:val="left"/>
            </w:pPr>
            <w:r>
              <w:t xml:space="preserve">4</w:t>
            </w:r>
          </w:p>
        </w:tc>
        <w:tc>
          <w:tcPr/>
          <w:p>
            <w:pPr>
              <w:pStyle w:val="Compact"/>
              <w:jc w:val="left"/>
            </w:pPr>
            <w:r>
              <w:t xml:space="preserve">0,45</w:t>
            </w:r>
          </w:p>
        </w:tc>
        <w:tc>
          <w:tcPr/>
          <w:p>
            <w:pPr>
              <w:pStyle w:val="Compact"/>
              <w:jc w:val="left"/>
            </w:pPr>
            <w:r>
              <w:t xml:space="preserve">0,30</w:t>
            </w:r>
          </w:p>
        </w:tc>
        <w:tc>
          <w:tcPr/>
          <w:p>
            <w:pPr>
              <w:pStyle w:val="Compact"/>
              <w:jc w:val="left"/>
            </w:pPr>
            <w:r>
              <w:t xml:space="preserve">0,60</w:t>
            </w:r>
          </w:p>
        </w:tc>
      </w:tr>
      <w:tr>
        <w:tc>
          <w:tcPr/>
          <w:p>
            <w:pPr>
              <w:pStyle w:val="Compact"/>
              <w:jc w:val="left"/>
            </w:pPr>
            <w:r>
              <w:t xml:space="preserve">Dampak keberlanjutan</w:t>
            </w:r>
          </w:p>
        </w:tc>
        <w:tc>
          <w:tcPr/>
          <w:p>
            <w:pPr>
              <w:pStyle w:val="Compact"/>
              <w:jc w:val="left"/>
            </w:pPr>
            <w:r>
              <w:t xml:space="preserve">10%</w:t>
            </w:r>
          </w:p>
        </w:tc>
        <w:tc>
          <w:tcPr/>
          <w:p>
            <w:pPr>
              <w:pStyle w:val="Compact"/>
              <w:jc w:val="left"/>
            </w:pPr>
            <w:r>
              <w:t xml:space="preserve">5</w:t>
            </w:r>
          </w:p>
        </w:tc>
        <w:tc>
          <w:tcPr/>
          <w:p>
            <w:pPr>
              <w:pStyle w:val="Compact"/>
              <w:jc w:val="left"/>
            </w:pPr>
            <w:r>
              <w:t xml:space="preserve">3</w:t>
            </w:r>
          </w:p>
        </w:tc>
        <w:tc>
          <w:tcPr/>
          <w:p>
            <w:pPr>
              <w:pStyle w:val="Compact"/>
              <w:jc w:val="left"/>
            </w:pPr>
            <w:r>
              <w:t xml:space="preserve">2</w:t>
            </w:r>
          </w:p>
        </w:tc>
        <w:tc>
          <w:tcPr/>
          <w:p>
            <w:pPr>
              <w:pStyle w:val="Compact"/>
              <w:jc w:val="left"/>
            </w:pPr>
            <w:r>
              <w:t xml:space="preserve">0,50</w:t>
            </w:r>
          </w:p>
        </w:tc>
        <w:tc>
          <w:tcPr/>
          <w:p>
            <w:pPr>
              <w:pStyle w:val="Compact"/>
              <w:jc w:val="left"/>
            </w:pPr>
            <w:r>
              <w:t xml:space="preserve">0,30</w:t>
            </w:r>
          </w:p>
        </w:tc>
        <w:tc>
          <w:tcPr/>
          <w:p>
            <w:pPr>
              <w:pStyle w:val="Compact"/>
              <w:jc w:val="left"/>
            </w:pPr>
            <w:r>
              <w:t xml:space="preserve">0,20</w:t>
            </w:r>
          </w:p>
        </w:tc>
      </w:tr>
      <w:tr>
        <w:tc>
          <w:tcPr/>
          <w:p>
            <w:pPr>
              <w:pStyle w:val="Compact"/>
              <w:jc w:val="left"/>
            </w:pPr>
            <w:r>
              <w:t xml:space="preserve">Keunikan vs pesaing dan rencana resmi</w:t>
            </w:r>
          </w:p>
        </w:tc>
        <w:tc>
          <w:tcPr/>
          <w:p>
            <w:pPr>
              <w:pStyle w:val="Compact"/>
              <w:jc w:val="left"/>
            </w:pPr>
            <w:r>
              <w:t xml:space="preserve">15%</w:t>
            </w:r>
          </w:p>
        </w:tc>
        <w:tc>
          <w:tcPr/>
          <w:p>
            <w:pPr>
              <w:pStyle w:val="Compact"/>
              <w:jc w:val="left"/>
            </w:pPr>
            <w:r>
              <w:t xml:space="preserve">5</w:t>
            </w:r>
          </w:p>
        </w:tc>
        <w:tc>
          <w:tcPr/>
          <w:p>
            <w:pPr>
              <w:pStyle w:val="Compact"/>
              <w:jc w:val="left"/>
            </w:pPr>
            <w:r>
              <w:t xml:space="preserve">2</w:t>
            </w:r>
          </w:p>
        </w:tc>
        <w:tc>
          <w:tcPr/>
          <w:p>
            <w:pPr>
              <w:pStyle w:val="Compact"/>
              <w:jc w:val="left"/>
            </w:pPr>
            <w:r>
              <w:t xml:space="preserve">3</w:t>
            </w:r>
          </w:p>
        </w:tc>
        <w:tc>
          <w:tcPr/>
          <w:p>
            <w:pPr>
              <w:pStyle w:val="Compact"/>
              <w:jc w:val="left"/>
            </w:pPr>
            <w:r>
              <w:t xml:space="preserve">0,75</w:t>
            </w:r>
          </w:p>
        </w:tc>
        <w:tc>
          <w:tcPr/>
          <w:p>
            <w:pPr>
              <w:pStyle w:val="Compact"/>
              <w:jc w:val="left"/>
            </w:pPr>
            <w:r>
              <w:t xml:space="preserve">0,30</w:t>
            </w:r>
          </w:p>
        </w:tc>
        <w:tc>
          <w:tcPr/>
          <w:p>
            <w:pPr>
              <w:pStyle w:val="Compact"/>
              <w:jc w:val="left"/>
            </w:pPr>
            <w:r>
              <w:t xml:space="preserve">0,45</w:t>
            </w:r>
          </w:p>
        </w:tc>
      </w:tr>
      <w:tr>
        <w:tc>
          <w:tcPr/>
          <w:p>
            <w:pPr>
              <w:pStyle w:val="Compact"/>
              <w:jc w:val="left"/>
            </w:pPr>
            <w:r>
              <w:rPr>
                <w:bCs/>
                <w:b/>
              </w:rPr>
              <w:t xml:space="preserve">Total</w:t>
            </w:r>
          </w:p>
        </w:tc>
        <w:tc>
          <w:tcPr/>
          <w:p>
            <w:pPr>
              <w:pStyle w:val="Compact"/>
              <w:jc w:val="left"/>
            </w:pPr>
            <w:r>
              <w:rPr>
                <w:bCs/>
                <w:b/>
              </w:rPr>
              <w:t xml:space="preserve">100%</w:t>
            </w:r>
          </w:p>
        </w:tc>
        <w:tc>
          <w:tcPr/>
          <w:p>
            <w:pPr>
              <w:pStyle w:val="Compact"/>
            </w:pPr>
          </w:p>
        </w:tc>
        <w:tc>
          <w:tcPr/>
          <w:p>
            <w:pPr>
              <w:pStyle w:val="Compact"/>
            </w:pPr>
          </w:p>
        </w:tc>
        <w:tc>
          <w:tcPr/>
          <w:p>
            <w:pPr>
              <w:pStyle w:val="Compact"/>
            </w:pPr>
          </w:p>
        </w:tc>
        <w:tc>
          <w:tcPr/>
          <w:p>
            <w:pPr>
              <w:pStyle w:val="Compact"/>
              <w:jc w:val="left"/>
            </w:pPr>
            <w:r>
              <w:rPr>
                <w:bCs/>
                <w:b/>
              </w:rPr>
              <w:t xml:space="preserve">4,20</w:t>
            </w:r>
          </w:p>
        </w:tc>
        <w:tc>
          <w:tcPr/>
          <w:p>
            <w:pPr>
              <w:pStyle w:val="Compact"/>
              <w:jc w:val="left"/>
            </w:pPr>
            <w:r>
              <w:rPr>
                <w:bCs/>
                <w:b/>
              </w:rPr>
              <w:t xml:space="preserve">3,25</w:t>
            </w:r>
          </w:p>
        </w:tc>
        <w:tc>
          <w:tcPr/>
          <w:p>
            <w:pPr>
              <w:pStyle w:val="Compact"/>
              <w:jc w:val="left"/>
            </w:pPr>
            <w:r>
              <w:rPr>
                <w:bCs/>
                <w:b/>
              </w:rPr>
              <w:t xml:space="preserve">3,40</w:t>
            </w:r>
          </w:p>
        </w:tc>
      </w:tr>
    </w:tbl>
    <w:p>
      <w:pPr>
        <w:pStyle w:val="BodyText"/>
      </w:pPr>
      <w:r>
        <w:t xml:space="preserve">Sumber: penilaian penulis. Justifikasi: A unggul pada kesesuaian faktor karena satu-satunya yang menjawab ketiga faktor sekaligus, dan pada keunikan karena belum ada kawasan industri di Indonesia yang menjual energi sebagai layanan bersertifikat [VERIFIKASI: survei kawasan industri HKI]; A diberi skor 3 pada kecepatan karena PLTS 56 MWp masih studi kelayakan, dan 3 pada risiko regulasi karena aturan jual beli listrik EBT dalam wilayah usaha swasta. B unggul pada kelayakan finansial karena investasi kecil, tetapi lemah pada risiko regulasi dan keunikan. C aman secara regulasi tetapi dampak keberlanjutan dan keunikannya rendah. Kelayakan finansial A tetap 4 karena total investasi Rp1,4–1,8 triliun setara 22–28% kas akhir 2025 dan kurang dari setengah arus kas operasi tiga tahun, jauh di bawah ambang komitmen material 20% ekuitas (AKR Corporindo, 2026a, hlm. 135).</w:t>
      </w:r>
    </w:p>
    <w:bookmarkEnd w:id="68"/>
    <w:bookmarkStart w:id="80" w:name="X3db81349a7ab06152bf638949b97838d64e70bf"/>
    <w:p>
      <w:pPr>
        <w:pStyle w:val="Heading2"/>
      </w:pPr>
      <w:r>
        <w:t xml:space="preserve">4.7 Usulan Terpilih: JIIPE Low-Carbon Industrial Energy-as-a-Service</w:t>
      </w:r>
    </w:p>
    <w:bookmarkStart w:id="72" w:name="deskripsi-dan-proposisi-nilai"/>
    <w:p>
      <w:pPr>
        <w:pStyle w:val="Heading3"/>
      </w:pPr>
      <w:r>
        <w:t xml:space="preserve">4.7.1 Deskripsi dan Proposisi Nilai</w:t>
      </w:r>
    </w:p>
    <w:p>
      <w:pPr>
        <w:pStyle w:val="FirstParagraph"/>
      </w:pPr>
      <w:r>
        <w:t xml:space="preserve">[Rekomendasi] Usulan terpilih adalah membentuk unit bisnis</w:t>
      </w:r>
      <w:r>
        <w:t xml:space="preserve"> </w:t>
      </w:r>
      <w:r>
        <w:t xml:space="preserve">“</w:t>
      </w:r>
      <w:r>
        <w:t xml:space="preserve">JIIPE Energy Services</w:t>
      </w:r>
      <w:r>
        <w:t xml:space="preserve">”</w:t>
      </w:r>
      <w:r>
        <w:t xml:space="preserve"> </w:t>
      </w:r>
      <w:r>
        <w:t xml:space="preserve">di bawah BKMS yang mengintegrasikan aset BREN (PLTS), BBE (gas pipa), terminal LNG bersama bp (2029), dan pasokan PLN 500 MVA menjadi satu portofolio pasokan, lalu menjualnya sebagai layanan berlangganan tiga tingkat:</w:t>
      </w:r>
      <w:r>
        <w:t xml:space="preserve"> </w:t>
      </w:r>
      <w:r>
        <w:rPr>
          <w:iCs/>
          <w:i/>
        </w:rPr>
        <w:t xml:space="preserve">Base</w:t>
      </w:r>
      <w:r>
        <w:t xml:space="preserve"> </w:t>
      </w:r>
      <w:r>
        <w:t xml:space="preserve">(listrik berbasis gas dengan laporan Scope 2 lokasi),</w:t>
      </w:r>
      <w:r>
        <w:t xml:space="preserve"> </w:t>
      </w:r>
      <w:r>
        <w:rPr>
          <w:iCs/>
          <w:i/>
        </w:rPr>
        <w:t xml:space="preserve">Low-Carbon 50</w:t>
      </w:r>
      <w:r>
        <w:t xml:space="preserve"> </w:t>
      </w:r>
      <w:r>
        <w:t xml:space="preserve">(minimal 50% energi terbarukan dengan REC yang dilacak per jam), dan</w:t>
      </w:r>
      <w:r>
        <w:t xml:space="preserve"> </w:t>
      </w:r>
      <w:r>
        <w:rPr>
          <w:iCs/>
          <w:i/>
        </w:rPr>
        <w:t xml:space="preserve">24/7 Carbon-Free</w:t>
      </w:r>
      <w:r>
        <w:t xml:space="preserve"> </w:t>
      </w:r>
      <w:r>
        <w:t xml:space="preserve">(pencocokan per jam dengan PLTS, baterai, dan REC pelengkap, untuk tenant yang menghadapi CBAM atau deklarasi jejak karbon produk). Proposisi nilai bagi tenant: satu kontrak, satu tagihan, satu laporan yang dapat diaudit, dengan intensitas karbon listrik yang dijamin dalam kontrak dan dapat dibuktikan kepada pembeli di Eropa, Jepang, dan Korea. Proposisi nilai bagi AKR: mengubah utilitas JIIPE dari penjual volume menjadi penjual atribut, menaikkan margin per kWh, mengunci tenant selama 5–10 tahun, dan menjadikan JIIPE kawasan pilihan bagi investor yang mensyaratkan energi hijau.</w:t>
      </w:r>
    </w:p>
    <w:p>
      <w:pPr>
        <w:pStyle w:val="CaptionedFigure"/>
      </w:pPr>
      <w:r>
        <w:drawing>
          <wp:inline>
            <wp:extent cx="5334000" cy="3111500"/>
            <wp:effectExtent b="0" l="0" r="0" t="0"/>
            <wp:docPr descr="Gambar 4.1 Arsitektur model bisnis JIIPE Low-Carbon Industrial Energy-as-a-Service. Sumber: rancangan penulis." title="" id="70" name="Picture"/>
            <a:graphic>
              <a:graphicData uri="http://schemas.openxmlformats.org/drawingml/2006/picture">
                <pic:pic>
                  <pic:nvPicPr>
                    <pic:cNvPr descr="fig_4_1_eaas.png" id="71" name="Picture"/>
                    <pic:cNvPicPr>
                      <a:picLocks noChangeArrowheads="1" noChangeAspect="1"/>
                    </pic:cNvPicPr>
                  </pic:nvPicPr>
                  <pic:blipFill>
                    <a:blip r:embed="rId69"/>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Gambar 4.1 Arsitektur model bisnis JIIPE Low-Carbon Industrial Energy-as-a-Service. Sumber: rancangan penulis.</w:t>
      </w:r>
    </w:p>
    <w:bookmarkEnd w:id="72"/>
    <w:bookmarkStart w:id="73" w:name="X6c522c21826444c0e4a4f1558af1984e4409a99"/>
    <w:p>
      <w:pPr>
        <w:pStyle w:val="Heading3"/>
      </w:pPr>
      <w:r>
        <w:t xml:space="preserve">4.7.2 Model Bisnis: Sumber Pendapatan, Struktur Biaya, Mitra</w:t>
      </w:r>
    </w:p>
    <w:p>
      <w:pPr>
        <w:pStyle w:val="FirstParagraph"/>
      </w:pPr>
      <w:r>
        <w:t xml:space="preserve">Sumber pendapatan ada empat. Pertama, biaya langganan tetap per MW kapasitas terkontrak yang menggantikan sebagian tarif volumetrik dan memberi pendapatan berulang. Kedua, premi hijau per kWh untuk tingkat</w:t>
      </w:r>
      <w:r>
        <w:t xml:space="preserve"> </w:t>
      </w:r>
      <w:r>
        <w:rPr>
          <w:iCs/>
          <w:i/>
        </w:rPr>
        <w:t xml:space="preserve">Low-Carbon 50</w:t>
      </w:r>
      <w:r>
        <w:t xml:space="preserve"> </w:t>
      </w:r>
      <w:r>
        <w:t xml:space="preserve">dan</w:t>
      </w:r>
      <w:r>
        <w:t xml:space="preserve"> </w:t>
      </w:r>
      <w:r>
        <w:rPr>
          <w:iCs/>
          <w:i/>
        </w:rPr>
        <w:t xml:space="preserve">24/7</w:t>
      </w:r>
      <w:r>
        <w:t xml:space="preserve"> </w:t>
      </w:r>
      <w:r>
        <w:t xml:space="preserve">[ESTIMASI: premi 8–15% di atas tarif dasar, mengacu pada praktik premi REC dan PPA hijau korporasi di Asia Tenggara; perlu validasi dengan tenant]. Ketiga, biaya jasa pelaporan dan verifikasi Scope 2 per tenant per tahun. Keempat, pendapatan dari perdagangan sertifikat dan, jika regulasi memungkinkan, unit karbon melalui Sistem Registri Nasional dan bursa karbon. Struktur biaya didominasi belanja modal PLTS dan baterai yang bersifat tetap, biaya gas dan LNG yang bersifat variabel dan diteruskan ke tenant melalui formula (konsisten dengan disiplin</w:t>
      </w:r>
      <w:r>
        <w:t xml:space="preserve"> </w:t>
      </w:r>
      <w:r>
        <w:rPr>
          <w:iCs/>
          <w:i/>
        </w:rPr>
        <w:t xml:space="preserve">net open position</w:t>
      </w:r>
      <w:r>
        <w:t xml:space="preserve"> </w:t>
      </w:r>
      <w:r>
        <w:t xml:space="preserve">AKR), biaya sertifikasi dan verifikasi, serta platform meter dan data. Mitra utama: PLN untuk interkoneksi,</w:t>
      </w:r>
      <w:r>
        <w:t xml:space="preserve"> </w:t>
      </w:r>
      <w:r>
        <w:rPr>
          <w:iCs/>
          <w:i/>
        </w:rPr>
        <w:t xml:space="preserve">wheeling</w:t>
      </w:r>
      <w:r>
        <w:t xml:space="preserve">, dan REC; bp Gas &amp; Power untuk LNG; penyedia baterai dan EPC PLTS; lembaga verifikasi independen; Administrator KEK dan Kementerian ESDM untuk kepastian regulasi; serta bank yang menyediakan pembiayaan hijau. [Inferensi] Model ini memindahkan risiko volume dari AKR ke kontrak dan risiko harga bahan bakar ke tenant, sehingga profil risikonya mirip dengan bisnis inti AKR yang sudah teruji, tetapi dengan margin yang lebih tinggi dan durasi kontrak yang lebih panjang.</w:t>
      </w:r>
    </w:p>
    <w:bookmarkEnd w:id="73"/>
    <w:bookmarkStart w:id="74" w:name="peta-jalan-tiga-tahun"/>
    <w:p>
      <w:pPr>
        <w:pStyle w:val="Heading3"/>
      </w:pPr>
      <w:r>
        <w:t xml:space="preserve">4.7.3 Peta Jalan Tiga Tahun</w:t>
      </w:r>
    </w:p>
    <w:p>
      <w:pPr>
        <w:pStyle w:val="FirstParagraph"/>
      </w:pPr>
      <w:r>
        <w:rPr>
          <w:bCs/>
          <w:b/>
        </w:rPr>
        <w:t xml:space="preserve">Tabel 4.7 Peta jalan implementasi 2027–2029 per semester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Semester</w:t>
            </w:r>
          </w:p>
        </w:tc>
        <w:tc>
          <w:tcPr/>
          <w:p>
            <w:pPr>
              <w:pStyle w:val="Compact"/>
              <w:jc w:val="left"/>
            </w:pPr>
            <w:r>
              <w:t xml:space="preserve">Kegiatan utama</w:t>
            </w:r>
          </w:p>
        </w:tc>
        <w:tc>
          <w:tcPr/>
          <w:p>
            <w:pPr>
              <w:pStyle w:val="Compact"/>
              <w:jc w:val="left"/>
            </w:pPr>
            <w:r>
              <w:t xml:space="preserve">Keluaran</w:t>
            </w:r>
          </w:p>
        </w:tc>
      </w:tr>
      <w:tr>
        <w:tc>
          <w:tcPr/>
          <w:p>
            <w:pPr>
              <w:pStyle w:val="Compact"/>
              <w:jc w:val="left"/>
            </w:pPr>
            <w:r>
              <w:t xml:space="preserve">S1 2027</w:t>
            </w:r>
          </w:p>
        </w:tc>
        <w:tc>
          <w:tcPr/>
          <w:p>
            <w:pPr>
              <w:pStyle w:val="Compact"/>
              <w:jc w:val="left"/>
            </w:pPr>
            <w:r>
              <w:t xml:space="preserve">Pembentukan unit JIIPE Energy Services; survei kebutuhan 33 tenant; rancangan produk tiga tingkat; pendaftaran REC; dialog regulasi dengan ESDM dan Administrator KEK</w:t>
            </w:r>
          </w:p>
        </w:tc>
        <w:tc>
          <w:tcPr/>
          <w:p>
            <w:pPr>
              <w:pStyle w:val="Compact"/>
              <w:jc w:val="left"/>
            </w:pPr>
            <w:r>
              <w:t xml:space="preserve">Katalog produk; surat minat 5 tenant jangkar; kepastian skema jual beli listrik EBT</w:t>
            </w:r>
          </w:p>
        </w:tc>
      </w:tr>
      <w:tr>
        <w:tc>
          <w:tcPr/>
          <w:p>
            <w:pPr>
              <w:pStyle w:val="Compact"/>
              <w:jc w:val="left"/>
            </w:pPr>
            <w:r>
              <w:t xml:space="preserve">S2 2027</w:t>
            </w:r>
          </w:p>
        </w:tc>
        <w:tc>
          <w:tcPr/>
          <w:p>
            <w:pPr>
              <w:pStyle w:val="Compact"/>
              <w:jc w:val="left"/>
            </w:pPr>
            <w:r>
              <w:t xml:space="preserve">Penawaran</w:t>
            </w:r>
            <w:r>
              <w:t xml:space="preserve"> </w:t>
            </w:r>
            <w:r>
              <w:rPr>
                <w:iCs/>
                <w:i/>
              </w:rPr>
              <w:t xml:space="preserve">Base</w:t>
            </w:r>
            <w:r>
              <w:t xml:space="preserve"> </w:t>
            </w:r>
            <w:r>
              <w:t xml:space="preserve">dan</w:t>
            </w:r>
            <w:r>
              <w:t xml:space="preserve"> </w:t>
            </w:r>
            <w:r>
              <w:rPr>
                <w:iCs/>
                <w:i/>
              </w:rPr>
              <w:t xml:space="preserve">Low-Carbon 50</w:t>
            </w:r>
            <w:r>
              <w:t xml:space="preserve"> </w:t>
            </w:r>
            <w:r>
              <w:t xml:space="preserve">berbasis REC PLN dan PLTS 400 kWp; kontrak percontohan 2–3 tenant; FID PLTS 56 MWp dikunci kontrak minimal 30 MW</w:t>
            </w:r>
          </w:p>
        </w:tc>
        <w:tc>
          <w:tcPr/>
          <w:p>
            <w:pPr>
              <w:pStyle w:val="Compact"/>
              <w:jc w:val="left"/>
            </w:pPr>
            <w:r>
              <w:t xml:space="preserve">Kontrak pertama; FID PLTS fase 1; pendanaan hijau ditutup</w:t>
            </w:r>
          </w:p>
        </w:tc>
      </w:tr>
      <w:tr>
        <w:tc>
          <w:tcPr/>
          <w:p>
            <w:pPr>
              <w:pStyle w:val="Compact"/>
              <w:jc w:val="left"/>
            </w:pPr>
            <w:r>
              <w:t xml:space="preserve">S1 2028</w:t>
            </w:r>
          </w:p>
        </w:tc>
        <w:tc>
          <w:tcPr/>
          <w:p>
            <w:pPr>
              <w:pStyle w:val="Compact"/>
              <w:jc w:val="left"/>
            </w:pPr>
            <w:r>
              <w:t xml:space="preserve">Konstruksi PLTS 56 MWp; pemasangan meter pintar dan platform data; verifikasi pihak ketiga laporan Scope 2 pertama</w:t>
            </w:r>
          </w:p>
        </w:tc>
        <w:tc>
          <w:tcPr/>
          <w:p>
            <w:pPr>
              <w:pStyle w:val="Compact"/>
              <w:jc w:val="left"/>
            </w:pPr>
            <w:r>
              <w:t xml:space="preserve">Laporan Scope 2 terverifikasi untuk tenant percontohan</w:t>
            </w:r>
          </w:p>
        </w:tc>
      </w:tr>
      <w:tr>
        <w:tc>
          <w:tcPr/>
          <w:p>
            <w:pPr>
              <w:pStyle w:val="Compact"/>
              <w:jc w:val="left"/>
            </w:pPr>
            <w:r>
              <w:t xml:space="preserve">S2 2028</w:t>
            </w:r>
          </w:p>
        </w:tc>
        <w:tc>
          <w:tcPr/>
          <w:p>
            <w:pPr>
              <w:pStyle w:val="Compact"/>
              <w:jc w:val="left"/>
            </w:pPr>
            <w:r>
              <w:t xml:space="preserve">COD PLTS 56 MWp; peluncuran</w:t>
            </w:r>
            <w:r>
              <w:t xml:space="preserve"> </w:t>
            </w:r>
            <w:r>
              <w:rPr>
                <w:iCs/>
                <w:i/>
              </w:rPr>
              <w:t xml:space="preserve">24/7 Carbon-Free</w:t>
            </w:r>
            <w:r>
              <w:t xml:space="preserve"> </w:t>
            </w:r>
            <w:r>
              <w:t xml:space="preserve">skala kecil dengan baterai; FID PLTS terapung 55 MW</w:t>
            </w:r>
          </w:p>
        </w:tc>
        <w:tc>
          <w:tcPr/>
          <w:p>
            <w:pPr>
              <w:pStyle w:val="Compact"/>
              <w:jc w:val="left"/>
            </w:pPr>
            <w:r>
              <w:t xml:space="preserve">56 MWp beroperasi; kontrak 24/7 pertama</w:t>
            </w:r>
          </w:p>
        </w:tc>
      </w:tr>
      <w:tr>
        <w:tc>
          <w:tcPr/>
          <w:p>
            <w:pPr>
              <w:pStyle w:val="Compact"/>
              <w:jc w:val="left"/>
            </w:pPr>
            <w:r>
              <w:t xml:space="preserve">S1 2029</w:t>
            </w:r>
          </w:p>
        </w:tc>
        <w:tc>
          <w:tcPr/>
          <w:p>
            <w:pPr>
              <w:pStyle w:val="Compact"/>
              <w:jc w:val="left"/>
            </w:pPr>
            <w:r>
              <w:t xml:space="preserve">Integrasi terminal LNG ke portofolio</w:t>
            </w:r>
            <w:r>
              <w:t xml:space="preserve"> </w:t>
            </w:r>
            <w:r>
              <w:rPr>
                <w:iCs/>
                <w:i/>
              </w:rPr>
              <w:t xml:space="preserve">Base</w:t>
            </w:r>
            <w:r>
              <w:t xml:space="preserve">; perluasan ke tenant baru sebagai syarat standar kontrak lahan</w:t>
            </w:r>
          </w:p>
        </w:tc>
        <w:tc>
          <w:tcPr/>
          <w:p>
            <w:pPr>
              <w:pStyle w:val="Compact"/>
              <w:jc w:val="left"/>
            </w:pPr>
            <w:r>
              <w:t xml:space="preserve">50% tenant berlangganan tingkat rendah karbon</w:t>
            </w:r>
          </w:p>
        </w:tc>
      </w:tr>
      <w:tr>
        <w:tc>
          <w:tcPr/>
          <w:p>
            <w:pPr>
              <w:pStyle w:val="Compact"/>
              <w:jc w:val="left"/>
            </w:pPr>
            <w:r>
              <w:t xml:space="preserve">S2 2029</w:t>
            </w:r>
          </w:p>
        </w:tc>
        <w:tc>
          <w:tcPr/>
          <w:p>
            <w:pPr>
              <w:pStyle w:val="Compact"/>
              <w:jc w:val="left"/>
            </w:pPr>
            <w:r>
              <w:t xml:space="preserve">Evaluasi; replikasi model ke kawasan industri pihak ketiga di Jawa Timur sebagai layanan AKR</w:t>
            </w:r>
          </w:p>
        </w:tc>
        <w:tc>
          <w:tcPr/>
          <w:p>
            <w:pPr>
              <w:pStyle w:val="Compact"/>
              <w:jc w:val="left"/>
            </w:pPr>
            <w:r>
              <w:t xml:space="preserve">Keputusan replikasi; target 148 MWp 2032 dikonfirmasi</w:t>
            </w:r>
          </w:p>
        </w:tc>
      </w:tr>
    </w:tbl>
    <w:p>
      <w:pPr>
        <w:pStyle w:val="BodyText"/>
      </w:pPr>
      <w:r>
        <w:t xml:space="preserve">Sumber: rancangan penulis; tahapan PLTS dan LNG mengacu pada AKR Corporindo (2026b, hlm. 42, 92).</w:t>
      </w:r>
    </w:p>
    <w:bookmarkEnd w:id="74"/>
    <w:bookmarkStart w:id="75" w:name="kebutuhan-sumber-daya-dan-organisasi"/>
    <w:p>
      <w:pPr>
        <w:pStyle w:val="Heading3"/>
      </w:pPr>
      <w:r>
        <w:t xml:space="preserve">4.7.4 Kebutuhan Sumber Daya dan Organisasi</w:t>
      </w:r>
    </w:p>
    <w:p>
      <w:pPr>
        <w:pStyle w:val="FirstParagraph"/>
      </w:pPr>
      <w:r>
        <w:t xml:space="preserve">Unit baru membutuhkan sekitar 25–35 orang pada tahun pertama [ESTIMASI] yang mencakup tim komersial, operasi pembangkit, data dan pelaporan karbon, serta regulasi. Kapabilitas yang belum dimiliki AKR dan harus dibeli atau dimitrakan adalah akuntansi karbon berbasis pasar, pengelolaan REC per jam, dan operasi baterai. Tata kelola: unit melapor ke Direksi BKMS dengan pengawasan Komite ESG AKR; keputusan investasi di atas Rp500 miliar diajukan ke Dewan Komisaris. Pendanaan: Rp1,4–1,8 triliun selama tiga tahun [ESTIMASI], 50–60% dari kas internal dan sisanya pinjaman hijau; perhitungan ini menjaga posisi kas bersih AKR tetap positif dengan asumsi arus kas operasi minimal Rp3 triliun per tahun dan rasio dividen tetap tinggi.</w:t>
      </w:r>
    </w:p>
    <w:bookmarkEnd w:id="75"/>
    <w:bookmarkStart w:id="76" w:name="kpi-finansial-dan-non-finansial"/>
    <w:p>
      <w:pPr>
        <w:pStyle w:val="Heading3"/>
      </w:pPr>
      <w:r>
        <w:t xml:space="preserve">4.7.5 KPI Finansial dan Non-Finansial</w:t>
      </w:r>
    </w:p>
    <w:p>
      <w:pPr>
        <w:pStyle w:val="FirstParagraph"/>
      </w:pPr>
      <w:r>
        <w:rPr>
          <w:bCs/>
          <w:b/>
        </w:rPr>
        <w:t xml:space="preserve">Tabel 4.8 KPI usulan terpilih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KPI</w:t>
            </w:r>
          </w:p>
        </w:tc>
        <w:tc>
          <w:tcPr/>
          <w:p>
            <w:pPr>
              <w:pStyle w:val="Compact"/>
              <w:jc w:val="left"/>
            </w:pPr>
            <w:r>
              <w:t xml:space="preserve">Baseline 2025</w:t>
            </w:r>
          </w:p>
        </w:tc>
        <w:tc>
          <w:tcPr/>
          <w:p>
            <w:pPr>
              <w:pStyle w:val="Compact"/>
              <w:jc w:val="left"/>
            </w:pPr>
            <w:r>
              <w:t xml:space="preserve">Target 2029 [ESTIMASI]</w:t>
            </w:r>
          </w:p>
        </w:tc>
      </w:tr>
      <w:tr>
        <w:tc>
          <w:tcPr/>
          <w:p>
            <w:pPr>
              <w:pStyle w:val="Compact"/>
              <w:jc w:val="left"/>
            </w:pPr>
            <w:r>
              <w:t xml:space="preserve">Pendapatan utilitas JIIPE (Rp miliar)</w:t>
            </w:r>
          </w:p>
        </w:tc>
        <w:tc>
          <w:tcPr/>
          <w:p>
            <w:pPr>
              <w:pStyle w:val="Compact"/>
              <w:jc w:val="left"/>
            </w:pPr>
            <w:r>
              <w:t xml:space="preserve">727 (AKR Corporindo, 2026a, hlm. 117)</w:t>
            </w:r>
          </w:p>
        </w:tc>
        <w:tc>
          <w:tcPr/>
          <w:p>
            <w:pPr>
              <w:pStyle w:val="Compact"/>
              <w:jc w:val="left"/>
            </w:pPr>
            <w:r>
              <w:t xml:space="preserve">1.500–1.800</w:t>
            </w:r>
          </w:p>
        </w:tc>
      </w:tr>
      <w:tr>
        <w:tc>
          <w:tcPr/>
          <w:p>
            <w:pPr>
              <w:pStyle w:val="Compact"/>
              <w:jc w:val="left"/>
            </w:pPr>
            <w:r>
              <w:t xml:space="preserve">Porsi pendapatan berulang dalam segmen JIIPE</w:t>
            </w:r>
          </w:p>
        </w:tc>
        <w:tc>
          <w:tcPr/>
          <w:p>
            <w:pPr>
              <w:pStyle w:val="Compact"/>
              <w:jc w:val="left"/>
            </w:pPr>
            <w:r>
              <w:t xml:space="preserve">34% (727/2.741)</w:t>
            </w:r>
          </w:p>
        </w:tc>
        <w:tc>
          <w:tcPr/>
          <w:p>
            <w:pPr>
              <w:pStyle w:val="Compact"/>
              <w:jc w:val="left"/>
            </w:pPr>
            <w:r>
              <w:t xml:space="preserve">&gt;50%</w:t>
            </w:r>
          </w:p>
        </w:tc>
      </w:tr>
      <w:tr>
        <w:tc>
          <w:tcPr/>
          <w:p>
            <w:pPr>
              <w:pStyle w:val="Compact"/>
              <w:jc w:val="left"/>
            </w:pPr>
            <w:r>
              <w:t xml:space="preserve">Kapasitas terkontrak tingkat rendah karbon (MW)</w:t>
            </w:r>
          </w:p>
        </w:tc>
        <w:tc>
          <w:tcPr/>
          <w:p>
            <w:pPr>
              <w:pStyle w:val="Compact"/>
              <w:jc w:val="left"/>
            </w:pPr>
            <w:r>
              <w:t xml:space="preserve">0</w:t>
            </w:r>
          </w:p>
        </w:tc>
        <w:tc>
          <w:tcPr/>
          <w:p>
            <w:pPr>
              <w:pStyle w:val="Compact"/>
              <w:jc w:val="left"/>
            </w:pPr>
            <w:r>
              <w:t xml:space="preserve">80–100</w:t>
            </w:r>
          </w:p>
        </w:tc>
      </w:tr>
      <w:tr>
        <w:tc>
          <w:tcPr/>
          <w:p>
            <w:pPr>
              <w:pStyle w:val="Compact"/>
              <w:jc w:val="left"/>
            </w:pPr>
            <w:r>
              <w:t xml:space="preserve">Jumlah tenant dengan laporan Scope 2 terverifikasi</w:t>
            </w:r>
          </w:p>
        </w:tc>
        <w:tc>
          <w:tcPr/>
          <w:p>
            <w:pPr>
              <w:pStyle w:val="Compact"/>
              <w:jc w:val="left"/>
            </w:pPr>
            <w:r>
              <w:t xml:space="preserve">0</w:t>
            </w:r>
          </w:p>
        </w:tc>
        <w:tc>
          <w:tcPr/>
          <w:p>
            <w:pPr>
              <w:pStyle w:val="Compact"/>
              <w:jc w:val="left"/>
            </w:pPr>
            <w:r>
              <w:t xml:space="preserve">15</w:t>
            </w:r>
          </w:p>
        </w:tc>
      </w:tr>
      <w:tr>
        <w:tc>
          <w:tcPr/>
          <w:p>
            <w:pPr>
              <w:pStyle w:val="Compact"/>
              <w:jc w:val="left"/>
            </w:pPr>
            <w:r>
              <w:t xml:space="preserve">Margin EBITDA unit energi</w:t>
            </w:r>
          </w:p>
        </w:tc>
        <w:tc>
          <w:tcPr/>
          <w:p>
            <w:pPr>
              <w:pStyle w:val="Compact"/>
              <w:jc w:val="left"/>
            </w:pPr>
            <w:r>
              <w:t xml:space="preserve">n/a</w:t>
            </w:r>
          </w:p>
        </w:tc>
        <w:tc>
          <w:tcPr/>
          <w:p>
            <w:pPr>
              <w:pStyle w:val="Compact"/>
              <w:jc w:val="left"/>
            </w:pPr>
            <w:r>
              <w:t xml:space="preserve">&gt;35%</w:t>
            </w:r>
          </w:p>
        </w:tc>
      </w:tr>
      <w:tr>
        <w:tc>
          <w:tcPr/>
          <w:p>
            <w:pPr>
              <w:pStyle w:val="Compact"/>
              <w:jc w:val="left"/>
            </w:pPr>
            <w:r>
              <w:t xml:space="preserve">IRR proyek PLTS dengan kontrak tenant</w:t>
            </w:r>
          </w:p>
        </w:tc>
        <w:tc>
          <w:tcPr/>
          <w:p>
            <w:pPr>
              <w:pStyle w:val="Compact"/>
              <w:jc w:val="left"/>
            </w:pPr>
            <w:r>
              <w:t xml:space="preserve">n/a</w:t>
            </w:r>
          </w:p>
        </w:tc>
        <w:tc>
          <w:tcPr/>
          <w:p>
            <w:pPr>
              <w:pStyle w:val="Compact"/>
              <w:jc w:val="left"/>
            </w:pPr>
            <w:r>
              <w:t xml:space="preserve">di atas biaya modal AKR + 2 poin</w:t>
            </w:r>
          </w:p>
        </w:tc>
      </w:tr>
      <w:tr>
        <w:tc>
          <w:tcPr/>
          <w:p>
            <w:pPr>
              <w:pStyle w:val="Compact"/>
              <w:jc w:val="left"/>
            </w:pPr>
            <w:r>
              <w:t xml:space="preserve">Bauran EBT internal AKR</w:t>
            </w:r>
          </w:p>
        </w:tc>
        <w:tc>
          <w:tcPr/>
          <w:p>
            <w:pPr>
              <w:pStyle w:val="Compact"/>
              <w:jc w:val="left"/>
            </w:pPr>
            <w:r>
              <w:t xml:space="preserve">26% (AKR Corporindo, 2026b, hlm. 52)</w:t>
            </w:r>
          </w:p>
        </w:tc>
        <w:tc>
          <w:tcPr/>
          <w:p>
            <w:pPr>
              <w:pStyle w:val="Compact"/>
              <w:jc w:val="left"/>
            </w:pPr>
            <w:r>
              <w:t xml:space="preserve">30% tercapai lebih awal dari 2030</w:t>
            </w:r>
          </w:p>
        </w:tc>
      </w:tr>
      <w:tr>
        <w:tc>
          <w:tcPr/>
          <w:p>
            <w:pPr>
              <w:pStyle w:val="Compact"/>
              <w:jc w:val="left"/>
            </w:pPr>
            <w:r>
              <w:t xml:space="preserve">Emisi yang dihindari tenant (tCO₂e per tahun)</w:t>
            </w:r>
          </w:p>
        </w:tc>
        <w:tc>
          <w:tcPr/>
          <w:p>
            <w:pPr>
              <w:pStyle w:val="Compact"/>
              <w:jc w:val="left"/>
            </w:pPr>
            <w:r>
              <w:t xml:space="preserve">n/a</w:t>
            </w:r>
          </w:p>
        </w:tc>
        <w:tc>
          <w:tcPr/>
          <w:p>
            <w:pPr>
              <w:pStyle w:val="Compact"/>
              <w:jc w:val="left"/>
            </w:pPr>
            <w:r>
              <w:t xml:space="preserve">60.000–80.000 pada 56 MWp [ESTIMASI: faktor emisi jaringan Jawa–Bali ~0,8 tCO₂e/MWh]</w:t>
            </w:r>
          </w:p>
        </w:tc>
      </w:tr>
    </w:tbl>
    <w:p>
      <w:pPr>
        <w:pStyle w:val="BodyText"/>
      </w:pPr>
      <w:r>
        <w:t xml:space="preserve">Sumber: rancangan penulis.</w:t>
      </w:r>
    </w:p>
    <w:bookmarkEnd w:id="76"/>
    <w:bookmarkStart w:id="77" w:name="risiko-dan-mitigasi"/>
    <w:p>
      <w:pPr>
        <w:pStyle w:val="Heading3"/>
      </w:pPr>
      <w:r>
        <w:t xml:space="preserve">4.7.6 Risiko dan Mitigasi</w:t>
      </w:r>
    </w:p>
    <w:p>
      <w:pPr>
        <w:pStyle w:val="FirstParagraph"/>
      </w:pPr>
      <w:r>
        <w:rPr>
          <w:bCs/>
          <w:b/>
        </w:rPr>
        <w:t xml:space="preserve">Tabel 4.9 Risiko dan mitigasi usulan terpilih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Risiko</w:t>
            </w:r>
          </w:p>
        </w:tc>
        <w:tc>
          <w:tcPr/>
          <w:p>
            <w:pPr>
              <w:pStyle w:val="Compact"/>
              <w:jc w:val="left"/>
            </w:pPr>
            <w:r>
              <w:t xml:space="preserve">Mekanisme</w:t>
            </w:r>
          </w:p>
        </w:tc>
        <w:tc>
          <w:tcPr/>
          <w:p>
            <w:pPr>
              <w:pStyle w:val="Compact"/>
              <w:jc w:val="left"/>
            </w:pPr>
            <w:r>
              <w:t xml:space="preserve">Mitigasi</w:t>
            </w:r>
          </w:p>
        </w:tc>
      </w:tr>
      <w:tr>
        <w:tc>
          <w:tcPr/>
          <w:p>
            <w:pPr>
              <w:pStyle w:val="Compact"/>
              <w:jc w:val="left"/>
            </w:pPr>
            <w:r>
              <w:t xml:space="preserve">Integritas klaim hijau</w:t>
            </w:r>
          </w:p>
        </w:tc>
        <w:tc>
          <w:tcPr/>
          <w:p>
            <w:pPr>
              <w:pStyle w:val="Compact"/>
              <w:jc w:val="left"/>
            </w:pPr>
            <w:r>
              <w:t xml:space="preserve">Bjørn et al. (2022,</w:t>
            </w:r>
            <w:r>
              <w:t xml:space="preserve"> </w:t>
            </w:r>
            <w:r>
              <w:rPr>
                <w:iCs/>
                <w:i/>
              </w:rPr>
              <w:t xml:space="preserve">Nature Climate Change</w:t>
            </w:r>
            <w:r>
              <w:t xml:space="preserve">, SJR Q1) menunjukkan REC tanpa tambahan nyata dapat melemahkan kredibilitas target berbasis sains; Brander et al. (2018,</w:t>
            </w:r>
            <w:r>
              <w:t xml:space="preserve"> </w:t>
            </w:r>
            <w:r>
              <w:rPr>
                <w:iCs/>
                <w:i/>
              </w:rPr>
              <w:t xml:space="preserve">Energy Policy</w:t>
            </w:r>
            <w:r>
              <w:t xml:space="preserve">, SJR Q1) mengkritik metode Scope 2 berbasis pasar yang tidak mencerminkan pengurangan emisi fisik</w:t>
            </w:r>
          </w:p>
        </w:tc>
        <w:tc>
          <w:tcPr/>
          <w:p>
            <w:pPr>
              <w:pStyle w:val="Compact"/>
              <w:jc w:val="left"/>
            </w:pPr>
            <w:r>
              <w:t xml:space="preserve">Utamakan REC dari PLTS milik sendiri di dalam kawasan (</w:t>
            </w:r>
            <w:r>
              <w:rPr>
                <w:iCs/>
                <w:i/>
              </w:rPr>
              <w:t xml:space="preserve">additionality</w:t>
            </w:r>
            <w:r>
              <w:t xml:space="preserve"> </w:t>
            </w:r>
            <w:r>
              <w:t xml:space="preserve">fisik), gunakan pencocokan per jam untuk tingkat 24/7, dan ungkapkan metode berbasis lokasi dan pasar secara bersamaan</w:t>
            </w:r>
          </w:p>
        </w:tc>
      </w:tr>
      <w:tr>
        <w:tc>
          <w:tcPr/>
          <w:p>
            <w:pPr>
              <w:pStyle w:val="Compact"/>
              <w:jc w:val="left"/>
            </w:pPr>
            <w:r>
              <w:t xml:space="preserve">Regulasi ketenagalistrikan</w:t>
            </w:r>
          </w:p>
        </w:tc>
        <w:tc>
          <w:tcPr/>
          <w:p>
            <w:pPr>
              <w:pStyle w:val="Compact"/>
              <w:jc w:val="left"/>
            </w:pPr>
            <w:r>
              <w:t xml:space="preserve">Aturan jual beli listrik EBT dan</w:t>
            </w:r>
            <w:r>
              <w:t xml:space="preserve"> </w:t>
            </w:r>
            <w:r>
              <w:rPr>
                <w:iCs/>
                <w:i/>
              </w:rPr>
              <w:t xml:space="preserve">wheeling</w:t>
            </w:r>
            <w:r>
              <w:t xml:space="preserve"> </w:t>
            </w:r>
            <w:r>
              <w:t xml:space="preserve">dalam wilayah usaha swasta dapat berubah</w:t>
            </w:r>
          </w:p>
        </w:tc>
        <w:tc>
          <w:tcPr/>
          <w:p>
            <w:pPr>
              <w:pStyle w:val="Compact"/>
              <w:jc w:val="left"/>
            </w:pPr>
            <w:r>
              <w:t xml:space="preserve">Dialog regulasi dini (key action 4.1), struktur kontrak yang fleksibel, dan opsi pasokan REC PLN sebagai cadangan</w:t>
            </w:r>
          </w:p>
        </w:tc>
      </w:tr>
      <w:tr>
        <w:tc>
          <w:tcPr/>
          <w:p>
            <w:pPr>
              <w:pStyle w:val="Compact"/>
              <w:jc w:val="left"/>
            </w:pPr>
            <w:r>
              <w:t xml:space="preserve">Penyerapan tenant</w:t>
            </w:r>
          </w:p>
        </w:tc>
        <w:tc>
          <w:tcPr/>
          <w:p>
            <w:pPr>
              <w:pStyle w:val="Compact"/>
              <w:jc w:val="left"/>
            </w:pPr>
            <w:r>
              <w:t xml:space="preserve">Tenant memilih tingkat</w:t>
            </w:r>
            <w:r>
              <w:t xml:space="preserve"> </w:t>
            </w:r>
            <w:r>
              <w:rPr>
                <w:iCs/>
                <w:i/>
              </w:rPr>
              <w:t xml:space="preserve">Base</w:t>
            </w:r>
            <w:r>
              <w:t xml:space="preserve"> </w:t>
            </w:r>
            <w:r>
              <w:t xml:space="preserve">jika premi terlalu tinggi</w:t>
            </w:r>
          </w:p>
        </w:tc>
        <w:tc>
          <w:tcPr/>
          <w:p>
            <w:pPr>
              <w:pStyle w:val="Compact"/>
              <w:jc w:val="left"/>
            </w:pPr>
            <w:r>
              <w:t xml:space="preserve">Mulai dari tenant yang menghadapi CBAM dan deklarasi karbon produk; tawarkan jalur migrasi bertahap; jadikan tingkat rendah karbon syarat standar kontrak lahan baru</w:t>
            </w:r>
          </w:p>
        </w:tc>
      </w:tr>
      <w:tr>
        <w:tc>
          <w:tcPr/>
          <w:p>
            <w:pPr>
              <w:pStyle w:val="Compact"/>
              <w:jc w:val="left"/>
            </w:pPr>
            <w:r>
              <w:t xml:space="preserve">Teknologi dan operasi</w:t>
            </w:r>
          </w:p>
        </w:tc>
        <w:tc>
          <w:tcPr/>
          <w:p>
            <w:pPr>
              <w:pStyle w:val="Compact"/>
              <w:jc w:val="left"/>
            </w:pPr>
            <w:r>
              <w:t xml:space="preserve">Kinerja PLTS terapung dan baterai di bawah rencana</w:t>
            </w:r>
          </w:p>
        </w:tc>
        <w:tc>
          <w:tcPr/>
          <w:p>
            <w:pPr>
              <w:pStyle w:val="Compact"/>
              <w:jc w:val="left"/>
            </w:pPr>
            <w:r>
              <w:t xml:space="preserve">Kontrak EPC berbasis kinerja; fase bertahap dengan FID terpisah</w:t>
            </w:r>
          </w:p>
        </w:tc>
      </w:tr>
      <w:tr>
        <w:tc>
          <w:tcPr/>
          <w:p>
            <w:pPr>
              <w:pStyle w:val="Compact"/>
              <w:jc w:val="left"/>
            </w:pPr>
            <w:r>
              <w:t xml:space="preserve">Pendanaan</w:t>
            </w:r>
          </w:p>
        </w:tc>
        <w:tc>
          <w:tcPr/>
          <w:p>
            <w:pPr>
              <w:pStyle w:val="Compact"/>
              <w:jc w:val="left"/>
            </w:pPr>
            <w:r>
              <w:t xml:space="preserve">Pinjaman hijau mensyaratkan taksonomi dan pelaporan</w:t>
            </w:r>
          </w:p>
        </w:tc>
        <w:tc>
          <w:tcPr/>
          <w:p>
            <w:pPr>
              <w:pStyle w:val="Compact"/>
              <w:jc w:val="left"/>
            </w:pPr>
            <w:r>
              <w:t xml:space="preserve">Selaraskan dengan Taksonomi untuk Keuangan Berkelanjutan Indonesia dan POJK 51/2017 sejak awal</w:t>
            </w:r>
          </w:p>
        </w:tc>
      </w:tr>
    </w:tbl>
    <w:p>
      <w:pPr>
        <w:pStyle w:val="BodyText"/>
      </w:pPr>
      <w:r>
        <w:t xml:space="preserve">Sumber: analisis penulis.</w:t>
      </w:r>
    </w:p>
    <w:bookmarkEnd w:id="77"/>
    <w:bookmarkStart w:id="78" w:name="keterkaitan-dengan-key-action-4.14.3"/>
    <w:p>
      <w:pPr>
        <w:pStyle w:val="Heading3"/>
      </w:pPr>
      <w:r>
        <w:t xml:space="preserve">4.7.7 Keterkaitan dengan Key Action 4.1–4.3</w:t>
      </w:r>
    </w:p>
    <w:p>
      <w:pPr>
        <w:pStyle w:val="FirstParagraph"/>
      </w:pPr>
      <w:r>
        <w:t xml:space="preserve">Usulan ini mengeksekusi secara langsung</w:t>
      </w:r>
      <w:r>
        <w:t xml:space="preserve"> </w:t>
      </w:r>
      <w:r>
        <w:rPr>
          <w:iCs/>
          <w:i/>
        </w:rPr>
        <w:t xml:space="preserve">key action</w:t>
      </w:r>
      <w:r>
        <w:t xml:space="preserve"> </w:t>
      </w:r>
      <w:r>
        <w:t xml:space="preserve">ketiga pada 4.1 (kepastian regulasi KEK dan ketenagalistrikan JIIPE),</w:t>
      </w:r>
      <w:r>
        <w:t xml:space="preserve"> </w:t>
      </w:r>
      <w:r>
        <w:rPr>
          <w:iCs/>
          <w:i/>
        </w:rPr>
        <w:t xml:space="preserve">key action</w:t>
      </w:r>
      <w:r>
        <w:t xml:space="preserve"> </w:t>
      </w:r>
      <w:r>
        <w:t xml:space="preserve">ketiga pada 4.2 (klausul penyesuaian dalam kontrak utilitas dan pergeseran bauran pelanggan ke tenant JIIPE), serta</w:t>
      </w:r>
      <w:r>
        <w:t xml:space="preserve"> </w:t>
      </w:r>
      <w:r>
        <w:rPr>
          <w:iCs/>
          <w:i/>
        </w:rPr>
        <w:t xml:space="preserve">key action</w:t>
      </w:r>
      <w:r>
        <w:t xml:space="preserve"> </w:t>
      </w:r>
      <w:r>
        <w:t xml:space="preserve">pertama dan ketiga pada 4.3 (</w:t>
      </w:r>
      <w:r>
        <w:rPr>
          <w:iCs/>
          <w:i/>
        </w:rPr>
        <w:t xml:space="preserve">baseline</w:t>
      </w:r>
      <w:r>
        <w:t xml:space="preserve"> </w:t>
      </w:r>
      <w:r>
        <w:t xml:space="preserve">emisi dan FID PLTS yang dikunci kontrak). Fungsi</w:t>
      </w:r>
      <w:r>
        <w:t xml:space="preserve"> </w:t>
      </w:r>
      <w:r>
        <w:rPr>
          <w:iCs/>
          <w:i/>
        </w:rPr>
        <w:t xml:space="preserve">Regulatory Affairs</w:t>
      </w:r>
      <w:r>
        <w:t xml:space="preserve"> </w:t>
      </w:r>
      <w:r>
        <w:t xml:space="preserve">yang diusulkan pada 4.1 menjadi pemilik dialog regulasi unit energi; kebijakan modal kerja pada 4.2 melindungi arus kas yang mendanai PLTS; dan pilot multi-energi pada 4.3 berjalan paralel sebagai opsi nyata bagi ritel tanpa bersaing memperebutkan modal dengan JIIPE.</w:t>
      </w:r>
    </w:p>
    <w:bookmarkEnd w:id="78"/>
    <w:bookmarkStart w:id="79" w:name="Xa670f0dc021e69bc38edb017f151a6615b46953"/>
    <w:p>
      <w:pPr>
        <w:pStyle w:val="Heading3"/>
      </w:pPr>
      <w:r>
        <w:t xml:space="preserve">4.7.8 Mengapa Ini Inovatif, Bukan Sekadar Perbaikan</w:t>
      </w:r>
    </w:p>
    <w:p>
      <w:pPr>
        <w:pStyle w:val="FirstParagraph"/>
      </w:pPr>
      <w:r>
        <w:t xml:space="preserve">Infrastruktur yang dipakai usulan ini sebagian besar sudah ada dalam rencana resmi AKR; yang baru adalah arsitektur penciptaan dan penangkapan nilainya. Dalam kerangka Zott dan Amit (2010), kebaruan terjadi pada ketiga dimensi: konten (aktivitas baru berupa sertifikasi, pencocokan per jam, dan pelaporan), struktur (menghubungkan BREN, BBE, LNG, dan PLN dalam satu portofolio yang dikontrak sebagai satu layanan), dan tata kelola (keputusan investasi dikunci oleh kontrak tenant, bukan oleh rencana pengembang). Tukker (2004,</w:t>
      </w:r>
      <w:r>
        <w:t xml:space="preserve"> </w:t>
      </w:r>
      <w:r>
        <w:rPr>
          <w:iCs/>
          <w:i/>
        </w:rPr>
        <w:t xml:space="preserve">Business Strategy and the Environment</w:t>
      </w:r>
      <w:r>
        <w:t xml:space="preserve">, SJR Q1) mengklasifikasikan sistem produk-layanan dan menunjukkan bahwa model berorientasi hasil, yaitu pelanggan membayar hasil yang dijamin, bukan produk, memiliki potensi keberlanjutan dan penguncian pelanggan tertinggi; usulan ini berada pada kategori tersebut karena tenant membeli intensitas karbon yang dijamin, bukan kWh. Richter (2013,</w:t>
      </w:r>
      <w:r>
        <w:t xml:space="preserve"> </w:t>
      </w:r>
      <w:r>
        <w:rPr>
          <w:iCs/>
          <w:i/>
        </w:rPr>
        <w:t xml:space="preserve">Energy Policy</w:t>
      </w:r>
      <w:r>
        <w:t xml:space="preserve">, SJR Q1) menemukan bahwa utilitas</w:t>
      </w:r>
      <w:r>
        <w:t xml:space="preserve"> </w:t>
      </w:r>
      <w:r>
        <w:rPr>
          <w:iCs/>
          <w:i/>
        </w:rPr>
        <w:t xml:space="preserve">incumbent</w:t>
      </w:r>
      <w:r>
        <w:t xml:space="preserve"> </w:t>
      </w:r>
      <w:r>
        <w:t xml:space="preserve">Jerman gagal menangkap nilai energi terbarukan ketika hanya menambah pembangkit tanpa mengubah model bisnis sisi pelanggan, dan Helms (2016,</w:t>
      </w:r>
      <w:r>
        <w:t xml:space="preserve"> </w:t>
      </w:r>
      <w:r>
        <w:rPr>
          <w:iCs/>
          <w:i/>
        </w:rPr>
        <w:t xml:space="preserve">Energy Policy</w:t>
      </w:r>
      <w:r>
        <w:t xml:space="preserve">, SJR Q1) menunjukkan bahwa servitisasi model bisnis utilitas mensyaratkan transformasi aset dari penjual energi menjadi penyedia layanan dengan kontrak berbasis hasil. Hartmann et al. (2021,</w:t>
      </w:r>
      <w:r>
        <w:t xml:space="preserve"> </w:t>
      </w:r>
      <w:r>
        <w:rPr>
          <w:iCs/>
          <w:i/>
        </w:rPr>
        <w:t xml:space="preserve">Journal of International Business Studies</w:t>
      </w:r>
      <w:r>
        <w:t xml:space="preserve">, SJR Q1) menemukan bahwa perusahaan minyak dan gas</w:t>
      </w:r>
      <w:r>
        <w:t xml:space="preserve"> </w:t>
      </w:r>
      <w:r>
        <w:rPr>
          <w:iCs/>
          <w:i/>
        </w:rPr>
        <w:t xml:space="preserve">incumbent</w:t>
      </w:r>
      <w:r>
        <w:t xml:space="preserve"> </w:t>
      </w:r>
      <w:r>
        <w:t xml:space="preserve">yang berhasil dalam energi terbarukan adalah yang menggabungkan aset lama dengan kapabilitas baru di segmen pelanggan yang spesifik, bukan yang sekadar mendiversifikasi portofolio. Dalam perspektif multi-level Geels (2002), usulan ini menjadikan JIIPE sebagai</w:t>
      </w:r>
      <w:r>
        <w:t xml:space="preserve"> </w:t>
      </w:r>
      <w:r>
        <w:rPr>
          <w:iCs/>
          <w:i/>
        </w:rPr>
        <w:t xml:space="preserve">niche</w:t>
      </w:r>
      <w:r>
        <w:t xml:space="preserve"> </w:t>
      </w:r>
      <w:r>
        <w:t xml:space="preserve">terlindung tempat AKR, aktor rezim fosil, membangun kapabilitas rezim baru dengan risiko terkendali; itulah yang membedakannya dari perbaikan operasional dan dari sekadar menambah kapasitas PLTS.</w:t>
      </w:r>
    </w:p>
    <w:p>
      <w:r>
        <w:br w:type="page"/>
      </w:r>
    </w:p>
    <w:bookmarkEnd w:id="79"/>
    <w:bookmarkEnd w:id="80"/>
    <w:bookmarkEnd w:id="81"/>
    <w:bookmarkStart w:id="85" w:name="bab-5-kesimpulan-dan-rekomendasi"/>
    <w:p>
      <w:pPr>
        <w:pStyle w:val="Heading1"/>
      </w:pPr>
      <w:r>
        <w:t xml:space="preserve">BAB 5 KESIMPULAN DAN REKOMENDASI</w:t>
      </w:r>
    </w:p>
    <w:bookmarkStart w:id="82" w:name="jawaban-atas-pertanyaan-penelitian"/>
    <w:p>
      <w:pPr>
        <w:pStyle w:val="Heading2"/>
      </w:pPr>
      <w:r>
        <w:t xml:space="preserve">5.1 Jawaban atas Pertanyaan Penelitian</w:t>
      </w:r>
    </w:p>
    <w:p>
      <w:pPr>
        <w:pStyle w:val="FirstParagraph"/>
      </w:pPr>
      <w:r>
        <w:rPr>
          <w:bCs/>
          <w:b/>
        </w:rPr>
        <w:t xml:space="preserve">PP1 (Pemerintah dan Regulasi).</w:t>
      </w:r>
      <w:r>
        <w:t xml:space="preserve"> </w:t>
      </w:r>
      <w:r>
        <w:t xml:space="preserve">Faktor ini memengaruhi AKR secara langsung dan bertolak belakang antarsegmen: kuota impor yang habis pada Agustus 2025 menghentikan penjualan bensin bp AKR, sementara penugasan BPH Migas, alokasi FAME, dan mandatori B50 menaikkan volume BBM industri dan bersubsidi, dan fasilitas KEK menarik tenant yang mendorong pendapatan JIIPE naik 99%.</w:t>
      </w:r>
      <w:r>
        <w:t xml:space="preserve"> </w:t>
      </w:r>
      <w:r>
        <w:rPr>
          <w:iCs/>
          <w:i/>
        </w:rPr>
        <w:t xml:space="preserve">Key factor</w:t>
      </w:r>
      <w:r>
        <w:t xml:space="preserve"> </w:t>
      </w:r>
      <w:r>
        <w:t xml:space="preserve">penyebabnya adalah tekanan fiskal subsidi energi (Rp376,8 triliun hingga September 2026), agenda ketahanan energi dan substitusi impor, serta koalisi politik hilirisasi yang stabil; ketiganya berada di luar kendali AKR dan hanya dapat dipengaruhi melalui strategi nonpasar.</w:t>
      </w:r>
    </w:p>
    <w:p>
      <w:pPr>
        <w:pStyle w:val="BodyText"/>
      </w:pPr>
      <w:r>
        <w:rPr>
          <w:bCs/>
          <w:b/>
        </w:rPr>
        <w:t xml:space="preserve">PP2 (Ekonomi).</w:t>
      </w:r>
      <w:r>
        <w:t xml:space="preserve"> </w:t>
      </w:r>
      <w:r>
        <w:t xml:space="preserve">Guncangan harga minyak 2026, pelemahan rupiah, dan siklus komoditas pelanggan menggerakkan pendapatan nominal AKR secara tajam, tetapi margin per unit dilindungi</w:t>
      </w:r>
      <w:r>
        <w:t xml:space="preserve"> </w:t>
      </w:r>
      <w:r>
        <w:rPr>
          <w:iCs/>
          <w:i/>
        </w:rPr>
        <w:t xml:space="preserve">formula-based pricing</w:t>
      </w:r>
      <w:r>
        <w:t xml:space="preserve"> </w:t>
      </w:r>
      <w:r>
        <w:t xml:space="preserve">dengan posisi terbuka neto nol. Dampak yang tidak terlindungi adalah modal kerja dan risiko kredit, serta waktu keputusan investasi tenant JIIPE.</w:t>
      </w:r>
      <w:r>
        <w:t xml:space="preserve"> </w:t>
      </w:r>
      <w:r>
        <w:rPr>
          <w:iCs/>
          <w:i/>
        </w:rPr>
        <w:t xml:space="preserve">Key factor</w:t>
      </w:r>
      <w:r>
        <w:t xml:space="preserve"> </w:t>
      </w:r>
      <w:r>
        <w:t xml:space="preserve">penyebabnya adalah guncangan pasokan minyak geopolitik, transmisi kurs, dan struktur</w:t>
      </w:r>
      <w:r>
        <w:t xml:space="preserve"> </w:t>
      </w:r>
      <w:r>
        <w:rPr>
          <w:iCs/>
          <w:i/>
        </w:rPr>
        <w:t xml:space="preserve">pass-through</w:t>
      </w:r>
      <w:r>
        <w:t xml:space="preserve"> </w:t>
      </w:r>
      <w:r>
        <w:t xml:space="preserve">yang diadministrasi negara.</w:t>
      </w:r>
    </w:p>
    <w:p>
      <w:pPr>
        <w:pStyle w:val="BodyText"/>
      </w:pPr>
      <w:r>
        <w:rPr>
          <w:bCs/>
          <w:b/>
        </w:rPr>
        <w:t xml:space="preserve">PP3 (Teknologi dan Lingkungan).</w:t>
      </w:r>
      <w:r>
        <w:t xml:space="preserve"> </w:t>
      </w:r>
      <w:r>
        <w:t xml:space="preserve">Elektrifikasi kendaraan (BEV 15,9% pada semester I 2026), B50, dan tuntutan karbon rantai pasok berdampak kecil pada laba jangka pendek karena basis pelanggan industri, tetapi mengancam ritel bensin jangka panjang dan membuka peluang utilitas rendah karbon di JIIPE.</w:t>
      </w:r>
      <w:r>
        <w:t xml:space="preserve"> </w:t>
      </w:r>
      <w:r>
        <w:rPr>
          <w:iCs/>
          <w:i/>
        </w:rPr>
        <w:t xml:space="preserve">Key factor</w:t>
      </w:r>
      <w:r>
        <w:t xml:space="preserve"> </w:t>
      </w:r>
      <w:r>
        <w:t xml:space="preserve">penyebabnya adalah penurunan biaya teknologi dan efek jaringan, tekanan kebijakan iklim pembeli global, hambatan struktural EBT yang justru membuat lisensi listrik JIIPE langka, dan mekanisme</w:t>
      </w:r>
      <w:r>
        <w:t xml:space="preserve"> </w:t>
      </w:r>
      <w:r>
        <w:rPr>
          <w:iCs/>
          <w:i/>
        </w:rPr>
        <w:t xml:space="preserve">stranded assets</w:t>
      </w:r>
      <w:r>
        <w:t xml:space="preserve">.</w:t>
      </w:r>
    </w:p>
    <w:p>
      <w:pPr>
        <w:pStyle w:val="BodyText"/>
      </w:pPr>
      <w:r>
        <w:rPr>
          <w:bCs/>
          <w:b/>
        </w:rPr>
        <w:t xml:space="preserve">PP4 (Inovasi).</w:t>
      </w:r>
      <w:r>
        <w:t xml:space="preserve"> </w:t>
      </w:r>
      <w:r>
        <w:t xml:space="preserve">Inovasi yang paling layak adalah JIIPE Low-Carbon Industrial Energy-as-a-Service dengan skor berbobot 4,20 dibanding 3,25 untuk stasiun multi-energi dan 3,40 untuk platform logistik. Ia unggul karena menjawab ketiga faktor sekaligus, menghasilkan pendapatan berulang berkontrak yang tidak bergantung kuota maupun harga minyak, memanfaatkan infrastruktur yang sudah direncanakan tanpa belanja modal spekulatif, dan belum ditiru pesaing; kebaruannya terletak pada model bisnis layanan berbasis hasil, bukan pada aset.</w:t>
      </w:r>
    </w:p>
    <w:bookmarkEnd w:id="82"/>
    <w:bookmarkStart w:id="83" w:name="rekomendasi-bertingkat"/>
    <w:p>
      <w:pPr>
        <w:pStyle w:val="Heading2"/>
      </w:pPr>
      <w:r>
        <w:t xml:space="preserve">5.2 Rekomendasi Bertingkat</w:t>
      </w:r>
    </w:p>
    <w:p>
      <w:pPr>
        <w:pStyle w:val="FirstParagraph"/>
      </w:pPr>
      <w:r>
        <w:rPr>
          <w:bCs/>
          <w:b/>
        </w:rPr>
        <w:t xml:space="preserve">Tabel 5.1 Rekomendasi bertingkat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Horizon</w:t>
            </w:r>
          </w:p>
        </w:tc>
        <w:tc>
          <w:tcPr/>
          <w:p>
            <w:pPr>
              <w:pStyle w:val="Compact"/>
              <w:jc w:val="left"/>
            </w:pPr>
            <w:r>
              <w:t xml:space="preserve">Rekomendasi</w:t>
            </w:r>
          </w:p>
        </w:tc>
        <w:tc>
          <w:tcPr/>
          <w:p>
            <w:pPr>
              <w:pStyle w:val="Compact"/>
              <w:jc w:val="left"/>
            </w:pPr>
            <w:r>
              <w:t xml:space="preserve">Pemilik</w:t>
            </w:r>
          </w:p>
        </w:tc>
      </w:tr>
      <w:tr>
        <w:tc>
          <w:tcPr/>
          <w:p>
            <w:pPr>
              <w:pStyle w:val="Compact"/>
              <w:jc w:val="left"/>
            </w:pPr>
            <w:r>
              <w:t xml:space="preserve">0–6 bulan</w:t>
            </w:r>
          </w:p>
        </w:tc>
        <w:tc>
          <w:tcPr/>
          <w:p>
            <w:pPr>
              <w:pStyle w:val="Compact"/>
              <w:jc w:val="left"/>
            </w:pPr>
            <w:r>
              <w:t xml:space="preserve">Bentuk fungsi</w:t>
            </w:r>
            <w:r>
              <w:t xml:space="preserve"> </w:t>
            </w:r>
            <w:r>
              <w:rPr>
                <w:iCs/>
                <w:i/>
              </w:rPr>
              <w:t xml:space="preserve">Regulatory Affairs &amp; Energy Policy</w:t>
            </w:r>
            <w:r>
              <w:t xml:space="preserve">; ajukan data kebutuhan impor 2027 ke ESDM; tetapkan kebijakan modal kerja berbasis skenario harga; tetapkan</w:t>
            </w:r>
            <w:r>
              <w:t xml:space="preserve"> </w:t>
            </w:r>
            <w:r>
              <w:rPr>
                <w:iCs/>
                <w:i/>
              </w:rPr>
              <w:t xml:space="preserve">baseline</w:t>
            </w:r>
            <w:r>
              <w:t xml:space="preserve"> </w:t>
            </w:r>
            <w:r>
              <w:t xml:space="preserve">emisi dan target intensitas; bentuk unit JIIPE Energy Services dan survei tenant</w:t>
            </w:r>
          </w:p>
        </w:tc>
        <w:tc>
          <w:tcPr/>
          <w:p>
            <w:pPr>
              <w:pStyle w:val="Compact"/>
              <w:jc w:val="left"/>
            </w:pPr>
            <w:r>
              <w:t xml:space="preserve">Direktur Utama, Direktur Keuangan, Komite ESG, Direksi BKMS</w:t>
            </w:r>
          </w:p>
        </w:tc>
      </w:tr>
      <w:tr>
        <w:tc>
          <w:tcPr/>
          <w:p>
            <w:pPr>
              <w:pStyle w:val="Compact"/>
              <w:jc w:val="left"/>
            </w:pPr>
            <w:r>
              <w:t xml:space="preserve">6–18 bulan</w:t>
            </w:r>
          </w:p>
        </w:tc>
        <w:tc>
          <w:tcPr/>
          <w:p>
            <w:pPr>
              <w:pStyle w:val="Compact"/>
              <w:jc w:val="left"/>
            </w:pPr>
            <w:r>
              <w:t xml:space="preserve">Kontrak</w:t>
            </w:r>
            <w:r>
              <w:t xml:space="preserve"> </w:t>
            </w:r>
            <w:r>
              <w:rPr>
                <w:iCs/>
                <w:i/>
              </w:rPr>
              <w:t xml:space="preserve">base fuel</w:t>
            </w:r>
            <w:r>
              <w:t xml:space="preserve"> </w:t>
            </w:r>
            <w:r>
              <w:t xml:space="preserve">jangka panjang dan uji pencampuran domestik untuk bp AKR; kontrak percontohan EaaS dengan 2–3 tenant jangkar; FID PLTS 56 MWp dikunci kontrak minimal 30 MW; pilot dua SPBU multi-energi; klausul penyesuaian pada semua kontrak JIIPE baru</w:t>
            </w:r>
          </w:p>
        </w:tc>
        <w:tc>
          <w:tcPr/>
          <w:p>
            <w:pPr>
              <w:pStyle w:val="Compact"/>
              <w:jc w:val="left"/>
            </w:pPr>
            <w:r>
              <w:t xml:space="preserve">Direksi APR, Direksi BKMS/BREN, Direktur Trading &amp; Distribution</w:t>
            </w:r>
          </w:p>
        </w:tc>
      </w:tr>
      <w:tr>
        <w:tc>
          <w:tcPr/>
          <w:p>
            <w:pPr>
              <w:pStyle w:val="Compact"/>
              <w:jc w:val="left"/>
            </w:pPr>
            <w:r>
              <w:t xml:space="preserve">18–36 bulan</w:t>
            </w:r>
          </w:p>
        </w:tc>
        <w:tc>
          <w:tcPr/>
          <w:p>
            <w:pPr>
              <w:pStyle w:val="Compact"/>
              <w:jc w:val="left"/>
            </w:pPr>
            <w:r>
              <w:t xml:space="preserve">COD PLTS 56 MWp; peluncuran tingkat</w:t>
            </w:r>
            <w:r>
              <w:t xml:space="preserve"> </w:t>
            </w:r>
            <w:r>
              <w:rPr>
                <w:iCs/>
                <w:i/>
              </w:rPr>
              <w:t xml:space="preserve">24/7 Carbon-Free</w:t>
            </w:r>
            <w:r>
              <w:t xml:space="preserve">; FID PLTS terapung 55 MW; integrasi LNG 2029; evaluasi replikasi model ke kawasan lain; keputusan skala ekspansi multi-energi berdasarkan hasil pilot</w:t>
            </w:r>
          </w:p>
        </w:tc>
        <w:tc>
          <w:tcPr/>
          <w:p>
            <w:pPr>
              <w:pStyle w:val="Compact"/>
              <w:jc w:val="left"/>
            </w:pPr>
            <w:r>
              <w:t xml:space="preserve">Direksi AKR dan Dewan Komisaris</w:t>
            </w:r>
          </w:p>
        </w:tc>
      </w:tr>
    </w:tbl>
    <w:p>
      <w:pPr>
        <w:pStyle w:val="BodyText"/>
      </w:pPr>
      <w:r>
        <w:t xml:space="preserve">Sumber: rangkuman Bab 4.</w:t>
      </w:r>
    </w:p>
    <w:bookmarkEnd w:id="83"/>
    <w:bookmarkStart w:id="84" w:name="keterbatasan-studi"/>
    <w:p>
      <w:pPr>
        <w:pStyle w:val="Heading2"/>
      </w:pPr>
      <w:r>
        <w:t xml:space="preserve">5.3 Keterbatasan Studi</w:t>
      </w:r>
    </w:p>
    <w:p>
      <w:pPr>
        <w:pStyle w:val="FirstParagraph"/>
      </w:pPr>
      <w:r>
        <w:t xml:space="preserve">Studi ini bertumpu pada data sekunder, terutama Laporan Tahunan dan Keberlanjutan AKR yang tidak mengungkapkan volume fisik BBM dan kimia maupun rincian tarif utilitas, sehingga beberapa angka ditandai [VERIFIKASI] dan estimasi investasi bersifat indikatif. Kesediaan tenant membayar premi energi rendah karbon belum divalidasi melalui wawancara atau survei primer, dan asumsi regulasi ketenagalistrikan di dalam KEK dapat berubah. Peristiwa 2026 yang dikutip dari media tier 1 bersifat mutakhir tetapi belum tercermin dalam laporan auditan, sehingga interpretasi dampaknya pada laba 2026 masih bersifat inferensi.</w:t>
      </w:r>
    </w:p>
    <w:p>
      <w:r>
        <w:br w:type="page"/>
      </w:r>
    </w:p>
    <w:bookmarkEnd w:id="84"/>
    <w:bookmarkEnd w:id="85"/>
    <w:bookmarkStart w:id="86" w:name="daftar-pustaka"/>
    <w:p>
      <w:pPr>
        <w:pStyle w:val="Heading1"/>
      </w:pPr>
      <w:r>
        <w:t xml:space="preserve">DAFTAR PUSTAKA</w:t>
      </w:r>
    </w:p>
    <w:p>
      <w:pPr>
        <w:pStyle w:val="FirstParagraph"/>
      </w:pPr>
      <w:r>
        <w:t xml:space="preserve">Aguilar, F. J. (1967).</w:t>
      </w:r>
      <w:r>
        <w:t xml:space="preserve"> </w:t>
      </w:r>
      <w:r>
        <w:rPr>
          <w:iCs/>
          <w:i/>
        </w:rPr>
        <w:t xml:space="preserve">Scanning the business environment</w:t>
      </w:r>
      <w:r>
        <w:t xml:space="preserve">. Macmillan.</w:t>
      </w:r>
    </w:p>
    <w:p>
      <w:pPr>
        <w:pStyle w:val="BodyText"/>
      </w:pPr>
      <w:r>
        <w:t xml:space="preserve">AKR Corporindo. (2025).</w:t>
      </w:r>
      <w:r>
        <w:t xml:space="preserve"> </w:t>
      </w:r>
      <w:r>
        <w:rPr>
          <w:iCs/>
          <w:i/>
        </w:rPr>
        <w:t xml:space="preserve">Laporan Tahunan 2024: Beyond Strategy, Value, and Legacy</w:t>
      </w:r>
      <w:r>
        <w:t xml:space="preserve"> </w:t>
      </w:r>
      <w:r>
        <w:t xml:space="preserve">[Annual Report 2024]. PT AKR Corporindo Tbk. [VERIFIKASI: judul resmi AR 2024]</w:t>
      </w:r>
    </w:p>
    <w:p>
      <w:pPr>
        <w:pStyle w:val="BodyText"/>
      </w:pPr>
      <w:r>
        <w:t xml:space="preserve">AKR Corporindo. (2026a).</w:t>
      </w:r>
      <w:r>
        <w:t xml:space="preserve"> </w:t>
      </w:r>
      <w:r>
        <w:rPr>
          <w:iCs/>
          <w:i/>
        </w:rPr>
        <w:t xml:space="preserve">Laporan Tahunan 2025: Raising the Bar, Progressing Further</w:t>
      </w:r>
      <w:r>
        <w:t xml:space="preserve"> </w:t>
      </w:r>
      <w:r>
        <w:t xml:space="preserve">[Annual Report 2025]. PT AKR Corporindo Tbk.</w:t>
      </w:r>
    </w:p>
    <w:p>
      <w:pPr>
        <w:pStyle w:val="BodyText"/>
      </w:pPr>
      <w:r>
        <w:t xml:space="preserve">AKR Corporindo. (2026b).</w:t>
      </w:r>
      <w:r>
        <w:t xml:space="preserve"> </w:t>
      </w:r>
      <w:r>
        <w:rPr>
          <w:iCs/>
          <w:i/>
        </w:rPr>
        <w:t xml:space="preserve">Laporan Keberlanjutan 2025</w:t>
      </w:r>
      <w:r>
        <w:t xml:space="preserve"> </w:t>
      </w:r>
      <w:r>
        <w:t xml:space="preserve">[Sustainability Report 2025]. PT AKR Corporindo Tbk.</w:t>
      </w:r>
    </w:p>
    <w:p>
      <w:pPr>
        <w:pStyle w:val="BodyText"/>
      </w:pPr>
      <w:r>
        <w:t xml:space="preserve">ANTARA. (2026, 9 Oktober).</w:t>
      </w:r>
      <w:r>
        <w:t xml:space="preserve"> </w:t>
      </w:r>
      <w:r>
        <w:rPr>
          <w:iCs/>
          <w:i/>
        </w:rPr>
        <w:t xml:space="preserve">Subsidi dan kompensasi energi capai Rp376,8 T hingga September</w:t>
      </w:r>
      <w:r>
        <w:t xml:space="preserve">. ANTARA News. https://www.antaranews.com/berita/5778778/subsidi-dan-kompensasi-energi-capai-rp3768-t-hingga-september</w:t>
      </w:r>
    </w:p>
    <w:p>
      <w:pPr>
        <w:pStyle w:val="BodyText"/>
      </w:pPr>
      <w:r>
        <w:t xml:space="preserve">Baron, D. P. (1995). Integrated strategy: Market and nonmarket components.</w:t>
      </w:r>
      <w:r>
        <w:t xml:space="preserve"> </w:t>
      </w:r>
      <w:r>
        <w:rPr>
          <w:iCs/>
          <w:i/>
        </w:rPr>
        <w:t xml:space="preserve">California Management Review, 37</w:t>
      </w:r>
      <w:r>
        <w:t xml:space="preserve">(2), 47–65. https://doi.org/10.2307/41165788</w:t>
      </w:r>
    </w:p>
    <w:p>
      <w:pPr>
        <w:pStyle w:val="BodyText"/>
      </w:pPr>
      <w:r>
        <w:t xml:space="preserve">Basher, S. A., Haug, A. A., &amp; Sadorsky, P. (2012). Oil prices, exchange rates and emerging stock markets.</w:t>
      </w:r>
      <w:r>
        <w:t xml:space="preserve"> </w:t>
      </w:r>
      <w:r>
        <w:rPr>
          <w:iCs/>
          <w:i/>
        </w:rPr>
        <w:t xml:space="preserve">Energy Economics, 34</w:t>
      </w:r>
      <w:r>
        <w:t xml:space="preserve">(1), 227–240. https://doi.org/10.1016/j.eneco.2011.10.005</w:t>
      </w:r>
    </w:p>
    <w:p>
      <w:pPr>
        <w:pStyle w:val="BodyText"/>
      </w:pPr>
      <w:r>
        <w:t xml:space="preserve">Bisnis Indonesia. (2025, 24 November).</w:t>
      </w:r>
      <w:r>
        <w:t xml:space="preserve"> </w:t>
      </w:r>
      <w:r>
        <w:rPr>
          <w:iCs/>
          <w:i/>
        </w:rPr>
        <w:t xml:space="preserve">BP dan Vivo sudah beli base fuel Pertamina, bagaimana dengan Shell?</w:t>
      </w:r>
      <w:r>
        <w:t xml:space="preserve"> </w:t>
      </w:r>
      <w:r>
        <w:t xml:space="preserve">Bisnis.com. https://ekonomi.bisnis.com/read/20251124/44/1931220/bp-dan-vivo-sudah-beli-base-fuel-pertamina-bagaimana-dengan-shell</w:t>
      </w:r>
    </w:p>
    <w:p>
      <w:pPr>
        <w:pStyle w:val="BodyText"/>
      </w:pPr>
      <w:r>
        <w:t xml:space="preserve">Bjørn, A., Lloyd, S. M., Brander, M., &amp; Matthews, H. D. (2022). Renewable energy certificates threaten the integrity of corporate science-based targets.</w:t>
      </w:r>
      <w:r>
        <w:t xml:space="preserve"> </w:t>
      </w:r>
      <w:r>
        <w:rPr>
          <w:iCs/>
          <w:i/>
        </w:rPr>
        <w:t xml:space="preserve">Nature Climate Change, 12</w:t>
      </w:r>
      <w:r>
        <w:t xml:space="preserve">(6), 539–546. https://doi.org/10.1038/s41558-022-01379-5</w:t>
      </w:r>
    </w:p>
    <w:p>
      <w:pPr>
        <w:pStyle w:val="BodyText"/>
      </w:pPr>
      <w:r>
        <w:t xml:space="preserve">Bloomberg Technoz. (2026, 26 Januari).</w:t>
      </w:r>
      <w:r>
        <w:t xml:space="preserve"> </w:t>
      </w:r>
      <w:r>
        <w:rPr>
          <w:iCs/>
          <w:i/>
        </w:rPr>
        <w:t xml:space="preserve">Persetujuan kuota impor BBM SPBU swasta dikembalikan per 6 bulan</w:t>
      </w:r>
      <w:r>
        <w:t xml:space="preserve">. https://www.bloombergtechnoz.com/detail-news/97492/persetujuan-kuota-impor-bbm-spbu-swasta-dikembalikan-per-6-bulan</w:t>
      </w:r>
    </w:p>
    <w:p>
      <w:pPr>
        <w:pStyle w:val="BodyText"/>
      </w:pPr>
      <w:r>
        <w:t xml:space="preserve">Borenstein, S., Cameron, A. C., &amp; Gilbert, R. (1997). Do gasoline prices respond asymmetrically to crude oil price changes?</w:t>
      </w:r>
      <w:r>
        <w:t xml:space="preserve"> </w:t>
      </w:r>
      <w:r>
        <w:rPr>
          <w:iCs/>
          <w:i/>
        </w:rPr>
        <w:t xml:space="preserve">Quarterly Journal of Economics, 112</w:t>
      </w:r>
      <w:r>
        <w:t xml:space="preserve">(1), 305–339. https://doi.org/10.1162/003355397555118</w:t>
      </w:r>
    </w:p>
    <w:p>
      <w:pPr>
        <w:pStyle w:val="BodyText"/>
      </w:pPr>
      <w:r>
        <w:t xml:space="preserve">Bower, J. L., &amp; Christensen, C. M. (1995). Disruptive technologies: Catching the wave.</w:t>
      </w:r>
      <w:r>
        <w:t xml:space="preserve"> </w:t>
      </w:r>
      <w:r>
        <w:rPr>
          <w:iCs/>
          <w:i/>
        </w:rPr>
        <w:t xml:space="preserve">Harvard Business Review, 73</w:t>
      </w:r>
      <w:r>
        <w:t xml:space="preserve">(1), 43–53.</w:t>
      </w:r>
    </w:p>
    <w:p>
      <w:pPr>
        <w:pStyle w:val="BodyText"/>
      </w:pPr>
      <w:r>
        <w:t xml:space="preserve">Brander, M., Gillenwater, M., &amp; Ascui, F. (2018). Creative accounting: A critical perspective on the market-based method for reporting purchased electricity (scope 2) emissions.</w:t>
      </w:r>
      <w:r>
        <w:t xml:space="preserve"> </w:t>
      </w:r>
      <w:r>
        <w:rPr>
          <w:iCs/>
          <w:i/>
        </w:rPr>
        <w:t xml:space="preserve">Energy Policy, 112</w:t>
      </w:r>
      <w:r>
        <w:t xml:space="preserve">, 29–33. https://doi.org/10.1016/j.enpol.2017.09.051</w:t>
      </w:r>
    </w:p>
    <w:p>
      <w:pPr>
        <w:pStyle w:val="BodyText"/>
      </w:pPr>
      <w:r>
        <w:t xml:space="preserve">Burke, P. J., &amp; Kurniawati, S. (2018). Electricity subsidy reform in Indonesia: Demand-side effects on electricity use.</w:t>
      </w:r>
      <w:r>
        <w:t xml:space="preserve"> </w:t>
      </w:r>
      <w:r>
        <w:rPr>
          <w:iCs/>
          <w:i/>
        </w:rPr>
        <w:t xml:space="preserve">Energy Policy, 116</w:t>
      </w:r>
      <w:r>
        <w:t xml:space="preserve">, 410–421. https://doi.org/10.1016/j.enpol.2018.02.018</w:t>
      </w:r>
    </w:p>
    <w:p>
      <w:pPr>
        <w:pStyle w:val="BodyText"/>
      </w:pPr>
      <w:r>
        <w:t xml:space="preserve">Burke, P. J., Widnyana, J., Anjum, Z., Aisbett, E., Resosudarmo, B., &amp; Baldwin, K. G. H. (2019). Overcoming barriers to solar and wind energy adoption in two Asian giants: India and Indonesia.</w:t>
      </w:r>
      <w:r>
        <w:t xml:space="preserve"> </w:t>
      </w:r>
      <w:r>
        <w:rPr>
          <w:iCs/>
          <w:i/>
        </w:rPr>
        <w:t xml:space="preserve">Energy Policy, 132</w:t>
      </w:r>
      <w:r>
        <w:t xml:space="preserve">, 1216–1228. https://doi.org/10.1016/j.enpol.2019.05.055</w:t>
      </w:r>
    </w:p>
    <w:p>
      <w:pPr>
        <w:pStyle w:val="BodyText"/>
      </w:pPr>
      <w:r>
        <w:t xml:space="preserve">Christensen, C. M., Raynor, M. E., &amp; McDonald, R. (2015). What is disruptive innovation?</w:t>
      </w:r>
      <w:r>
        <w:t xml:space="preserve"> </w:t>
      </w:r>
      <w:r>
        <w:rPr>
          <w:iCs/>
          <w:i/>
        </w:rPr>
        <w:t xml:space="preserve">Harvard Business Review, 93</w:t>
      </w:r>
      <w:r>
        <w:t xml:space="preserve">(12), 44–53.</w:t>
      </w:r>
    </w:p>
    <w:p>
      <w:pPr>
        <w:pStyle w:val="BodyText"/>
      </w:pPr>
      <w:r>
        <w:t xml:space="preserve">CNBC Indonesia. (2026, 1 Juli).</w:t>
      </w:r>
      <w:r>
        <w:t xml:space="preserve"> </w:t>
      </w:r>
      <w:r>
        <w:rPr>
          <w:iCs/>
          <w:i/>
        </w:rPr>
        <w:t xml:space="preserve">Resmi! Mandatori BBM biodiesel B50 berlaku 1 Juli 2026, ini aturannya</w:t>
      </w:r>
      <w:r>
        <w:t xml:space="preserve">. https://www.cnbcindonesia.com/news/20260701080925-4-747027/resmi-mandatori-bbm-biodiesel-b50-berlaku-1-juli-2026-ini-aturannya</w:t>
      </w:r>
    </w:p>
    <w:p>
      <w:pPr>
        <w:pStyle w:val="BodyText"/>
      </w:pPr>
      <w:r>
        <w:t xml:space="preserve">CNBC Indonesia. (2026, 10 Juli).</w:t>
      </w:r>
      <w:r>
        <w:t xml:space="preserve"> </w:t>
      </w:r>
      <w:r>
        <w:rPr>
          <w:iCs/>
          <w:i/>
        </w:rPr>
        <w:t xml:space="preserve">BBM Biosolar B50 beredar secara nasional di SPBU mulai 1 Oktober 2026</w:t>
      </w:r>
      <w:r>
        <w:t xml:space="preserve">. https://www.cnbcindonesia.com/news/20260710100507-4-749715/bbm-biosolar-b50-beredar-secara-nasional-di-spbu-mulai-1-oktober-2026</w:t>
      </w:r>
    </w:p>
    <w:p>
      <w:pPr>
        <w:pStyle w:val="BodyText"/>
      </w:pPr>
      <w:r>
        <w:t xml:space="preserve">Coady, D., Parry, I., Sears, L., &amp; Shang, B. (2017). How large are global fossil fuel subsidies?</w:t>
      </w:r>
      <w:r>
        <w:t xml:space="preserve"> </w:t>
      </w:r>
      <w:r>
        <w:rPr>
          <w:iCs/>
          <w:i/>
        </w:rPr>
        <w:t xml:space="preserve">World Development, 91</w:t>
      </w:r>
      <w:r>
        <w:t xml:space="preserve">, 11–27. https://doi.org/10.1016/j.worlddev.2016.10.004</w:t>
      </w:r>
    </w:p>
    <w:p>
      <w:pPr>
        <w:pStyle w:val="BodyText"/>
      </w:pPr>
      <w:r>
        <w:t xml:space="preserve">Dartanto, T. (2013). Reducing fuel subsidies and the implication on fiscal balance and poverty in Indonesia: A simulation analysis.</w:t>
      </w:r>
      <w:r>
        <w:t xml:space="preserve"> </w:t>
      </w:r>
      <w:r>
        <w:rPr>
          <w:iCs/>
          <w:i/>
        </w:rPr>
        <w:t xml:space="preserve">Energy Policy, 58</w:t>
      </w:r>
      <w:r>
        <w:t xml:space="preserve">, 117–134. https://doi.org/10.1016/j.enpol.2013.02.040</w:t>
      </w:r>
    </w:p>
    <w:p>
      <w:pPr>
        <w:pStyle w:val="BodyText"/>
      </w:pPr>
      <w:r>
        <w:t xml:space="preserve">Dechezleprêtre, A., &amp; Sato, M. (2017). The impacts of environmental regulations on competitiveness.</w:t>
      </w:r>
      <w:r>
        <w:t xml:space="preserve"> </w:t>
      </w:r>
      <w:r>
        <w:rPr>
          <w:iCs/>
          <w:i/>
        </w:rPr>
        <w:t xml:space="preserve">Review of Environmental Economics and Policy, 11</w:t>
      </w:r>
      <w:r>
        <w:t xml:space="preserve">(2), 183–206. https://doi.org/10.1093/reep/rex013</w:t>
      </w:r>
    </w:p>
    <w:p>
      <w:pPr>
        <w:pStyle w:val="BodyText"/>
      </w:pPr>
      <w:r>
        <w:t xml:space="preserve">Fahey, L., &amp; Narayanan, V. K. (1986).</w:t>
      </w:r>
      <w:r>
        <w:t xml:space="preserve"> </w:t>
      </w:r>
      <w:r>
        <w:rPr>
          <w:iCs/>
          <w:i/>
        </w:rPr>
        <w:t xml:space="preserve">Macroenvironmental analysis for strategic management</w:t>
      </w:r>
      <w:r>
        <w:t xml:space="preserve">. West Publishing.</w:t>
      </w:r>
    </w:p>
    <w:p>
      <w:pPr>
        <w:pStyle w:val="BodyText"/>
      </w:pPr>
      <w:r>
        <w:t xml:space="preserve">Frick, S. A., Rodríguez-Pose, A., &amp; Wong, M. D. (2019). Toward economically dynamic special economic zones in emerging countries.</w:t>
      </w:r>
      <w:r>
        <w:t xml:space="preserve"> </w:t>
      </w:r>
      <w:r>
        <w:rPr>
          <w:iCs/>
          <w:i/>
        </w:rPr>
        <w:t xml:space="preserve">Economic Geography, 95</w:t>
      </w:r>
      <w:r>
        <w:t xml:space="preserve">(1), 30–64. https://doi.org/10.1080/00130095.2018.1467732</w:t>
      </w:r>
    </w:p>
    <w:p>
      <w:pPr>
        <w:pStyle w:val="BodyText"/>
      </w:pPr>
      <w:r>
        <w:t xml:space="preserve">Froot, K. A., Scharfstein, D. S., &amp; Stein, J. C. (1993). Risk management: Coordinating corporate investment and financing policies.</w:t>
      </w:r>
      <w:r>
        <w:t xml:space="preserve"> </w:t>
      </w:r>
      <w:r>
        <w:rPr>
          <w:iCs/>
          <w:i/>
        </w:rPr>
        <w:t xml:space="preserve">Journal of Finance, 48</w:t>
      </w:r>
      <w:r>
        <w:t xml:space="preserve">(5), 1629–1658. https://doi.org/10.1111/j.1540-6261.1993.tb05123.x</w:t>
      </w:r>
    </w:p>
    <w:p>
      <w:pPr>
        <w:pStyle w:val="BodyText"/>
      </w:pPr>
      <w:r>
        <w:t xml:space="preserve">Geels, F. W. (2002). Technological transitions as evolutionary reconfiguration processes: A multi-level perspective and a case-study.</w:t>
      </w:r>
      <w:r>
        <w:t xml:space="preserve"> </w:t>
      </w:r>
      <w:r>
        <w:rPr>
          <w:iCs/>
          <w:i/>
        </w:rPr>
        <w:t xml:space="preserve">Research Policy, 31</w:t>
      </w:r>
      <w:r>
        <w:t xml:space="preserve">(8–9), 1257–1274. https://doi.org/10.1016/S0048-7333(02)00062-8</w:t>
      </w:r>
    </w:p>
    <w:p>
      <w:pPr>
        <w:pStyle w:val="BodyText"/>
      </w:pPr>
      <w:r>
        <w:t xml:space="preserve">Geroski, P. A. (2000). Models of technology diffusion.</w:t>
      </w:r>
      <w:r>
        <w:t xml:space="preserve"> </w:t>
      </w:r>
      <w:r>
        <w:rPr>
          <w:iCs/>
          <w:i/>
        </w:rPr>
        <w:t xml:space="preserve">Research Policy, 29</w:t>
      </w:r>
      <w:r>
        <w:t xml:space="preserve">(4–5), 603–625. https://doi.org/10.1016/S0048-7333(99)00092-X</w:t>
      </w:r>
    </w:p>
    <w:p>
      <w:pPr>
        <w:pStyle w:val="BodyText"/>
      </w:pPr>
      <w:r>
        <w:t xml:space="preserve">Grant, R. M. (2021).</w:t>
      </w:r>
      <w:r>
        <w:t xml:space="preserve"> </w:t>
      </w:r>
      <w:r>
        <w:rPr>
          <w:iCs/>
          <w:i/>
        </w:rPr>
        <w:t xml:space="preserve">Contemporary strategy analysis</w:t>
      </w:r>
      <w:r>
        <w:t xml:space="preserve"> </w:t>
      </w:r>
      <w:r>
        <w:t xml:space="preserve">(11th ed.). Wiley.</w:t>
      </w:r>
    </w:p>
    <w:p>
      <w:pPr>
        <w:pStyle w:val="BodyText"/>
      </w:pPr>
      <w:r>
        <w:t xml:space="preserve">Hamilton, J. D. (2009). Causes and consequences of the oil shock of 2007–08.</w:t>
      </w:r>
      <w:r>
        <w:t xml:space="preserve"> </w:t>
      </w:r>
      <w:r>
        <w:rPr>
          <w:iCs/>
          <w:i/>
        </w:rPr>
        <w:t xml:space="preserve">Brookings Papers on Economic Activity, 2009</w:t>
      </w:r>
      <w:r>
        <w:t xml:space="preserve">(1), 215–261. https://doi.org/10.1353/eca.0.0047</w:t>
      </w:r>
    </w:p>
    <w:p>
      <w:pPr>
        <w:pStyle w:val="BodyText"/>
      </w:pPr>
      <w:r>
        <w:t xml:space="preserve">Hardman, S., Jenn, A., Tal, G., Axsen, J., Beard, G., Daina, N., Figenbaum, E., Jakobsson, N., Jochem, P., Kinnear, N., Plötz, P., Pontes, J., Refa, N., Sprei, F., Turrentine, T., &amp; Witkamp, B. (2018). A review of consumer preferences of and interactions with electric vehicle charging infrastructure.</w:t>
      </w:r>
      <w:r>
        <w:t xml:space="preserve"> </w:t>
      </w:r>
      <w:r>
        <w:rPr>
          <w:iCs/>
          <w:i/>
        </w:rPr>
        <w:t xml:space="preserve">Transportation Research Part D: Transport and Environment, 62</w:t>
      </w:r>
      <w:r>
        <w:t xml:space="preserve">, 508–523. https://doi.org/10.1016/j.trd.2018.04.002</w:t>
      </w:r>
    </w:p>
    <w:p>
      <w:pPr>
        <w:pStyle w:val="BodyText"/>
      </w:pPr>
      <w:r>
        <w:t xml:space="preserve">Hartmann, J., Inkpen, A. C., &amp; Ramaswamy, K. (2021). Different shades of green: Global oil and gas companies and renewable energy.</w:t>
      </w:r>
      <w:r>
        <w:t xml:space="preserve"> </w:t>
      </w:r>
      <w:r>
        <w:rPr>
          <w:iCs/>
          <w:i/>
        </w:rPr>
        <w:t xml:space="preserve">Journal of International Business Studies, 52</w:t>
      </w:r>
      <w:r>
        <w:t xml:space="preserve">(5), 879–903. https://doi.org/10.1057/s41267-020-00326-w</w:t>
      </w:r>
    </w:p>
    <w:p>
      <w:pPr>
        <w:pStyle w:val="BodyText"/>
      </w:pPr>
      <w:r>
        <w:t xml:space="preserve">Helms, T. (2016). Asset transformation and the challenges to servitize a utility business model.</w:t>
      </w:r>
      <w:r>
        <w:t xml:space="preserve"> </w:t>
      </w:r>
      <w:r>
        <w:rPr>
          <w:iCs/>
          <w:i/>
        </w:rPr>
        <w:t xml:space="preserve">Energy Policy, 91</w:t>
      </w:r>
      <w:r>
        <w:t xml:space="preserve">, 98–112. https://doi.org/10.1016/j.enpol.2015.12.046</w:t>
      </w:r>
    </w:p>
    <w:p>
      <w:pPr>
        <w:pStyle w:val="BodyText"/>
      </w:pPr>
      <w:r>
        <w:t xml:space="preserve">Henisz, W. J. (2000). The institutional environment for economic growth.</w:t>
      </w:r>
      <w:r>
        <w:t xml:space="preserve"> </w:t>
      </w:r>
      <w:r>
        <w:rPr>
          <w:iCs/>
          <w:i/>
        </w:rPr>
        <w:t xml:space="preserve">Economics &amp; Politics, 12</w:t>
      </w:r>
      <w:r>
        <w:t xml:space="preserve">(1), 1–31. https://doi.org/10.1111/1468-0343.00066</w:t>
      </w:r>
    </w:p>
    <w:p>
      <w:pPr>
        <w:pStyle w:val="BodyText"/>
      </w:pPr>
      <w:r>
        <w:t xml:space="preserve">Hillman, A. J., Keim, G. D., &amp; Schuler, D. (2004). Corporate political activity: A review and research agenda.</w:t>
      </w:r>
      <w:r>
        <w:t xml:space="preserve"> </w:t>
      </w:r>
      <w:r>
        <w:rPr>
          <w:iCs/>
          <w:i/>
        </w:rPr>
        <w:t xml:space="preserve">Journal of Management, 30</w:t>
      </w:r>
      <w:r>
        <w:t xml:space="preserve">(6), 837–857. https://doi.org/10.1016/j.jm.2004.06.003</w:t>
      </w:r>
    </w:p>
    <w:p>
      <w:pPr>
        <w:pStyle w:val="BodyText"/>
      </w:pPr>
      <w:r>
        <w:t xml:space="preserve">Hitt, M. A., Ireland, R. D., &amp; Hoskisson, R. E. (2020).</w:t>
      </w:r>
      <w:r>
        <w:t xml:space="preserve"> </w:t>
      </w:r>
      <w:r>
        <w:rPr>
          <w:iCs/>
          <w:i/>
        </w:rPr>
        <w:t xml:space="preserve">Strategic management: Competitiveness and globalization</w:t>
      </w:r>
      <w:r>
        <w:t xml:space="preserve"> </w:t>
      </w:r>
      <w:r>
        <w:t xml:space="preserve">(13th ed.). Cengage.</w:t>
      </w:r>
    </w:p>
    <w:p>
      <w:pPr>
        <w:pStyle w:val="BodyText"/>
      </w:pPr>
      <w:r>
        <w:t xml:space="preserve">Katadata. (2025, 7 November).</w:t>
      </w:r>
      <w:r>
        <w:t xml:space="preserve"> </w:t>
      </w:r>
      <w:r>
        <w:rPr>
          <w:iCs/>
          <w:i/>
        </w:rPr>
        <w:t xml:space="preserve">BP-AKR tambah impor 100 ribu barel base fuel BBM dari Pertamina</w:t>
      </w:r>
      <w:r>
        <w:t xml:space="preserve">. Katadata.co.id. https://katadata.co.id/berita/energi/690da9444a349/bp-akr-tambah-impor-100-ribu-barel-base-fuel-bbm-dari-pertamina</w:t>
      </w:r>
    </w:p>
    <w:p>
      <w:pPr>
        <w:pStyle w:val="BodyText"/>
      </w:pPr>
      <w:r>
        <w:t xml:space="preserve">Katadata. (2026, 5 Januari).</w:t>
      </w:r>
      <w:r>
        <w:t xml:space="preserve"> </w:t>
      </w:r>
      <w:r>
        <w:rPr>
          <w:iCs/>
          <w:i/>
        </w:rPr>
        <w:t xml:space="preserve">ESDM sebut kuota impor BBM SPBU swasta naik sekitar 10% di 2026</w:t>
      </w:r>
      <w:r>
        <w:t xml:space="preserve">. Katadata.co.id. https://katadata.co.id/berita/energi/695c7ff1e246f/esdm-sebut-kuota-impor-bbm-spbu-swasta-naik-sekitar-10-di-2026</w:t>
      </w:r>
    </w:p>
    <w:p>
      <w:pPr>
        <w:pStyle w:val="BodyText"/>
      </w:pPr>
      <w:r>
        <w:t xml:space="preserve">Kementerian Energi dan Sumber Daya Mineral. (2026).</w:t>
      </w:r>
      <w:r>
        <w:t xml:space="preserve"> </w:t>
      </w:r>
      <w:r>
        <w:rPr>
          <w:iCs/>
          <w:i/>
        </w:rPr>
        <w:t xml:space="preserve">Keputusan Menteri ESDM Nomor 257.K/EK.01/MEM.E/2026 tentang implementasi pencampuran bahan bakar nabati jenis biodiesel 50 persen</w:t>
      </w:r>
      <w:r>
        <w:t xml:space="preserve"> </w:t>
      </w:r>
      <w:r>
        <w:t xml:space="preserve">[VERIFIKASI: judul resmi dan tanggal penetapan 17 Juni 2026].</w:t>
      </w:r>
    </w:p>
    <w:p>
      <w:pPr>
        <w:pStyle w:val="BodyText"/>
      </w:pPr>
      <w:r>
        <w:t xml:space="preserve">Kilian, L. (2009). Not all oil price shocks are alike: Disentangling demand and supply shocks in the crude oil market.</w:t>
      </w:r>
      <w:r>
        <w:t xml:space="preserve"> </w:t>
      </w:r>
      <w:r>
        <w:rPr>
          <w:iCs/>
          <w:i/>
        </w:rPr>
        <w:t xml:space="preserve">American Economic Review, 99</w:t>
      </w:r>
      <w:r>
        <w:t xml:space="preserve">(3), 1053–1069. https://doi.org/10.1257/aer.99.3.1053</w:t>
      </w:r>
    </w:p>
    <w:p>
      <w:pPr>
        <w:pStyle w:val="BodyText"/>
      </w:pPr>
      <w:r>
        <w:t xml:space="preserve">Kompas. (2026, 18 April).</w:t>
      </w:r>
      <w:r>
        <w:t xml:space="preserve"> </w:t>
      </w:r>
      <w:r>
        <w:rPr>
          <w:iCs/>
          <w:i/>
        </w:rPr>
        <w:t xml:space="preserve">Harga 3 jenis BBM Pertamina ini naik per 18 April 2026</w:t>
      </w:r>
      <w:r>
        <w:t xml:space="preserve">. Kompas.com. https://money.kompas.com/read/2026/04/18/070446926/harga-3-jenis-bbm-pertamina-ini-naik-per-18-april-2026</w:t>
      </w:r>
    </w:p>
    <w:p>
      <w:pPr>
        <w:pStyle w:val="BodyText"/>
      </w:pPr>
      <w:r>
        <w:t xml:space="preserve">Kompas. (2026, 14 Juli).</w:t>
      </w:r>
      <w:r>
        <w:t xml:space="preserve"> </w:t>
      </w:r>
      <w:r>
        <w:rPr>
          <w:iCs/>
          <w:i/>
        </w:rPr>
        <w:t xml:space="preserve">Pangsa pasar mobil listrik tembus 26,8 persen semester I/2026</w:t>
      </w:r>
      <w:r>
        <w:t xml:space="preserve">. Kompas.com. https://otomotif.kompas.com/read/2026/07/14/100200215/pangsa-pasar-mobil-listrik-tembus-26-8-persen-semester-i-2026</w:t>
      </w:r>
    </w:p>
    <w:p>
      <w:pPr>
        <w:pStyle w:val="BodyText"/>
      </w:pPr>
      <w:r>
        <w:t xml:space="preserve">Kontan. (2026, 10 Oktober).</w:t>
      </w:r>
      <w:r>
        <w:t xml:space="preserve"> </w:t>
      </w:r>
      <w:r>
        <w:rPr>
          <w:iCs/>
          <w:i/>
        </w:rPr>
        <w:t xml:space="preserve">Subsidi dan kompensasi energi naik 54,1% tembus Rp376,8 triliun per September 2026</w:t>
      </w:r>
      <w:r>
        <w:t xml:space="preserve">. Kontan.co.id. https://nasional.kontan.co.id/news/subsidi-dan-kompensasi-energi-naik-541-tembus-rp3768-triliun-per-september-2026</w:t>
      </w:r>
    </w:p>
    <w:p>
      <w:pPr>
        <w:pStyle w:val="BodyText"/>
      </w:pPr>
      <w:r>
        <w:t xml:space="preserve">Kontan. (2026, Oktober).</w:t>
      </w:r>
      <w:r>
        <w:t xml:space="preserve"> </w:t>
      </w:r>
      <w:r>
        <w:rPr>
          <w:iCs/>
          <w:i/>
        </w:rPr>
        <w:t xml:space="preserve">Laba AKR (AKRA) melonjak 34% menjadi Rp2,21 triliun per kuartal III-2026</w:t>
      </w:r>
      <w:r>
        <w:t xml:space="preserve">. Kontan.co.id. https://investasi.kontan.co.id/news/laba-akr-akra-melonjak-34-menjadi-rp-221-triliun-per-kuartal-iii-2026 [VERIFIKASI: tanggal terbit]</w:t>
      </w:r>
    </w:p>
    <w:p>
      <w:pPr>
        <w:pStyle w:val="BodyText"/>
      </w:pPr>
      <w:r>
        <w:t xml:space="preserve">Li, S., Tong, L., Xing, J., &amp; Zhou, Y. (2017). The market for electric vehicles: Indirect network effects and policy design.</w:t>
      </w:r>
      <w:r>
        <w:t xml:space="preserve"> </w:t>
      </w:r>
      <w:r>
        <w:rPr>
          <w:iCs/>
          <w:i/>
        </w:rPr>
        <w:t xml:space="preserve">Journal of the Association of Environmental and Resource Economists, 4</w:t>
      </w:r>
      <w:r>
        <w:t xml:space="preserve">(1), 89–133. https://doi.org/10.1086/689702</w:t>
      </w:r>
    </w:p>
    <w:p>
      <w:pPr>
        <w:pStyle w:val="BodyText"/>
      </w:pPr>
      <w:r>
        <w:t xml:space="preserve">Maulidia, M., Dargusch, P., Ashworth, P., &amp; Ardiansyah, F. (2019). Rethinking renewable energy targets and electricity sector reform in Indonesia: A private sector perspective.</w:t>
      </w:r>
      <w:r>
        <w:t xml:space="preserve"> </w:t>
      </w:r>
      <w:r>
        <w:rPr>
          <w:iCs/>
          <w:i/>
        </w:rPr>
        <w:t xml:space="preserve">Renewable and Sustainable Energy Reviews, 101</w:t>
      </w:r>
      <w:r>
        <w:t xml:space="preserve">, 231–247. https://doi.org/10.1016/j.rser.2018.11.005</w:t>
      </w:r>
    </w:p>
    <w:p>
      <w:pPr>
        <w:pStyle w:val="BodyText"/>
      </w:pPr>
      <w:r>
        <w:t xml:space="preserve">Mercure, J.-F., Pollitt, H., Viñuales, J. E., Edwards, N. R., Holden, P. B., Chewpreecha, U., Salas, P., Sognnaes, I., Lam, A., &amp; Knobloch, F. (2018). Macroeconomic impact of stranded fossil fuel assets.</w:t>
      </w:r>
      <w:r>
        <w:t xml:space="preserve"> </w:t>
      </w:r>
      <w:r>
        <w:rPr>
          <w:iCs/>
          <w:i/>
        </w:rPr>
        <w:t xml:space="preserve">Nature Climate Change, 8</w:t>
      </w:r>
      <w:r>
        <w:t xml:space="preserve">(7), 588–593. https://doi.org/10.1038/s41558-018-0182-1</w:t>
      </w:r>
    </w:p>
    <w:p>
      <w:pPr>
        <w:pStyle w:val="BodyText"/>
      </w:pPr>
      <w:r>
        <w:t xml:space="preserve">Peraturan Pemerintah Republik Indonesia Nomor 40 Tahun 2021 tentang Penyelenggaraan Kawasan Ekonomi Khusus.</w:t>
      </w:r>
    </w:p>
    <w:p>
      <w:pPr>
        <w:pStyle w:val="BodyText"/>
      </w:pPr>
      <w:r>
        <w:t xml:space="preserve">Peraturan Pemerintah Republik Indonesia Nomor 71 Tahun 2021 tentang Kawasan Ekonomi Khusus Gresik.</w:t>
      </w:r>
    </w:p>
    <w:p>
      <w:pPr>
        <w:pStyle w:val="BodyText"/>
      </w:pPr>
      <w:r>
        <w:t xml:space="preserve">Peraturan Otoritas Jasa Keuangan Nomor 51/POJK.03/2017 tentang Penerapan Keuangan Berkelanjutan bagi Lembaga Jasa Keuangan, Emiten, dan Perusahaan Publik.</w:t>
      </w:r>
    </w:p>
    <w:p>
      <w:pPr>
        <w:pStyle w:val="BodyText"/>
      </w:pPr>
      <w:r>
        <w:t xml:space="preserve">Porter, M. E. (2008). The five competitive forces that shape strategy.</w:t>
      </w:r>
      <w:r>
        <w:t xml:space="preserve"> </w:t>
      </w:r>
      <w:r>
        <w:rPr>
          <w:iCs/>
          <w:i/>
        </w:rPr>
        <w:t xml:space="preserve">Harvard Business Review, 86</w:t>
      </w:r>
      <w:r>
        <w:t xml:space="preserve">(1), 78–93.</w:t>
      </w:r>
    </w:p>
    <w:p>
      <w:pPr>
        <w:pStyle w:val="BodyText"/>
      </w:pPr>
      <w:r>
        <w:t xml:space="preserve">Rentschler, J., &amp; Bazilian, M. (2017). Reforming fossil fuel subsidies: Drivers, barriers and the state of progress.</w:t>
      </w:r>
      <w:r>
        <w:t xml:space="preserve"> </w:t>
      </w:r>
      <w:r>
        <w:rPr>
          <w:iCs/>
          <w:i/>
        </w:rPr>
        <w:t xml:space="preserve">Climate Policy, 17</w:t>
      </w:r>
      <w:r>
        <w:t xml:space="preserve">(7), 891–914. https://doi.org/10.1080/14693062.2016.1169393</w:t>
      </w:r>
    </w:p>
    <w:p>
      <w:pPr>
        <w:pStyle w:val="BodyText"/>
      </w:pPr>
      <w:r>
        <w:t xml:space="preserve">Richter, M. (2013). Business model innovation for sustainable energy: German utilities and renewable energy.</w:t>
      </w:r>
      <w:r>
        <w:t xml:space="preserve"> </w:t>
      </w:r>
      <w:r>
        <w:rPr>
          <w:iCs/>
          <w:i/>
        </w:rPr>
        <w:t xml:space="preserve">Energy Policy, 62</w:t>
      </w:r>
      <w:r>
        <w:t xml:space="preserve">, 1226–1237. https://doi.org/10.1016/j.enpol.2013.05.038</w:t>
      </w:r>
    </w:p>
    <w:p>
      <w:pPr>
        <w:pStyle w:val="BodyText"/>
      </w:pPr>
      <w:r>
        <w:t xml:space="preserve">Semieniuk, G., Holden, P. B., Mercure, J.-F., Salas, P., Pollitt, H., Jobson, K., Vercoulen, P., Chewpreecha, U., Edwards, N. R., &amp; Viñuales, J. E. (2022). Stranded fossil-fuel assets translate to major losses for investors in advanced economies.</w:t>
      </w:r>
      <w:r>
        <w:t xml:space="preserve"> </w:t>
      </w:r>
      <w:r>
        <w:rPr>
          <w:iCs/>
          <w:i/>
        </w:rPr>
        <w:t xml:space="preserve">Nature Climate Change, 12</w:t>
      </w:r>
      <w:r>
        <w:t xml:space="preserve">(6), 532–538. https://doi.org/10.1038/s41558-022-01356-y</w:t>
      </w:r>
    </w:p>
    <w:p>
      <w:pPr>
        <w:pStyle w:val="BodyText"/>
      </w:pPr>
      <w:r>
        <w:t xml:space="preserve">Sierzchula, W., Bakker, S., Maat, K., &amp; van Wee, B. (2014). The influence of financial incentives and other socio-economic factors on electric vehicle adoption.</w:t>
      </w:r>
      <w:r>
        <w:t xml:space="preserve"> </w:t>
      </w:r>
      <w:r>
        <w:rPr>
          <w:iCs/>
          <w:i/>
        </w:rPr>
        <w:t xml:space="preserve">Energy Policy, 68</w:t>
      </w:r>
      <w:r>
        <w:t xml:space="preserve">, 183–194. https://doi.org/10.1016/j.enpol.2014.01.043</w:t>
      </w:r>
    </w:p>
    <w:p>
      <w:pPr>
        <w:pStyle w:val="BodyText"/>
      </w:pPr>
      <w:r>
        <w:t xml:space="preserve">Teece, D. J. (2010). Business models, business strategy and innovation.</w:t>
      </w:r>
      <w:r>
        <w:t xml:space="preserve"> </w:t>
      </w:r>
      <w:r>
        <w:rPr>
          <w:iCs/>
          <w:i/>
        </w:rPr>
        <w:t xml:space="preserve">Long Range Planning, 43</w:t>
      </w:r>
      <w:r>
        <w:t xml:space="preserve">(2–3), 172–194. https://doi.org/10.1016/j.lrp.2009.07.003</w:t>
      </w:r>
    </w:p>
    <w:p>
      <w:pPr>
        <w:pStyle w:val="BodyText"/>
      </w:pPr>
      <w:r>
        <w:t xml:space="preserve">Thompson, A. A., Peteraf, M. A., Gamble, J. E., &amp; Strickland, A. J. (2022).</w:t>
      </w:r>
      <w:r>
        <w:t xml:space="preserve"> </w:t>
      </w:r>
      <w:r>
        <w:rPr>
          <w:iCs/>
          <w:i/>
        </w:rPr>
        <w:t xml:space="preserve">Crafting and executing strategy: The quest for competitive advantage</w:t>
      </w:r>
      <w:r>
        <w:t xml:space="preserve"> </w:t>
      </w:r>
      <w:r>
        <w:t xml:space="preserve">(23rd ed.). McGraw-Hill.</w:t>
      </w:r>
    </w:p>
    <w:p>
      <w:pPr>
        <w:pStyle w:val="BodyText"/>
      </w:pPr>
      <w:r>
        <w:t xml:space="preserve">Tukker, A. (2004). Eight types of product–service system: Eight ways to sustainability? Experiences from SusProNet.</w:t>
      </w:r>
      <w:r>
        <w:t xml:space="preserve"> </w:t>
      </w:r>
      <w:r>
        <w:rPr>
          <w:iCs/>
          <w:i/>
        </w:rPr>
        <w:t xml:space="preserve">Business Strategy and the Environment, 13</w:t>
      </w:r>
      <w:r>
        <w:t xml:space="preserve">(4), 246–260. https://doi.org/10.1002/bse.414</w:t>
      </w:r>
    </w:p>
    <w:p>
      <w:pPr>
        <w:pStyle w:val="BodyText"/>
      </w:pPr>
      <w:r>
        <w:t xml:space="preserve">Undang-Undang Republik Indonesia Nomor 39 Tahun 2009 tentang Kawasan Ekonomi Khusus.</w:t>
      </w:r>
    </w:p>
    <w:p>
      <w:pPr>
        <w:pStyle w:val="BodyText"/>
      </w:pPr>
      <w:r>
        <w:t xml:space="preserve">Wang, J. (2013). The economic impact of Special Economic Zones: Evidence from Chinese municipalities.</w:t>
      </w:r>
      <w:r>
        <w:t xml:space="preserve"> </w:t>
      </w:r>
      <w:r>
        <w:rPr>
          <w:iCs/>
          <w:i/>
        </w:rPr>
        <w:t xml:space="preserve">Journal of Development Economics, 101</w:t>
      </w:r>
      <w:r>
        <w:t xml:space="preserve">, 133–147. https://doi.org/10.1016/j.jdeveco.2012.10.009</w:t>
      </w:r>
    </w:p>
    <w:p>
      <w:pPr>
        <w:pStyle w:val="BodyText"/>
      </w:pPr>
      <w:r>
        <w:t xml:space="preserve">Warburton, E. (2017). Resource nationalism in Indonesia: Ownership structures and sectoral variation in mining and oil and gas.</w:t>
      </w:r>
      <w:r>
        <w:t xml:space="preserve"> </w:t>
      </w:r>
      <w:r>
        <w:rPr>
          <w:iCs/>
          <w:i/>
        </w:rPr>
        <w:t xml:space="preserve">Journal of East Asian Studies, 17</w:t>
      </w:r>
      <w:r>
        <w:t xml:space="preserve">(3), 285–312. https://doi.org/10.1017/jea.2017.13</w:t>
      </w:r>
    </w:p>
    <w:p>
      <w:pPr>
        <w:pStyle w:val="BodyText"/>
      </w:pPr>
      <w:r>
        <w:t xml:space="preserve">Zott, C., &amp; Amit, R. (2010). Business model design: An activity system perspective.</w:t>
      </w:r>
      <w:r>
        <w:t xml:space="preserve"> </w:t>
      </w:r>
      <w:r>
        <w:rPr>
          <w:iCs/>
          <w:i/>
        </w:rPr>
        <w:t xml:space="preserve">Long Range Planning, 43</w:t>
      </w:r>
      <w:r>
        <w:t xml:space="preserve">(2–3), 216–226. https://doi.org/10.1016/j.lrp.2009.07.004</w:t>
      </w:r>
    </w:p>
    <w:p>
      <w:r>
        <w:br w:type="page"/>
      </w:r>
    </w:p>
    <w:bookmarkEnd w:id="86"/>
    <w:bookmarkStart w:id="87" w:name="lampiran-tabel-audit-artikel-jurnal"/>
    <w:p>
      <w:pPr>
        <w:pStyle w:val="Heading1"/>
      </w:pPr>
      <w:r>
        <w:t xml:space="preserve">LAMPIRAN: TABEL AUDIT ARTIKEL JURNAL</w:t>
      </w:r>
    </w:p>
    <w:p>
      <w:pPr>
        <w:pStyle w:val="FirstParagraph"/>
      </w:pPr>
      <w:r>
        <w:rPr>
          <w:bCs/>
          <w:b/>
        </w:rPr>
        <w:t xml:space="preserve">Tabel L.1 Tabel audit artikel jurnal yang dikutip</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No</w:t>
            </w:r>
          </w:p>
        </w:tc>
        <w:tc>
          <w:tcPr/>
          <w:p>
            <w:pPr>
              <w:pStyle w:val="Compact"/>
              <w:jc w:val="left"/>
            </w:pPr>
            <w:r>
              <w:t xml:space="preserve">Sitasi singkat</w:t>
            </w:r>
          </w:p>
        </w:tc>
        <w:tc>
          <w:tcPr/>
          <w:p>
            <w:pPr>
              <w:pStyle w:val="Compact"/>
              <w:jc w:val="left"/>
            </w:pPr>
            <w:r>
              <w:t xml:space="preserve">Jurnal</w:t>
            </w:r>
          </w:p>
        </w:tc>
        <w:tc>
          <w:tcPr/>
          <w:p>
            <w:pPr>
              <w:pStyle w:val="Compact"/>
              <w:jc w:val="left"/>
            </w:pPr>
            <w:r>
              <w:t xml:space="preserve">Kuartil SJR yang diklaim</w:t>
            </w:r>
          </w:p>
        </w:tc>
        <w:tc>
          <w:tcPr/>
          <w:p>
            <w:pPr>
              <w:pStyle w:val="Compact"/>
              <w:jc w:val="left"/>
            </w:pPr>
            <w:r>
              <w:t xml:space="preserve">DOI</w:t>
            </w:r>
          </w:p>
        </w:tc>
        <w:tc>
          <w:tcPr/>
          <w:p>
            <w:pPr>
              <w:pStyle w:val="Compact"/>
              <w:jc w:val="left"/>
            </w:pPr>
            <w:r>
              <w:t xml:space="preserve">Sub-bab</w:t>
            </w:r>
          </w:p>
        </w:tc>
        <w:tc>
          <w:tcPr/>
          <w:p>
            <w:pPr>
              <w:pStyle w:val="Compact"/>
              <w:jc w:val="left"/>
            </w:pPr>
            <w:r>
              <w:t xml:space="preserve">Keyakinan artikel ada</w:t>
            </w:r>
          </w:p>
        </w:tc>
      </w:tr>
      <w:tr>
        <w:tc>
          <w:tcPr/>
          <w:p>
            <w:pPr>
              <w:pStyle w:val="Compact"/>
              <w:jc w:val="left"/>
            </w:pPr>
            <w:r>
              <w:t xml:space="preserve">1</w:t>
            </w:r>
          </w:p>
        </w:tc>
        <w:tc>
          <w:tcPr/>
          <w:p>
            <w:pPr>
              <w:pStyle w:val="Compact"/>
              <w:jc w:val="left"/>
            </w:pPr>
            <w:r>
              <w:t xml:space="preserve">Baron (1995)</w:t>
            </w:r>
          </w:p>
        </w:tc>
        <w:tc>
          <w:tcPr/>
          <w:p>
            <w:pPr>
              <w:pStyle w:val="Compact"/>
              <w:jc w:val="left"/>
            </w:pPr>
            <w:r>
              <w:t xml:space="preserve">California Management Review</w:t>
            </w:r>
          </w:p>
        </w:tc>
        <w:tc>
          <w:tcPr/>
          <w:p>
            <w:pPr>
              <w:pStyle w:val="Compact"/>
              <w:jc w:val="left"/>
            </w:pPr>
            <w:r>
              <w:t xml:space="preserve">Q1</w:t>
            </w:r>
          </w:p>
        </w:tc>
        <w:tc>
          <w:tcPr/>
          <w:p>
            <w:pPr>
              <w:pStyle w:val="Compact"/>
              <w:jc w:val="left"/>
            </w:pPr>
            <w:r>
              <w:t xml:space="preserve">10.2307/41165788</w:t>
            </w:r>
          </w:p>
        </w:tc>
        <w:tc>
          <w:tcPr/>
          <w:p>
            <w:pPr>
              <w:pStyle w:val="Compact"/>
              <w:jc w:val="left"/>
            </w:pPr>
            <w:r>
              <w:t xml:space="preserve">2.2, 4.1.4</w:t>
            </w:r>
          </w:p>
        </w:tc>
        <w:tc>
          <w:tcPr/>
          <w:p>
            <w:pPr>
              <w:pStyle w:val="Compact"/>
              <w:jc w:val="left"/>
            </w:pPr>
            <w:r>
              <w:t xml:space="preserve">Tinggi</w:t>
            </w:r>
          </w:p>
        </w:tc>
      </w:tr>
      <w:tr>
        <w:tc>
          <w:tcPr/>
          <w:p>
            <w:pPr>
              <w:pStyle w:val="Compact"/>
              <w:jc w:val="left"/>
            </w:pPr>
            <w:r>
              <w:t xml:space="preserve">2</w:t>
            </w:r>
          </w:p>
        </w:tc>
        <w:tc>
          <w:tcPr/>
          <w:p>
            <w:pPr>
              <w:pStyle w:val="Compact"/>
              <w:jc w:val="left"/>
            </w:pPr>
            <w:r>
              <w:t xml:space="preserve">Hillman, Keim &amp; Schuler (2004)</w:t>
            </w:r>
          </w:p>
        </w:tc>
        <w:tc>
          <w:tcPr/>
          <w:p>
            <w:pPr>
              <w:pStyle w:val="Compact"/>
              <w:jc w:val="left"/>
            </w:pPr>
            <w:r>
              <w:t xml:space="preserve">Journal of Management</w:t>
            </w:r>
          </w:p>
        </w:tc>
        <w:tc>
          <w:tcPr/>
          <w:p>
            <w:pPr>
              <w:pStyle w:val="Compact"/>
              <w:jc w:val="left"/>
            </w:pPr>
            <w:r>
              <w:t xml:space="preserve">Q1</w:t>
            </w:r>
          </w:p>
        </w:tc>
        <w:tc>
          <w:tcPr/>
          <w:p>
            <w:pPr>
              <w:pStyle w:val="Compact"/>
              <w:jc w:val="left"/>
            </w:pPr>
            <w:r>
              <w:t xml:space="preserve">10.1016/j.jm.2004.06.003</w:t>
            </w:r>
          </w:p>
        </w:tc>
        <w:tc>
          <w:tcPr/>
          <w:p>
            <w:pPr>
              <w:pStyle w:val="Compact"/>
              <w:jc w:val="left"/>
            </w:pPr>
            <w:r>
              <w:t xml:space="preserve">2.2</w:t>
            </w:r>
          </w:p>
        </w:tc>
        <w:tc>
          <w:tcPr/>
          <w:p>
            <w:pPr>
              <w:pStyle w:val="Compact"/>
              <w:jc w:val="left"/>
            </w:pPr>
            <w:r>
              <w:t xml:space="preserve">Tinggi</w:t>
            </w:r>
          </w:p>
        </w:tc>
      </w:tr>
      <w:tr>
        <w:tc>
          <w:tcPr/>
          <w:p>
            <w:pPr>
              <w:pStyle w:val="Compact"/>
              <w:jc w:val="left"/>
            </w:pPr>
            <w:r>
              <w:t xml:space="preserve">3</w:t>
            </w:r>
          </w:p>
        </w:tc>
        <w:tc>
          <w:tcPr/>
          <w:p>
            <w:pPr>
              <w:pStyle w:val="Compact"/>
              <w:jc w:val="left"/>
            </w:pPr>
            <w:r>
              <w:t xml:space="preserve">Henisz (2000)</w:t>
            </w:r>
          </w:p>
        </w:tc>
        <w:tc>
          <w:tcPr/>
          <w:p>
            <w:pPr>
              <w:pStyle w:val="Compact"/>
              <w:jc w:val="left"/>
            </w:pPr>
            <w:r>
              <w:t xml:space="preserve">Economics &amp; Politics</w:t>
            </w:r>
          </w:p>
        </w:tc>
        <w:tc>
          <w:tcPr/>
          <w:p>
            <w:pPr>
              <w:pStyle w:val="Compact"/>
              <w:jc w:val="left"/>
            </w:pPr>
            <w:r>
              <w:t xml:space="preserve">VERIFIKASI (diperkirakan Q1/Q2)</w:t>
            </w:r>
          </w:p>
        </w:tc>
        <w:tc>
          <w:tcPr/>
          <w:p>
            <w:pPr>
              <w:pStyle w:val="Compact"/>
              <w:jc w:val="left"/>
            </w:pPr>
            <w:r>
              <w:t xml:space="preserve">10.1111/1468-0343.00066</w:t>
            </w:r>
          </w:p>
        </w:tc>
        <w:tc>
          <w:tcPr/>
          <w:p>
            <w:pPr>
              <w:pStyle w:val="Compact"/>
              <w:jc w:val="left"/>
            </w:pPr>
            <w:r>
              <w:t xml:space="preserve">2.2, 4.1.3</w:t>
            </w:r>
          </w:p>
        </w:tc>
        <w:tc>
          <w:tcPr/>
          <w:p>
            <w:pPr>
              <w:pStyle w:val="Compact"/>
              <w:jc w:val="left"/>
            </w:pPr>
            <w:r>
              <w:t xml:space="preserve">Tinggi</w:t>
            </w:r>
          </w:p>
        </w:tc>
      </w:tr>
      <w:tr>
        <w:tc>
          <w:tcPr/>
          <w:p>
            <w:pPr>
              <w:pStyle w:val="Compact"/>
              <w:jc w:val="left"/>
            </w:pPr>
            <w:r>
              <w:t xml:space="preserve">4</w:t>
            </w:r>
          </w:p>
        </w:tc>
        <w:tc>
          <w:tcPr/>
          <w:p>
            <w:pPr>
              <w:pStyle w:val="Compact"/>
              <w:jc w:val="left"/>
            </w:pPr>
            <w:r>
              <w:t xml:space="preserve">Coady, Parry, Sears &amp; Shang (2017)</w:t>
            </w:r>
          </w:p>
        </w:tc>
        <w:tc>
          <w:tcPr/>
          <w:p>
            <w:pPr>
              <w:pStyle w:val="Compact"/>
              <w:jc w:val="left"/>
            </w:pPr>
            <w:r>
              <w:t xml:space="preserve">World Development</w:t>
            </w:r>
          </w:p>
        </w:tc>
        <w:tc>
          <w:tcPr/>
          <w:p>
            <w:pPr>
              <w:pStyle w:val="Compact"/>
              <w:jc w:val="left"/>
            </w:pPr>
            <w:r>
              <w:t xml:space="preserve">Q1</w:t>
            </w:r>
          </w:p>
        </w:tc>
        <w:tc>
          <w:tcPr/>
          <w:p>
            <w:pPr>
              <w:pStyle w:val="Compact"/>
              <w:jc w:val="left"/>
            </w:pPr>
            <w:r>
              <w:t xml:space="preserve">10.1016/j.worlddev.2016.10.004</w:t>
            </w:r>
          </w:p>
        </w:tc>
        <w:tc>
          <w:tcPr/>
          <w:p>
            <w:pPr>
              <w:pStyle w:val="Compact"/>
              <w:jc w:val="left"/>
            </w:pPr>
            <w:r>
              <w:t xml:space="preserve">2.2</w:t>
            </w:r>
          </w:p>
        </w:tc>
        <w:tc>
          <w:tcPr/>
          <w:p>
            <w:pPr>
              <w:pStyle w:val="Compact"/>
              <w:jc w:val="left"/>
            </w:pPr>
            <w:r>
              <w:t xml:space="preserve">Tinggi</w:t>
            </w:r>
          </w:p>
        </w:tc>
      </w:tr>
      <w:tr>
        <w:tc>
          <w:tcPr/>
          <w:p>
            <w:pPr>
              <w:pStyle w:val="Compact"/>
              <w:jc w:val="left"/>
            </w:pPr>
            <w:r>
              <w:t xml:space="preserve">5</w:t>
            </w:r>
          </w:p>
        </w:tc>
        <w:tc>
          <w:tcPr/>
          <w:p>
            <w:pPr>
              <w:pStyle w:val="Compact"/>
              <w:jc w:val="left"/>
            </w:pPr>
            <w:r>
              <w:t xml:space="preserve">Rentschler &amp; Bazilian (2017)</w:t>
            </w:r>
          </w:p>
        </w:tc>
        <w:tc>
          <w:tcPr/>
          <w:p>
            <w:pPr>
              <w:pStyle w:val="Compact"/>
              <w:jc w:val="left"/>
            </w:pPr>
            <w:r>
              <w:t xml:space="preserve">Climate Policy</w:t>
            </w:r>
          </w:p>
        </w:tc>
        <w:tc>
          <w:tcPr/>
          <w:p>
            <w:pPr>
              <w:pStyle w:val="Compact"/>
              <w:jc w:val="left"/>
            </w:pPr>
            <w:r>
              <w:t xml:space="preserve">Q1</w:t>
            </w:r>
          </w:p>
        </w:tc>
        <w:tc>
          <w:tcPr/>
          <w:p>
            <w:pPr>
              <w:pStyle w:val="Compact"/>
              <w:jc w:val="left"/>
            </w:pPr>
            <w:r>
              <w:t xml:space="preserve">10.1080/14693062.2016.1169393</w:t>
            </w:r>
          </w:p>
        </w:tc>
        <w:tc>
          <w:tcPr/>
          <w:p>
            <w:pPr>
              <w:pStyle w:val="Compact"/>
              <w:jc w:val="left"/>
            </w:pPr>
            <w:r>
              <w:t xml:space="preserve">2.2</w:t>
            </w:r>
          </w:p>
        </w:tc>
        <w:tc>
          <w:tcPr/>
          <w:p>
            <w:pPr>
              <w:pStyle w:val="Compact"/>
              <w:jc w:val="left"/>
            </w:pPr>
            <w:r>
              <w:t xml:space="preserve">Tinggi</w:t>
            </w:r>
          </w:p>
        </w:tc>
      </w:tr>
      <w:tr>
        <w:tc>
          <w:tcPr/>
          <w:p>
            <w:pPr>
              <w:pStyle w:val="Compact"/>
              <w:jc w:val="left"/>
            </w:pPr>
            <w:r>
              <w:t xml:space="preserve">6</w:t>
            </w:r>
          </w:p>
        </w:tc>
        <w:tc>
          <w:tcPr/>
          <w:p>
            <w:pPr>
              <w:pStyle w:val="Compact"/>
              <w:jc w:val="left"/>
            </w:pPr>
            <w:r>
              <w:t xml:space="preserve">Frick, Rodríguez-Pose &amp; Wong (2019)</w:t>
            </w:r>
          </w:p>
        </w:tc>
        <w:tc>
          <w:tcPr/>
          <w:p>
            <w:pPr>
              <w:pStyle w:val="Compact"/>
              <w:jc w:val="left"/>
            </w:pPr>
            <w:r>
              <w:t xml:space="preserve">Economic Geography</w:t>
            </w:r>
          </w:p>
        </w:tc>
        <w:tc>
          <w:tcPr/>
          <w:p>
            <w:pPr>
              <w:pStyle w:val="Compact"/>
              <w:jc w:val="left"/>
            </w:pPr>
            <w:r>
              <w:t xml:space="preserve">Q1</w:t>
            </w:r>
          </w:p>
        </w:tc>
        <w:tc>
          <w:tcPr/>
          <w:p>
            <w:pPr>
              <w:pStyle w:val="Compact"/>
              <w:jc w:val="left"/>
            </w:pPr>
            <w:r>
              <w:t xml:space="preserve">10.1080/00130095.2018.1467732</w:t>
            </w:r>
          </w:p>
        </w:tc>
        <w:tc>
          <w:tcPr/>
          <w:p>
            <w:pPr>
              <w:pStyle w:val="Compact"/>
              <w:jc w:val="left"/>
            </w:pPr>
            <w:r>
              <w:t xml:space="preserve">2.2, 3.2, 4.1.3</w:t>
            </w:r>
          </w:p>
        </w:tc>
        <w:tc>
          <w:tcPr/>
          <w:p>
            <w:pPr>
              <w:pStyle w:val="Compact"/>
              <w:jc w:val="left"/>
            </w:pPr>
            <w:r>
              <w:t xml:space="preserve">Tinggi</w:t>
            </w:r>
          </w:p>
        </w:tc>
      </w:tr>
      <w:tr>
        <w:tc>
          <w:tcPr/>
          <w:p>
            <w:pPr>
              <w:pStyle w:val="Compact"/>
              <w:jc w:val="left"/>
            </w:pPr>
            <w:r>
              <w:t xml:space="preserve">7</w:t>
            </w:r>
          </w:p>
        </w:tc>
        <w:tc>
          <w:tcPr/>
          <w:p>
            <w:pPr>
              <w:pStyle w:val="Compact"/>
              <w:jc w:val="left"/>
            </w:pPr>
            <w:r>
              <w:t xml:space="preserve">Wang (2013)</w:t>
            </w:r>
          </w:p>
        </w:tc>
        <w:tc>
          <w:tcPr/>
          <w:p>
            <w:pPr>
              <w:pStyle w:val="Compact"/>
              <w:jc w:val="left"/>
            </w:pPr>
            <w:r>
              <w:t xml:space="preserve">Journal of Development Economics</w:t>
            </w:r>
          </w:p>
        </w:tc>
        <w:tc>
          <w:tcPr/>
          <w:p>
            <w:pPr>
              <w:pStyle w:val="Compact"/>
              <w:jc w:val="left"/>
            </w:pPr>
            <w:r>
              <w:t xml:space="preserve">Q1</w:t>
            </w:r>
          </w:p>
        </w:tc>
        <w:tc>
          <w:tcPr/>
          <w:p>
            <w:pPr>
              <w:pStyle w:val="Compact"/>
              <w:jc w:val="left"/>
            </w:pPr>
            <w:r>
              <w:t xml:space="preserve">10.1016/j.jdeveco.2012.10.009</w:t>
            </w:r>
          </w:p>
        </w:tc>
        <w:tc>
          <w:tcPr/>
          <w:p>
            <w:pPr>
              <w:pStyle w:val="Compact"/>
              <w:jc w:val="left"/>
            </w:pPr>
            <w:r>
              <w:t xml:space="preserve">3.2</w:t>
            </w:r>
          </w:p>
        </w:tc>
        <w:tc>
          <w:tcPr/>
          <w:p>
            <w:pPr>
              <w:pStyle w:val="Compact"/>
              <w:jc w:val="left"/>
            </w:pPr>
            <w:r>
              <w:t xml:space="preserve">Tinggi</w:t>
            </w:r>
          </w:p>
        </w:tc>
      </w:tr>
      <w:tr>
        <w:tc>
          <w:tcPr/>
          <w:p>
            <w:pPr>
              <w:pStyle w:val="Compact"/>
              <w:jc w:val="left"/>
            </w:pPr>
            <w:r>
              <w:t xml:space="preserve">8</w:t>
            </w:r>
          </w:p>
        </w:tc>
        <w:tc>
          <w:tcPr/>
          <w:p>
            <w:pPr>
              <w:pStyle w:val="Compact"/>
              <w:jc w:val="left"/>
            </w:pPr>
            <w:r>
              <w:t xml:space="preserve">Kilian (2009)</w:t>
            </w:r>
          </w:p>
        </w:tc>
        <w:tc>
          <w:tcPr/>
          <w:p>
            <w:pPr>
              <w:pStyle w:val="Compact"/>
              <w:jc w:val="left"/>
            </w:pPr>
            <w:r>
              <w:t xml:space="preserve">American Economic Review</w:t>
            </w:r>
          </w:p>
        </w:tc>
        <w:tc>
          <w:tcPr/>
          <w:p>
            <w:pPr>
              <w:pStyle w:val="Compact"/>
              <w:jc w:val="left"/>
            </w:pPr>
            <w:r>
              <w:t xml:space="preserve">Q1</w:t>
            </w:r>
          </w:p>
        </w:tc>
        <w:tc>
          <w:tcPr/>
          <w:p>
            <w:pPr>
              <w:pStyle w:val="Compact"/>
              <w:jc w:val="left"/>
            </w:pPr>
            <w:r>
              <w:t xml:space="preserve">10.1257/aer.99.3.1053</w:t>
            </w:r>
          </w:p>
        </w:tc>
        <w:tc>
          <w:tcPr/>
          <w:p>
            <w:pPr>
              <w:pStyle w:val="Compact"/>
              <w:jc w:val="left"/>
            </w:pPr>
            <w:r>
              <w:t xml:space="preserve">2.3, 4.2.3</w:t>
            </w:r>
          </w:p>
        </w:tc>
        <w:tc>
          <w:tcPr/>
          <w:p>
            <w:pPr>
              <w:pStyle w:val="Compact"/>
              <w:jc w:val="left"/>
            </w:pPr>
            <w:r>
              <w:t xml:space="preserve">Tinggi</w:t>
            </w:r>
          </w:p>
        </w:tc>
      </w:tr>
      <w:tr>
        <w:tc>
          <w:tcPr/>
          <w:p>
            <w:pPr>
              <w:pStyle w:val="Compact"/>
              <w:jc w:val="left"/>
            </w:pPr>
            <w:r>
              <w:t xml:space="preserve">9</w:t>
            </w:r>
          </w:p>
        </w:tc>
        <w:tc>
          <w:tcPr/>
          <w:p>
            <w:pPr>
              <w:pStyle w:val="Compact"/>
              <w:jc w:val="left"/>
            </w:pPr>
            <w:r>
              <w:t xml:space="preserve">Hamilton (2009)</w:t>
            </w:r>
          </w:p>
        </w:tc>
        <w:tc>
          <w:tcPr/>
          <w:p>
            <w:pPr>
              <w:pStyle w:val="Compact"/>
              <w:jc w:val="left"/>
            </w:pPr>
            <w:r>
              <w:t xml:space="preserve">Brookings Papers on Economic Activity</w:t>
            </w:r>
          </w:p>
        </w:tc>
        <w:tc>
          <w:tcPr/>
          <w:p>
            <w:pPr>
              <w:pStyle w:val="Compact"/>
              <w:jc w:val="left"/>
            </w:pPr>
            <w:r>
              <w:t xml:space="preserve">VERIFIKASI (diperkirakan Q1)</w:t>
            </w:r>
          </w:p>
        </w:tc>
        <w:tc>
          <w:tcPr/>
          <w:p>
            <w:pPr>
              <w:pStyle w:val="Compact"/>
              <w:jc w:val="left"/>
            </w:pPr>
            <w:r>
              <w:t xml:space="preserve">10.1353/eca.0.0047</w:t>
            </w:r>
          </w:p>
        </w:tc>
        <w:tc>
          <w:tcPr/>
          <w:p>
            <w:pPr>
              <w:pStyle w:val="Compact"/>
              <w:jc w:val="left"/>
            </w:pPr>
            <w:r>
              <w:t xml:space="preserve">2.3, 4.2.3</w:t>
            </w:r>
          </w:p>
        </w:tc>
        <w:tc>
          <w:tcPr/>
          <w:p>
            <w:pPr>
              <w:pStyle w:val="Compact"/>
              <w:jc w:val="left"/>
            </w:pPr>
            <w:r>
              <w:t xml:space="preserve">Tinggi</w:t>
            </w:r>
          </w:p>
        </w:tc>
      </w:tr>
      <w:tr>
        <w:tc>
          <w:tcPr/>
          <w:p>
            <w:pPr>
              <w:pStyle w:val="Compact"/>
              <w:jc w:val="left"/>
            </w:pPr>
            <w:r>
              <w:t xml:space="preserve">10</w:t>
            </w:r>
          </w:p>
        </w:tc>
        <w:tc>
          <w:tcPr/>
          <w:p>
            <w:pPr>
              <w:pStyle w:val="Compact"/>
              <w:jc w:val="left"/>
            </w:pPr>
            <w:r>
              <w:t xml:space="preserve">Borenstein, Cameron &amp; Gilbert (1997)</w:t>
            </w:r>
          </w:p>
        </w:tc>
        <w:tc>
          <w:tcPr/>
          <w:p>
            <w:pPr>
              <w:pStyle w:val="Compact"/>
              <w:jc w:val="left"/>
            </w:pPr>
            <w:r>
              <w:t xml:space="preserve">Quarterly Journal of Economics</w:t>
            </w:r>
          </w:p>
        </w:tc>
        <w:tc>
          <w:tcPr/>
          <w:p>
            <w:pPr>
              <w:pStyle w:val="Compact"/>
              <w:jc w:val="left"/>
            </w:pPr>
            <w:r>
              <w:t xml:space="preserve">Q1</w:t>
            </w:r>
          </w:p>
        </w:tc>
        <w:tc>
          <w:tcPr/>
          <w:p>
            <w:pPr>
              <w:pStyle w:val="Compact"/>
              <w:jc w:val="left"/>
            </w:pPr>
            <w:r>
              <w:t xml:space="preserve">10.1162/003355397555118</w:t>
            </w:r>
          </w:p>
        </w:tc>
        <w:tc>
          <w:tcPr/>
          <w:p>
            <w:pPr>
              <w:pStyle w:val="Compact"/>
              <w:jc w:val="left"/>
            </w:pPr>
            <w:r>
              <w:t xml:space="preserve">2.3, 4.2.3</w:t>
            </w:r>
          </w:p>
        </w:tc>
        <w:tc>
          <w:tcPr/>
          <w:p>
            <w:pPr>
              <w:pStyle w:val="Compact"/>
              <w:jc w:val="left"/>
            </w:pPr>
            <w:r>
              <w:t xml:space="preserve">Tinggi</w:t>
            </w:r>
          </w:p>
        </w:tc>
      </w:tr>
      <w:tr>
        <w:tc>
          <w:tcPr/>
          <w:p>
            <w:pPr>
              <w:pStyle w:val="Compact"/>
              <w:jc w:val="left"/>
            </w:pPr>
            <w:r>
              <w:t xml:space="preserve">11</w:t>
            </w:r>
          </w:p>
        </w:tc>
        <w:tc>
          <w:tcPr/>
          <w:p>
            <w:pPr>
              <w:pStyle w:val="Compact"/>
              <w:jc w:val="left"/>
            </w:pPr>
            <w:r>
              <w:t xml:space="preserve">Basher, Haug &amp; Sadorsky (2012)</w:t>
            </w:r>
          </w:p>
        </w:tc>
        <w:tc>
          <w:tcPr/>
          <w:p>
            <w:pPr>
              <w:pStyle w:val="Compact"/>
              <w:jc w:val="left"/>
            </w:pPr>
            <w:r>
              <w:t xml:space="preserve">Energy Economics</w:t>
            </w:r>
          </w:p>
        </w:tc>
        <w:tc>
          <w:tcPr/>
          <w:p>
            <w:pPr>
              <w:pStyle w:val="Compact"/>
              <w:jc w:val="left"/>
            </w:pPr>
            <w:r>
              <w:t xml:space="preserve">Q1</w:t>
            </w:r>
          </w:p>
        </w:tc>
        <w:tc>
          <w:tcPr/>
          <w:p>
            <w:pPr>
              <w:pStyle w:val="Compact"/>
              <w:jc w:val="left"/>
            </w:pPr>
            <w:r>
              <w:t xml:space="preserve">10.1016/j.eneco.2011.10.005</w:t>
            </w:r>
          </w:p>
        </w:tc>
        <w:tc>
          <w:tcPr/>
          <w:p>
            <w:pPr>
              <w:pStyle w:val="Compact"/>
              <w:jc w:val="left"/>
            </w:pPr>
            <w:r>
              <w:t xml:space="preserve">2.3, 4.2.3</w:t>
            </w:r>
          </w:p>
        </w:tc>
        <w:tc>
          <w:tcPr/>
          <w:p>
            <w:pPr>
              <w:pStyle w:val="Compact"/>
              <w:jc w:val="left"/>
            </w:pPr>
            <w:r>
              <w:t xml:space="preserve">Tinggi</w:t>
            </w:r>
          </w:p>
        </w:tc>
      </w:tr>
      <w:tr>
        <w:tc>
          <w:tcPr/>
          <w:p>
            <w:pPr>
              <w:pStyle w:val="Compact"/>
              <w:jc w:val="left"/>
            </w:pPr>
            <w:r>
              <w:t xml:space="preserve">12</w:t>
            </w:r>
          </w:p>
        </w:tc>
        <w:tc>
          <w:tcPr/>
          <w:p>
            <w:pPr>
              <w:pStyle w:val="Compact"/>
              <w:jc w:val="left"/>
            </w:pPr>
            <w:r>
              <w:t xml:space="preserve">Froot, Scharfstein &amp; Stein (1993)</w:t>
            </w:r>
          </w:p>
        </w:tc>
        <w:tc>
          <w:tcPr/>
          <w:p>
            <w:pPr>
              <w:pStyle w:val="Compact"/>
              <w:jc w:val="left"/>
            </w:pPr>
            <w:r>
              <w:t xml:space="preserve">Journal of Finance</w:t>
            </w:r>
          </w:p>
        </w:tc>
        <w:tc>
          <w:tcPr/>
          <w:p>
            <w:pPr>
              <w:pStyle w:val="Compact"/>
              <w:jc w:val="left"/>
            </w:pPr>
            <w:r>
              <w:t xml:space="preserve">Q1</w:t>
            </w:r>
          </w:p>
        </w:tc>
        <w:tc>
          <w:tcPr/>
          <w:p>
            <w:pPr>
              <w:pStyle w:val="Compact"/>
              <w:jc w:val="left"/>
            </w:pPr>
            <w:r>
              <w:t xml:space="preserve">10.1111/j.1540-6261.1993.tb05123.x</w:t>
            </w:r>
          </w:p>
        </w:tc>
        <w:tc>
          <w:tcPr/>
          <w:p>
            <w:pPr>
              <w:pStyle w:val="Compact"/>
              <w:jc w:val="left"/>
            </w:pPr>
            <w:r>
              <w:t xml:space="preserve">2.3, 4.2.3</w:t>
            </w:r>
          </w:p>
        </w:tc>
        <w:tc>
          <w:tcPr/>
          <w:p>
            <w:pPr>
              <w:pStyle w:val="Compact"/>
              <w:jc w:val="left"/>
            </w:pPr>
            <w:r>
              <w:t xml:space="preserve">Tinggi</w:t>
            </w:r>
          </w:p>
        </w:tc>
      </w:tr>
      <w:tr>
        <w:tc>
          <w:tcPr/>
          <w:p>
            <w:pPr>
              <w:pStyle w:val="Compact"/>
              <w:jc w:val="left"/>
            </w:pPr>
            <w:r>
              <w:t xml:space="preserve">13</w:t>
            </w:r>
          </w:p>
        </w:tc>
        <w:tc>
          <w:tcPr/>
          <w:p>
            <w:pPr>
              <w:pStyle w:val="Compact"/>
              <w:jc w:val="left"/>
            </w:pPr>
            <w:r>
              <w:t xml:space="preserve">Geroski (2000)</w:t>
            </w:r>
          </w:p>
        </w:tc>
        <w:tc>
          <w:tcPr/>
          <w:p>
            <w:pPr>
              <w:pStyle w:val="Compact"/>
              <w:jc w:val="left"/>
            </w:pPr>
            <w:r>
              <w:t xml:space="preserve">Research Policy</w:t>
            </w:r>
          </w:p>
        </w:tc>
        <w:tc>
          <w:tcPr/>
          <w:p>
            <w:pPr>
              <w:pStyle w:val="Compact"/>
              <w:jc w:val="left"/>
            </w:pPr>
            <w:r>
              <w:t xml:space="preserve">Q1</w:t>
            </w:r>
          </w:p>
        </w:tc>
        <w:tc>
          <w:tcPr/>
          <w:p>
            <w:pPr>
              <w:pStyle w:val="Compact"/>
              <w:jc w:val="left"/>
            </w:pPr>
            <w:r>
              <w:t xml:space="preserve">10.1016/S0048-7333(99)00092-X</w:t>
            </w:r>
          </w:p>
        </w:tc>
        <w:tc>
          <w:tcPr/>
          <w:p>
            <w:pPr>
              <w:pStyle w:val="Compact"/>
              <w:jc w:val="left"/>
            </w:pPr>
            <w:r>
              <w:t xml:space="preserve">2.4, 4.3.3</w:t>
            </w:r>
          </w:p>
        </w:tc>
        <w:tc>
          <w:tcPr/>
          <w:p>
            <w:pPr>
              <w:pStyle w:val="Compact"/>
              <w:jc w:val="left"/>
            </w:pPr>
            <w:r>
              <w:t xml:space="preserve">Tinggi</w:t>
            </w:r>
          </w:p>
        </w:tc>
      </w:tr>
      <w:tr>
        <w:tc>
          <w:tcPr/>
          <w:p>
            <w:pPr>
              <w:pStyle w:val="Compact"/>
              <w:jc w:val="left"/>
            </w:pPr>
            <w:r>
              <w:t xml:space="preserve">14</w:t>
            </w:r>
          </w:p>
        </w:tc>
        <w:tc>
          <w:tcPr/>
          <w:p>
            <w:pPr>
              <w:pStyle w:val="Compact"/>
              <w:jc w:val="left"/>
            </w:pPr>
            <w:r>
              <w:t xml:space="preserve">Geels (2002)</w:t>
            </w:r>
          </w:p>
        </w:tc>
        <w:tc>
          <w:tcPr/>
          <w:p>
            <w:pPr>
              <w:pStyle w:val="Compact"/>
              <w:jc w:val="left"/>
            </w:pPr>
            <w:r>
              <w:t xml:space="preserve">Research Policy</w:t>
            </w:r>
          </w:p>
        </w:tc>
        <w:tc>
          <w:tcPr/>
          <w:p>
            <w:pPr>
              <w:pStyle w:val="Compact"/>
              <w:jc w:val="left"/>
            </w:pPr>
            <w:r>
              <w:t xml:space="preserve">Q1</w:t>
            </w:r>
          </w:p>
        </w:tc>
        <w:tc>
          <w:tcPr/>
          <w:p>
            <w:pPr>
              <w:pStyle w:val="Compact"/>
              <w:jc w:val="left"/>
            </w:pPr>
            <w:r>
              <w:t xml:space="preserve">10.1016/S0048-7333(02)00062-8</w:t>
            </w:r>
          </w:p>
        </w:tc>
        <w:tc>
          <w:tcPr/>
          <w:p>
            <w:pPr>
              <w:pStyle w:val="Compact"/>
              <w:jc w:val="left"/>
            </w:pPr>
            <w:r>
              <w:t xml:space="preserve">2.4, 4.3.3, 4.7.8</w:t>
            </w:r>
          </w:p>
        </w:tc>
        <w:tc>
          <w:tcPr/>
          <w:p>
            <w:pPr>
              <w:pStyle w:val="Compact"/>
              <w:jc w:val="left"/>
            </w:pPr>
            <w:r>
              <w:t xml:space="preserve">Tinggi</w:t>
            </w:r>
          </w:p>
        </w:tc>
      </w:tr>
      <w:tr>
        <w:tc>
          <w:tcPr/>
          <w:p>
            <w:pPr>
              <w:pStyle w:val="Compact"/>
              <w:jc w:val="left"/>
            </w:pPr>
            <w:r>
              <w:t xml:space="preserve">15</w:t>
            </w:r>
          </w:p>
        </w:tc>
        <w:tc>
          <w:tcPr/>
          <w:p>
            <w:pPr>
              <w:pStyle w:val="Compact"/>
              <w:jc w:val="left"/>
            </w:pPr>
            <w:r>
              <w:t xml:space="preserve">Unruh (2000)</w:t>
            </w:r>
          </w:p>
        </w:tc>
        <w:tc>
          <w:tcPr/>
          <w:p>
            <w:pPr>
              <w:pStyle w:val="Compact"/>
              <w:jc w:val="left"/>
            </w:pPr>
            <w:r>
              <w:t xml:space="preserve">Energy Policy</w:t>
            </w:r>
          </w:p>
        </w:tc>
        <w:tc>
          <w:tcPr/>
          <w:p>
            <w:pPr>
              <w:pStyle w:val="Compact"/>
              <w:jc w:val="left"/>
            </w:pPr>
            <w:r>
              <w:t xml:space="preserve">Q1</w:t>
            </w:r>
          </w:p>
        </w:tc>
        <w:tc>
          <w:tcPr/>
          <w:p>
            <w:pPr>
              <w:pStyle w:val="Compact"/>
              <w:jc w:val="left"/>
            </w:pPr>
            <w:r>
              <w:t xml:space="preserve">10.1016/S0301-4215(00)00070-7</w:t>
            </w:r>
          </w:p>
        </w:tc>
        <w:tc>
          <w:tcPr/>
          <w:p>
            <w:pPr>
              <w:pStyle w:val="Compact"/>
              <w:jc w:val="left"/>
            </w:pPr>
            <w:r>
              <w:t xml:space="preserve">2.4</w:t>
            </w:r>
          </w:p>
        </w:tc>
        <w:tc>
          <w:tcPr/>
          <w:p>
            <w:pPr>
              <w:pStyle w:val="Compact"/>
              <w:jc w:val="left"/>
            </w:pPr>
            <w:r>
              <w:t xml:space="preserve">Tinggi</w:t>
            </w:r>
          </w:p>
        </w:tc>
      </w:tr>
      <w:tr>
        <w:tc>
          <w:tcPr/>
          <w:p>
            <w:pPr>
              <w:pStyle w:val="Compact"/>
              <w:jc w:val="left"/>
            </w:pPr>
            <w:r>
              <w:t xml:space="preserve">16</w:t>
            </w:r>
          </w:p>
        </w:tc>
        <w:tc>
          <w:tcPr/>
          <w:p>
            <w:pPr>
              <w:pStyle w:val="Compact"/>
              <w:jc w:val="left"/>
            </w:pPr>
            <w:r>
              <w:t xml:space="preserve">Mercure et al. (2018)</w:t>
            </w:r>
          </w:p>
        </w:tc>
        <w:tc>
          <w:tcPr/>
          <w:p>
            <w:pPr>
              <w:pStyle w:val="Compact"/>
              <w:jc w:val="left"/>
            </w:pPr>
            <w:r>
              <w:t xml:space="preserve">Nature Climate Change</w:t>
            </w:r>
          </w:p>
        </w:tc>
        <w:tc>
          <w:tcPr/>
          <w:p>
            <w:pPr>
              <w:pStyle w:val="Compact"/>
              <w:jc w:val="left"/>
            </w:pPr>
            <w:r>
              <w:t xml:space="preserve">Q1</w:t>
            </w:r>
          </w:p>
        </w:tc>
        <w:tc>
          <w:tcPr/>
          <w:p>
            <w:pPr>
              <w:pStyle w:val="Compact"/>
              <w:jc w:val="left"/>
            </w:pPr>
            <w:r>
              <w:t xml:space="preserve">10.1038/s41558-018-0182-1</w:t>
            </w:r>
          </w:p>
        </w:tc>
        <w:tc>
          <w:tcPr/>
          <w:p>
            <w:pPr>
              <w:pStyle w:val="Compact"/>
              <w:jc w:val="left"/>
            </w:pPr>
            <w:r>
              <w:t xml:space="preserve">2.4, 4.3.3</w:t>
            </w:r>
          </w:p>
        </w:tc>
        <w:tc>
          <w:tcPr/>
          <w:p>
            <w:pPr>
              <w:pStyle w:val="Compact"/>
              <w:jc w:val="left"/>
            </w:pPr>
            <w:r>
              <w:t xml:space="preserve">Tinggi</w:t>
            </w:r>
          </w:p>
        </w:tc>
      </w:tr>
      <w:tr>
        <w:tc>
          <w:tcPr/>
          <w:p>
            <w:pPr>
              <w:pStyle w:val="Compact"/>
              <w:jc w:val="left"/>
            </w:pPr>
            <w:r>
              <w:t xml:space="preserve">17</w:t>
            </w:r>
          </w:p>
        </w:tc>
        <w:tc>
          <w:tcPr/>
          <w:p>
            <w:pPr>
              <w:pStyle w:val="Compact"/>
              <w:jc w:val="left"/>
            </w:pPr>
            <w:r>
              <w:t xml:space="preserve">Semieniuk et al. (2022)</w:t>
            </w:r>
          </w:p>
        </w:tc>
        <w:tc>
          <w:tcPr/>
          <w:p>
            <w:pPr>
              <w:pStyle w:val="Compact"/>
              <w:jc w:val="left"/>
            </w:pPr>
            <w:r>
              <w:t xml:space="preserve">Nature Climate Change</w:t>
            </w:r>
          </w:p>
        </w:tc>
        <w:tc>
          <w:tcPr/>
          <w:p>
            <w:pPr>
              <w:pStyle w:val="Compact"/>
              <w:jc w:val="left"/>
            </w:pPr>
            <w:r>
              <w:t xml:space="preserve">Q1</w:t>
            </w:r>
          </w:p>
        </w:tc>
        <w:tc>
          <w:tcPr/>
          <w:p>
            <w:pPr>
              <w:pStyle w:val="Compact"/>
              <w:jc w:val="left"/>
            </w:pPr>
            <w:r>
              <w:t xml:space="preserve">10.1038/s41558-022-01356-y</w:t>
            </w:r>
          </w:p>
        </w:tc>
        <w:tc>
          <w:tcPr/>
          <w:p>
            <w:pPr>
              <w:pStyle w:val="Compact"/>
              <w:jc w:val="left"/>
            </w:pPr>
            <w:r>
              <w:t xml:space="preserve">4.3.3</w:t>
            </w:r>
          </w:p>
        </w:tc>
        <w:tc>
          <w:tcPr/>
          <w:p>
            <w:pPr>
              <w:pStyle w:val="Compact"/>
              <w:jc w:val="left"/>
            </w:pPr>
            <w:r>
              <w:t xml:space="preserve">Tinggi</w:t>
            </w:r>
          </w:p>
        </w:tc>
      </w:tr>
      <w:tr>
        <w:tc>
          <w:tcPr/>
          <w:p>
            <w:pPr>
              <w:pStyle w:val="Compact"/>
              <w:jc w:val="left"/>
            </w:pPr>
            <w:r>
              <w:t xml:space="preserve">18</w:t>
            </w:r>
          </w:p>
        </w:tc>
        <w:tc>
          <w:tcPr/>
          <w:p>
            <w:pPr>
              <w:pStyle w:val="Compact"/>
              <w:jc w:val="left"/>
            </w:pPr>
            <w:r>
              <w:t xml:space="preserve">Li, Tong, Xing &amp; Zhou (2017)</w:t>
            </w:r>
          </w:p>
        </w:tc>
        <w:tc>
          <w:tcPr/>
          <w:p>
            <w:pPr>
              <w:pStyle w:val="Compact"/>
              <w:jc w:val="left"/>
            </w:pPr>
            <w:r>
              <w:t xml:space="preserve">J. of the Association of Environmental and Resource Economists</w:t>
            </w:r>
          </w:p>
        </w:tc>
        <w:tc>
          <w:tcPr/>
          <w:p>
            <w:pPr>
              <w:pStyle w:val="Compact"/>
              <w:jc w:val="left"/>
            </w:pPr>
            <w:r>
              <w:t xml:space="preserve">Q1</w:t>
            </w:r>
          </w:p>
        </w:tc>
        <w:tc>
          <w:tcPr/>
          <w:p>
            <w:pPr>
              <w:pStyle w:val="Compact"/>
              <w:jc w:val="left"/>
            </w:pPr>
            <w:r>
              <w:t xml:space="preserve">10.1086/689702</w:t>
            </w:r>
          </w:p>
        </w:tc>
        <w:tc>
          <w:tcPr/>
          <w:p>
            <w:pPr>
              <w:pStyle w:val="Compact"/>
              <w:jc w:val="left"/>
            </w:pPr>
            <w:r>
              <w:t xml:space="preserve">2.4, 4.3.3</w:t>
            </w:r>
          </w:p>
        </w:tc>
        <w:tc>
          <w:tcPr/>
          <w:p>
            <w:pPr>
              <w:pStyle w:val="Compact"/>
              <w:jc w:val="left"/>
            </w:pPr>
            <w:r>
              <w:t xml:space="preserve">Tinggi</w:t>
            </w:r>
          </w:p>
        </w:tc>
      </w:tr>
      <w:tr>
        <w:tc>
          <w:tcPr/>
          <w:p>
            <w:pPr>
              <w:pStyle w:val="Compact"/>
              <w:jc w:val="left"/>
            </w:pPr>
            <w:r>
              <w:t xml:space="preserve">19</w:t>
            </w:r>
          </w:p>
        </w:tc>
        <w:tc>
          <w:tcPr/>
          <w:p>
            <w:pPr>
              <w:pStyle w:val="Compact"/>
              <w:jc w:val="left"/>
            </w:pPr>
            <w:r>
              <w:t xml:space="preserve">Sierzchula, Bakker, Maat &amp; van Wee (2014)</w:t>
            </w:r>
          </w:p>
        </w:tc>
        <w:tc>
          <w:tcPr/>
          <w:p>
            <w:pPr>
              <w:pStyle w:val="Compact"/>
              <w:jc w:val="left"/>
            </w:pPr>
            <w:r>
              <w:t xml:space="preserve">Energy Policy</w:t>
            </w:r>
          </w:p>
        </w:tc>
        <w:tc>
          <w:tcPr/>
          <w:p>
            <w:pPr>
              <w:pStyle w:val="Compact"/>
              <w:jc w:val="left"/>
            </w:pPr>
            <w:r>
              <w:t xml:space="preserve">Q1</w:t>
            </w:r>
          </w:p>
        </w:tc>
        <w:tc>
          <w:tcPr/>
          <w:p>
            <w:pPr>
              <w:pStyle w:val="Compact"/>
              <w:jc w:val="left"/>
            </w:pPr>
            <w:r>
              <w:t xml:space="preserve">10.1016/j.enpol.2014.01.043</w:t>
            </w:r>
          </w:p>
        </w:tc>
        <w:tc>
          <w:tcPr/>
          <w:p>
            <w:pPr>
              <w:pStyle w:val="Compact"/>
              <w:jc w:val="left"/>
            </w:pPr>
            <w:r>
              <w:t xml:space="preserve">2.4, 4.3.3</w:t>
            </w:r>
          </w:p>
        </w:tc>
        <w:tc>
          <w:tcPr/>
          <w:p>
            <w:pPr>
              <w:pStyle w:val="Compact"/>
              <w:jc w:val="left"/>
            </w:pPr>
            <w:r>
              <w:t xml:space="preserve">Tinggi</w:t>
            </w:r>
          </w:p>
        </w:tc>
      </w:tr>
      <w:tr>
        <w:tc>
          <w:tcPr/>
          <w:p>
            <w:pPr>
              <w:pStyle w:val="Compact"/>
              <w:jc w:val="left"/>
            </w:pPr>
            <w:r>
              <w:t xml:space="preserve">20</w:t>
            </w:r>
          </w:p>
        </w:tc>
        <w:tc>
          <w:tcPr/>
          <w:p>
            <w:pPr>
              <w:pStyle w:val="Compact"/>
              <w:jc w:val="left"/>
            </w:pPr>
            <w:r>
              <w:t xml:space="preserve">Hardman et al. (2018)</w:t>
            </w:r>
          </w:p>
        </w:tc>
        <w:tc>
          <w:tcPr/>
          <w:p>
            <w:pPr>
              <w:pStyle w:val="Compact"/>
              <w:jc w:val="left"/>
            </w:pPr>
            <w:r>
              <w:t xml:space="preserve">Transportation Research Part D</w:t>
            </w:r>
          </w:p>
        </w:tc>
        <w:tc>
          <w:tcPr/>
          <w:p>
            <w:pPr>
              <w:pStyle w:val="Compact"/>
              <w:jc w:val="left"/>
            </w:pPr>
            <w:r>
              <w:t xml:space="preserve">Q1</w:t>
            </w:r>
          </w:p>
        </w:tc>
        <w:tc>
          <w:tcPr/>
          <w:p>
            <w:pPr>
              <w:pStyle w:val="Compact"/>
              <w:jc w:val="left"/>
            </w:pPr>
            <w:r>
              <w:t xml:space="preserve">10.1016/j.trd.2018.04.002</w:t>
            </w:r>
          </w:p>
        </w:tc>
        <w:tc>
          <w:tcPr/>
          <w:p>
            <w:pPr>
              <w:pStyle w:val="Compact"/>
              <w:jc w:val="left"/>
            </w:pPr>
            <w:r>
              <w:t xml:space="preserve">4.3.3</w:t>
            </w:r>
          </w:p>
        </w:tc>
        <w:tc>
          <w:tcPr/>
          <w:p>
            <w:pPr>
              <w:pStyle w:val="Compact"/>
              <w:jc w:val="left"/>
            </w:pPr>
            <w:r>
              <w:t xml:space="preserve">Tinggi</w:t>
            </w:r>
          </w:p>
        </w:tc>
      </w:tr>
      <w:tr>
        <w:tc>
          <w:tcPr/>
          <w:p>
            <w:pPr>
              <w:pStyle w:val="Compact"/>
              <w:jc w:val="left"/>
            </w:pPr>
            <w:r>
              <w:t xml:space="preserve">21</w:t>
            </w:r>
          </w:p>
        </w:tc>
        <w:tc>
          <w:tcPr/>
          <w:p>
            <w:pPr>
              <w:pStyle w:val="Compact"/>
              <w:jc w:val="left"/>
            </w:pPr>
            <w:r>
              <w:t xml:space="preserve">Dechezleprêtre &amp; Sato (2017)</w:t>
            </w:r>
          </w:p>
        </w:tc>
        <w:tc>
          <w:tcPr/>
          <w:p>
            <w:pPr>
              <w:pStyle w:val="Compact"/>
              <w:jc w:val="left"/>
            </w:pPr>
            <w:r>
              <w:t xml:space="preserve">Review of Environmental Economics and Policy</w:t>
            </w:r>
          </w:p>
        </w:tc>
        <w:tc>
          <w:tcPr/>
          <w:p>
            <w:pPr>
              <w:pStyle w:val="Compact"/>
              <w:jc w:val="left"/>
            </w:pPr>
            <w:r>
              <w:t xml:space="preserve">Q1</w:t>
            </w:r>
          </w:p>
        </w:tc>
        <w:tc>
          <w:tcPr/>
          <w:p>
            <w:pPr>
              <w:pStyle w:val="Compact"/>
              <w:jc w:val="left"/>
            </w:pPr>
            <w:r>
              <w:t xml:space="preserve">10.1093/reep/rex013</w:t>
            </w:r>
          </w:p>
        </w:tc>
        <w:tc>
          <w:tcPr/>
          <w:p>
            <w:pPr>
              <w:pStyle w:val="Compact"/>
              <w:jc w:val="left"/>
            </w:pPr>
            <w:r>
              <w:t xml:space="preserve">2.4, 4.3.3</w:t>
            </w:r>
          </w:p>
        </w:tc>
        <w:tc>
          <w:tcPr/>
          <w:p>
            <w:pPr>
              <w:pStyle w:val="Compact"/>
              <w:jc w:val="left"/>
            </w:pPr>
            <w:r>
              <w:t xml:space="preserve">Tinggi</w:t>
            </w:r>
          </w:p>
        </w:tc>
      </w:tr>
      <w:tr>
        <w:tc>
          <w:tcPr/>
          <w:p>
            <w:pPr>
              <w:pStyle w:val="Compact"/>
              <w:jc w:val="left"/>
            </w:pPr>
            <w:r>
              <w:t xml:space="preserve">22</w:t>
            </w:r>
          </w:p>
        </w:tc>
        <w:tc>
          <w:tcPr/>
          <w:p>
            <w:pPr>
              <w:pStyle w:val="Compact"/>
              <w:jc w:val="left"/>
            </w:pPr>
            <w:r>
              <w:t xml:space="preserve">Teece (2010)</w:t>
            </w:r>
          </w:p>
        </w:tc>
        <w:tc>
          <w:tcPr/>
          <w:p>
            <w:pPr>
              <w:pStyle w:val="Compact"/>
              <w:jc w:val="left"/>
            </w:pPr>
            <w:r>
              <w:t xml:space="preserve">Long Range Planning</w:t>
            </w:r>
          </w:p>
        </w:tc>
        <w:tc>
          <w:tcPr/>
          <w:p>
            <w:pPr>
              <w:pStyle w:val="Compact"/>
              <w:jc w:val="left"/>
            </w:pPr>
            <w:r>
              <w:t xml:space="preserve">Q1</w:t>
            </w:r>
          </w:p>
        </w:tc>
        <w:tc>
          <w:tcPr/>
          <w:p>
            <w:pPr>
              <w:pStyle w:val="Compact"/>
              <w:jc w:val="left"/>
            </w:pPr>
            <w:r>
              <w:t xml:space="preserve">10.1016/j.lrp.2009.07.003</w:t>
            </w:r>
          </w:p>
        </w:tc>
        <w:tc>
          <w:tcPr/>
          <w:p>
            <w:pPr>
              <w:pStyle w:val="Compact"/>
              <w:jc w:val="left"/>
            </w:pPr>
            <w:r>
              <w:t xml:space="preserve">2.6</w:t>
            </w:r>
          </w:p>
        </w:tc>
        <w:tc>
          <w:tcPr/>
          <w:p>
            <w:pPr>
              <w:pStyle w:val="Compact"/>
              <w:jc w:val="left"/>
            </w:pPr>
            <w:r>
              <w:t xml:space="preserve">Tinggi</w:t>
            </w:r>
          </w:p>
        </w:tc>
      </w:tr>
      <w:tr>
        <w:tc>
          <w:tcPr/>
          <w:p>
            <w:pPr>
              <w:pStyle w:val="Compact"/>
              <w:jc w:val="left"/>
            </w:pPr>
            <w:r>
              <w:t xml:space="preserve">23</w:t>
            </w:r>
          </w:p>
        </w:tc>
        <w:tc>
          <w:tcPr/>
          <w:p>
            <w:pPr>
              <w:pStyle w:val="Compact"/>
              <w:jc w:val="left"/>
            </w:pPr>
            <w:r>
              <w:t xml:space="preserve">Zott &amp; Amit (2010)</w:t>
            </w:r>
          </w:p>
        </w:tc>
        <w:tc>
          <w:tcPr/>
          <w:p>
            <w:pPr>
              <w:pStyle w:val="Compact"/>
              <w:jc w:val="left"/>
            </w:pPr>
            <w:r>
              <w:t xml:space="preserve">Long Range Planning</w:t>
            </w:r>
          </w:p>
        </w:tc>
        <w:tc>
          <w:tcPr/>
          <w:p>
            <w:pPr>
              <w:pStyle w:val="Compact"/>
              <w:jc w:val="left"/>
            </w:pPr>
            <w:r>
              <w:t xml:space="preserve">Q1</w:t>
            </w:r>
          </w:p>
        </w:tc>
        <w:tc>
          <w:tcPr/>
          <w:p>
            <w:pPr>
              <w:pStyle w:val="Compact"/>
              <w:jc w:val="left"/>
            </w:pPr>
            <w:r>
              <w:t xml:space="preserve">10.1016/j.lrp.2009.07.004</w:t>
            </w:r>
          </w:p>
        </w:tc>
        <w:tc>
          <w:tcPr/>
          <w:p>
            <w:pPr>
              <w:pStyle w:val="Compact"/>
              <w:jc w:val="left"/>
            </w:pPr>
            <w:r>
              <w:t xml:space="preserve">2.6, 4.7.8</w:t>
            </w:r>
          </w:p>
        </w:tc>
        <w:tc>
          <w:tcPr/>
          <w:p>
            <w:pPr>
              <w:pStyle w:val="Compact"/>
              <w:jc w:val="left"/>
            </w:pPr>
            <w:r>
              <w:t xml:space="preserve">Tinggi</w:t>
            </w:r>
          </w:p>
        </w:tc>
      </w:tr>
      <w:tr>
        <w:tc>
          <w:tcPr/>
          <w:p>
            <w:pPr>
              <w:pStyle w:val="Compact"/>
              <w:jc w:val="left"/>
            </w:pPr>
            <w:r>
              <w:t xml:space="preserve">24</w:t>
            </w:r>
          </w:p>
        </w:tc>
        <w:tc>
          <w:tcPr/>
          <w:p>
            <w:pPr>
              <w:pStyle w:val="Compact"/>
              <w:jc w:val="left"/>
            </w:pPr>
            <w:r>
              <w:t xml:space="preserve">Burke &amp; Kurniawati (2018)</w:t>
            </w:r>
          </w:p>
        </w:tc>
        <w:tc>
          <w:tcPr/>
          <w:p>
            <w:pPr>
              <w:pStyle w:val="Compact"/>
              <w:jc w:val="left"/>
            </w:pPr>
            <w:r>
              <w:t xml:space="preserve">Energy Policy</w:t>
            </w:r>
          </w:p>
        </w:tc>
        <w:tc>
          <w:tcPr/>
          <w:p>
            <w:pPr>
              <w:pStyle w:val="Compact"/>
              <w:jc w:val="left"/>
            </w:pPr>
            <w:r>
              <w:t xml:space="preserve">Q1</w:t>
            </w:r>
          </w:p>
        </w:tc>
        <w:tc>
          <w:tcPr/>
          <w:p>
            <w:pPr>
              <w:pStyle w:val="Compact"/>
              <w:jc w:val="left"/>
            </w:pPr>
            <w:r>
              <w:t xml:space="preserve">10.1016/j.enpol.2018.02.018</w:t>
            </w:r>
          </w:p>
        </w:tc>
        <w:tc>
          <w:tcPr/>
          <w:p>
            <w:pPr>
              <w:pStyle w:val="Compact"/>
              <w:jc w:val="left"/>
            </w:pPr>
            <w:r>
              <w:t xml:space="preserve">4.1.3</w:t>
            </w:r>
          </w:p>
        </w:tc>
        <w:tc>
          <w:tcPr/>
          <w:p>
            <w:pPr>
              <w:pStyle w:val="Compact"/>
              <w:jc w:val="left"/>
            </w:pPr>
            <w:r>
              <w:t xml:space="preserve">Tinggi</w:t>
            </w:r>
          </w:p>
        </w:tc>
      </w:tr>
      <w:tr>
        <w:tc>
          <w:tcPr/>
          <w:p>
            <w:pPr>
              <w:pStyle w:val="Compact"/>
              <w:jc w:val="left"/>
            </w:pPr>
            <w:r>
              <w:t xml:space="preserve">25</w:t>
            </w:r>
          </w:p>
        </w:tc>
        <w:tc>
          <w:tcPr/>
          <w:p>
            <w:pPr>
              <w:pStyle w:val="Compact"/>
              <w:jc w:val="left"/>
            </w:pPr>
            <w:r>
              <w:t xml:space="preserve">Dartanto (2013)</w:t>
            </w:r>
          </w:p>
        </w:tc>
        <w:tc>
          <w:tcPr/>
          <w:p>
            <w:pPr>
              <w:pStyle w:val="Compact"/>
              <w:jc w:val="left"/>
            </w:pPr>
            <w:r>
              <w:t xml:space="preserve">Energy Policy</w:t>
            </w:r>
          </w:p>
        </w:tc>
        <w:tc>
          <w:tcPr/>
          <w:p>
            <w:pPr>
              <w:pStyle w:val="Compact"/>
              <w:jc w:val="left"/>
            </w:pPr>
            <w:r>
              <w:t xml:space="preserve">Q1</w:t>
            </w:r>
          </w:p>
        </w:tc>
        <w:tc>
          <w:tcPr/>
          <w:p>
            <w:pPr>
              <w:pStyle w:val="Compact"/>
              <w:jc w:val="left"/>
            </w:pPr>
            <w:r>
              <w:t xml:space="preserve">10.1016/j.enpol.2013.02.040</w:t>
            </w:r>
          </w:p>
        </w:tc>
        <w:tc>
          <w:tcPr/>
          <w:p>
            <w:pPr>
              <w:pStyle w:val="Compact"/>
              <w:jc w:val="left"/>
            </w:pPr>
            <w:r>
              <w:t xml:space="preserve">4.1.3</w:t>
            </w:r>
          </w:p>
        </w:tc>
        <w:tc>
          <w:tcPr/>
          <w:p>
            <w:pPr>
              <w:pStyle w:val="Compact"/>
              <w:jc w:val="left"/>
            </w:pPr>
            <w:r>
              <w:t xml:space="preserve">Tinggi</w:t>
            </w:r>
          </w:p>
        </w:tc>
      </w:tr>
      <w:tr>
        <w:tc>
          <w:tcPr/>
          <w:p>
            <w:pPr>
              <w:pStyle w:val="Compact"/>
              <w:jc w:val="left"/>
            </w:pPr>
            <w:r>
              <w:t xml:space="preserve">26</w:t>
            </w:r>
          </w:p>
        </w:tc>
        <w:tc>
          <w:tcPr/>
          <w:p>
            <w:pPr>
              <w:pStyle w:val="Compact"/>
              <w:jc w:val="left"/>
            </w:pPr>
            <w:r>
              <w:t xml:space="preserve">Warburton (2017)</w:t>
            </w:r>
          </w:p>
        </w:tc>
        <w:tc>
          <w:tcPr/>
          <w:p>
            <w:pPr>
              <w:pStyle w:val="Compact"/>
              <w:jc w:val="left"/>
            </w:pPr>
            <w:r>
              <w:t xml:space="preserve">Journal of East Asian Studies</w:t>
            </w:r>
          </w:p>
        </w:tc>
        <w:tc>
          <w:tcPr/>
          <w:p>
            <w:pPr>
              <w:pStyle w:val="Compact"/>
              <w:jc w:val="left"/>
            </w:pPr>
            <w:r>
              <w:t xml:space="preserve">VERIFIKASI (diperkirakan Q1/Q2)</w:t>
            </w:r>
          </w:p>
        </w:tc>
        <w:tc>
          <w:tcPr/>
          <w:p>
            <w:pPr>
              <w:pStyle w:val="Compact"/>
              <w:jc w:val="left"/>
            </w:pPr>
            <w:r>
              <w:t xml:space="preserve">10.1017/jea.2017.13</w:t>
            </w:r>
          </w:p>
        </w:tc>
        <w:tc>
          <w:tcPr/>
          <w:p>
            <w:pPr>
              <w:pStyle w:val="Compact"/>
              <w:jc w:val="left"/>
            </w:pPr>
            <w:r>
              <w:t xml:space="preserve">4.1.3</w:t>
            </w:r>
          </w:p>
        </w:tc>
        <w:tc>
          <w:tcPr/>
          <w:p>
            <w:pPr>
              <w:pStyle w:val="Compact"/>
              <w:jc w:val="left"/>
            </w:pPr>
            <w:r>
              <w:t xml:space="preserve">Sedang–Tinggi</w:t>
            </w:r>
          </w:p>
        </w:tc>
      </w:tr>
      <w:tr>
        <w:tc>
          <w:tcPr/>
          <w:p>
            <w:pPr>
              <w:pStyle w:val="Compact"/>
              <w:jc w:val="left"/>
            </w:pPr>
            <w:r>
              <w:t xml:space="preserve">27</w:t>
            </w:r>
          </w:p>
        </w:tc>
        <w:tc>
          <w:tcPr/>
          <w:p>
            <w:pPr>
              <w:pStyle w:val="Compact"/>
              <w:jc w:val="left"/>
            </w:pPr>
            <w:r>
              <w:t xml:space="preserve">Maulidia, Dargusch, Ashworth &amp; Ardiansyah (2019)</w:t>
            </w:r>
          </w:p>
        </w:tc>
        <w:tc>
          <w:tcPr/>
          <w:p>
            <w:pPr>
              <w:pStyle w:val="Compact"/>
              <w:jc w:val="left"/>
            </w:pPr>
            <w:r>
              <w:t xml:space="preserve">Renewable and Sustainable Energy Reviews</w:t>
            </w:r>
          </w:p>
        </w:tc>
        <w:tc>
          <w:tcPr/>
          <w:p>
            <w:pPr>
              <w:pStyle w:val="Compact"/>
              <w:jc w:val="left"/>
            </w:pPr>
            <w:r>
              <w:t xml:space="preserve">Q1</w:t>
            </w:r>
          </w:p>
        </w:tc>
        <w:tc>
          <w:tcPr/>
          <w:p>
            <w:pPr>
              <w:pStyle w:val="Compact"/>
              <w:jc w:val="left"/>
            </w:pPr>
            <w:r>
              <w:t xml:space="preserve">10.1016/j.rser.2018.11.005</w:t>
            </w:r>
          </w:p>
        </w:tc>
        <w:tc>
          <w:tcPr/>
          <w:p>
            <w:pPr>
              <w:pStyle w:val="Compact"/>
              <w:jc w:val="left"/>
            </w:pPr>
            <w:r>
              <w:t xml:space="preserve">4.3.3</w:t>
            </w:r>
          </w:p>
        </w:tc>
        <w:tc>
          <w:tcPr/>
          <w:p>
            <w:pPr>
              <w:pStyle w:val="Compact"/>
              <w:jc w:val="left"/>
            </w:pPr>
            <w:r>
              <w:t xml:space="preserve">Tinggi</w:t>
            </w:r>
          </w:p>
        </w:tc>
      </w:tr>
      <w:tr>
        <w:tc>
          <w:tcPr/>
          <w:p>
            <w:pPr>
              <w:pStyle w:val="Compact"/>
              <w:jc w:val="left"/>
            </w:pPr>
            <w:r>
              <w:t xml:space="preserve">28</w:t>
            </w:r>
          </w:p>
        </w:tc>
        <w:tc>
          <w:tcPr/>
          <w:p>
            <w:pPr>
              <w:pStyle w:val="Compact"/>
              <w:jc w:val="left"/>
            </w:pPr>
            <w:r>
              <w:t xml:space="preserve">Burke et al. (2019)</w:t>
            </w:r>
          </w:p>
        </w:tc>
        <w:tc>
          <w:tcPr/>
          <w:p>
            <w:pPr>
              <w:pStyle w:val="Compact"/>
              <w:jc w:val="left"/>
            </w:pPr>
            <w:r>
              <w:t xml:space="preserve">Energy Policy</w:t>
            </w:r>
          </w:p>
        </w:tc>
        <w:tc>
          <w:tcPr/>
          <w:p>
            <w:pPr>
              <w:pStyle w:val="Compact"/>
              <w:jc w:val="left"/>
            </w:pPr>
            <w:r>
              <w:t xml:space="preserve">Q1</w:t>
            </w:r>
          </w:p>
        </w:tc>
        <w:tc>
          <w:tcPr/>
          <w:p>
            <w:pPr>
              <w:pStyle w:val="Compact"/>
              <w:jc w:val="left"/>
            </w:pPr>
            <w:r>
              <w:t xml:space="preserve">10.1016/j.enpol.2019.05.055</w:t>
            </w:r>
          </w:p>
        </w:tc>
        <w:tc>
          <w:tcPr/>
          <w:p>
            <w:pPr>
              <w:pStyle w:val="Compact"/>
              <w:jc w:val="left"/>
            </w:pPr>
            <w:r>
              <w:t xml:space="preserve">4.3.3</w:t>
            </w:r>
          </w:p>
        </w:tc>
        <w:tc>
          <w:tcPr/>
          <w:p>
            <w:pPr>
              <w:pStyle w:val="Compact"/>
              <w:jc w:val="left"/>
            </w:pPr>
            <w:r>
              <w:t xml:space="preserve">Tinggi</w:t>
            </w:r>
          </w:p>
        </w:tc>
      </w:tr>
      <w:tr>
        <w:tc>
          <w:tcPr/>
          <w:p>
            <w:pPr>
              <w:pStyle w:val="Compact"/>
              <w:jc w:val="left"/>
            </w:pPr>
            <w:r>
              <w:t xml:space="preserve">29</w:t>
            </w:r>
          </w:p>
        </w:tc>
        <w:tc>
          <w:tcPr/>
          <w:p>
            <w:pPr>
              <w:pStyle w:val="Compact"/>
              <w:jc w:val="left"/>
            </w:pPr>
            <w:r>
              <w:t xml:space="preserve">Bjørn, Lloyd, Brander &amp; Matthews (2022)</w:t>
            </w:r>
          </w:p>
        </w:tc>
        <w:tc>
          <w:tcPr/>
          <w:p>
            <w:pPr>
              <w:pStyle w:val="Compact"/>
              <w:jc w:val="left"/>
            </w:pPr>
            <w:r>
              <w:t xml:space="preserve">Nature Climate Change</w:t>
            </w:r>
          </w:p>
        </w:tc>
        <w:tc>
          <w:tcPr/>
          <w:p>
            <w:pPr>
              <w:pStyle w:val="Compact"/>
              <w:jc w:val="left"/>
            </w:pPr>
            <w:r>
              <w:t xml:space="preserve">Q1</w:t>
            </w:r>
          </w:p>
        </w:tc>
        <w:tc>
          <w:tcPr/>
          <w:p>
            <w:pPr>
              <w:pStyle w:val="Compact"/>
              <w:jc w:val="left"/>
            </w:pPr>
            <w:r>
              <w:t xml:space="preserve">10.1038/s41558-022-01379-5</w:t>
            </w:r>
          </w:p>
        </w:tc>
        <w:tc>
          <w:tcPr/>
          <w:p>
            <w:pPr>
              <w:pStyle w:val="Compact"/>
              <w:jc w:val="left"/>
            </w:pPr>
            <w:r>
              <w:t xml:space="preserve">4.7.6</w:t>
            </w:r>
          </w:p>
        </w:tc>
        <w:tc>
          <w:tcPr/>
          <w:p>
            <w:pPr>
              <w:pStyle w:val="Compact"/>
              <w:jc w:val="left"/>
            </w:pPr>
            <w:r>
              <w:t xml:space="preserve">Tinggi</w:t>
            </w:r>
          </w:p>
        </w:tc>
      </w:tr>
      <w:tr>
        <w:tc>
          <w:tcPr/>
          <w:p>
            <w:pPr>
              <w:pStyle w:val="Compact"/>
              <w:jc w:val="left"/>
            </w:pPr>
            <w:r>
              <w:t xml:space="preserve">30</w:t>
            </w:r>
          </w:p>
        </w:tc>
        <w:tc>
          <w:tcPr/>
          <w:p>
            <w:pPr>
              <w:pStyle w:val="Compact"/>
              <w:jc w:val="left"/>
            </w:pPr>
            <w:r>
              <w:t xml:space="preserve">Brander, Gillenwater &amp; Ascui (2018)</w:t>
            </w:r>
          </w:p>
        </w:tc>
        <w:tc>
          <w:tcPr/>
          <w:p>
            <w:pPr>
              <w:pStyle w:val="Compact"/>
              <w:jc w:val="left"/>
            </w:pPr>
            <w:r>
              <w:t xml:space="preserve">Energy Policy</w:t>
            </w:r>
          </w:p>
        </w:tc>
        <w:tc>
          <w:tcPr/>
          <w:p>
            <w:pPr>
              <w:pStyle w:val="Compact"/>
              <w:jc w:val="left"/>
            </w:pPr>
            <w:r>
              <w:t xml:space="preserve">Q1</w:t>
            </w:r>
          </w:p>
        </w:tc>
        <w:tc>
          <w:tcPr/>
          <w:p>
            <w:pPr>
              <w:pStyle w:val="Compact"/>
              <w:jc w:val="left"/>
            </w:pPr>
            <w:r>
              <w:t xml:space="preserve">10.1016/j.enpol.2017.09.051</w:t>
            </w:r>
          </w:p>
        </w:tc>
        <w:tc>
          <w:tcPr/>
          <w:p>
            <w:pPr>
              <w:pStyle w:val="Compact"/>
              <w:jc w:val="left"/>
            </w:pPr>
            <w:r>
              <w:t xml:space="preserve">4.7.6</w:t>
            </w:r>
          </w:p>
        </w:tc>
        <w:tc>
          <w:tcPr/>
          <w:p>
            <w:pPr>
              <w:pStyle w:val="Compact"/>
              <w:jc w:val="left"/>
            </w:pPr>
            <w:r>
              <w:t xml:space="preserve">Tinggi</w:t>
            </w:r>
          </w:p>
        </w:tc>
      </w:tr>
      <w:tr>
        <w:tc>
          <w:tcPr/>
          <w:p>
            <w:pPr>
              <w:pStyle w:val="Compact"/>
              <w:jc w:val="left"/>
            </w:pPr>
            <w:r>
              <w:t xml:space="preserve">31</w:t>
            </w:r>
          </w:p>
        </w:tc>
        <w:tc>
          <w:tcPr/>
          <w:p>
            <w:pPr>
              <w:pStyle w:val="Compact"/>
              <w:jc w:val="left"/>
            </w:pPr>
            <w:r>
              <w:t xml:space="preserve">Tukker (2004)</w:t>
            </w:r>
          </w:p>
        </w:tc>
        <w:tc>
          <w:tcPr/>
          <w:p>
            <w:pPr>
              <w:pStyle w:val="Compact"/>
              <w:jc w:val="left"/>
            </w:pPr>
            <w:r>
              <w:t xml:space="preserve">Business Strategy and the Environment</w:t>
            </w:r>
          </w:p>
        </w:tc>
        <w:tc>
          <w:tcPr/>
          <w:p>
            <w:pPr>
              <w:pStyle w:val="Compact"/>
              <w:jc w:val="left"/>
            </w:pPr>
            <w:r>
              <w:t xml:space="preserve">Q1</w:t>
            </w:r>
          </w:p>
        </w:tc>
        <w:tc>
          <w:tcPr/>
          <w:p>
            <w:pPr>
              <w:pStyle w:val="Compact"/>
              <w:jc w:val="left"/>
            </w:pPr>
            <w:r>
              <w:t xml:space="preserve">10.1002/bse.414</w:t>
            </w:r>
          </w:p>
        </w:tc>
        <w:tc>
          <w:tcPr/>
          <w:p>
            <w:pPr>
              <w:pStyle w:val="Compact"/>
              <w:jc w:val="left"/>
            </w:pPr>
            <w:r>
              <w:t xml:space="preserve">4.7.8</w:t>
            </w:r>
          </w:p>
        </w:tc>
        <w:tc>
          <w:tcPr/>
          <w:p>
            <w:pPr>
              <w:pStyle w:val="Compact"/>
              <w:jc w:val="left"/>
            </w:pPr>
            <w:r>
              <w:t xml:space="preserve">Tinggi</w:t>
            </w:r>
          </w:p>
        </w:tc>
      </w:tr>
      <w:tr>
        <w:tc>
          <w:tcPr/>
          <w:p>
            <w:pPr>
              <w:pStyle w:val="Compact"/>
              <w:jc w:val="left"/>
            </w:pPr>
            <w:r>
              <w:t xml:space="preserve">32</w:t>
            </w:r>
          </w:p>
        </w:tc>
        <w:tc>
          <w:tcPr/>
          <w:p>
            <w:pPr>
              <w:pStyle w:val="Compact"/>
              <w:jc w:val="left"/>
            </w:pPr>
            <w:r>
              <w:t xml:space="preserve">Richter (2013)</w:t>
            </w:r>
          </w:p>
        </w:tc>
        <w:tc>
          <w:tcPr/>
          <w:p>
            <w:pPr>
              <w:pStyle w:val="Compact"/>
              <w:jc w:val="left"/>
            </w:pPr>
            <w:r>
              <w:t xml:space="preserve">Energy Policy</w:t>
            </w:r>
          </w:p>
        </w:tc>
        <w:tc>
          <w:tcPr/>
          <w:p>
            <w:pPr>
              <w:pStyle w:val="Compact"/>
              <w:jc w:val="left"/>
            </w:pPr>
            <w:r>
              <w:t xml:space="preserve">Q1</w:t>
            </w:r>
          </w:p>
        </w:tc>
        <w:tc>
          <w:tcPr/>
          <w:p>
            <w:pPr>
              <w:pStyle w:val="Compact"/>
              <w:jc w:val="left"/>
            </w:pPr>
            <w:r>
              <w:t xml:space="preserve">10.1016/j.enpol.2013.05.038</w:t>
            </w:r>
          </w:p>
        </w:tc>
        <w:tc>
          <w:tcPr/>
          <w:p>
            <w:pPr>
              <w:pStyle w:val="Compact"/>
              <w:jc w:val="left"/>
            </w:pPr>
            <w:r>
              <w:t xml:space="preserve">4.7.8</w:t>
            </w:r>
          </w:p>
        </w:tc>
        <w:tc>
          <w:tcPr/>
          <w:p>
            <w:pPr>
              <w:pStyle w:val="Compact"/>
              <w:jc w:val="left"/>
            </w:pPr>
            <w:r>
              <w:t xml:space="preserve">Tinggi</w:t>
            </w:r>
          </w:p>
        </w:tc>
      </w:tr>
      <w:tr>
        <w:tc>
          <w:tcPr/>
          <w:p>
            <w:pPr>
              <w:pStyle w:val="Compact"/>
              <w:jc w:val="left"/>
            </w:pPr>
            <w:r>
              <w:t xml:space="preserve">33</w:t>
            </w:r>
          </w:p>
        </w:tc>
        <w:tc>
          <w:tcPr/>
          <w:p>
            <w:pPr>
              <w:pStyle w:val="Compact"/>
              <w:jc w:val="left"/>
            </w:pPr>
            <w:r>
              <w:t xml:space="preserve">Helms (2016)</w:t>
            </w:r>
          </w:p>
        </w:tc>
        <w:tc>
          <w:tcPr/>
          <w:p>
            <w:pPr>
              <w:pStyle w:val="Compact"/>
              <w:jc w:val="left"/>
            </w:pPr>
            <w:r>
              <w:t xml:space="preserve">Energy Policy</w:t>
            </w:r>
          </w:p>
        </w:tc>
        <w:tc>
          <w:tcPr/>
          <w:p>
            <w:pPr>
              <w:pStyle w:val="Compact"/>
              <w:jc w:val="left"/>
            </w:pPr>
            <w:r>
              <w:t xml:space="preserve">Q1</w:t>
            </w:r>
          </w:p>
        </w:tc>
        <w:tc>
          <w:tcPr/>
          <w:p>
            <w:pPr>
              <w:pStyle w:val="Compact"/>
              <w:jc w:val="left"/>
            </w:pPr>
            <w:r>
              <w:t xml:space="preserve">10.1016/j.enpol.2015.12.046</w:t>
            </w:r>
          </w:p>
        </w:tc>
        <w:tc>
          <w:tcPr/>
          <w:p>
            <w:pPr>
              <w:pStyle w:val="Compact"/>
              <w:jc w:val="left"/>
            </w:pPr>
            <w:r>
              <w:t xml:space="preserve">4.7.8</w:t>
            </w:r>
          </w:p>
        </w:tc>
        <w:tc>
          <w:tcPr/>
          <w:p>
            <w:pPr>
              <w:pStyle w:val="Compact"/>
              <w:jc w:val="left"/>
            </w:pPr>
            <w:r>
              <w:t xml:space="preserve">Tinggi</w:t>
            </w:r>
          </w:p>
        </w:tc>
      </w:tr>
      <w:tr>
        <w:tc>
          <w:tcPr/>
          <w:p>
            <w:pPr>
              <w:pStyle w:val="Compact"/>
              <w:jc w:val="left"/>
            </w:pPr>
            <w:r>
              <w:t xml:space="preserve">34</w:t>
            </w:r>
          </w:p>
        </w:tc>
        <w:tc>
          <w:tcPr/>
          <w:p>
            <w:pPr>
              <w:pStyle w:val="Compact"/>
              <w:jc w:val="left"/>
            </w:pPr>
            <w:r>
              <w:t xml:space="preserve">Hartmann, Inkpen &amp; Ramaswamy (2021)</w:t>
            </w:r>
          </w:p>
        </w:tc>
        <w:tc>
          <w:tcPr/>
          <w:p>
            <w:pPr>
              <w:pStyle w:val="Compact"/>
              <w:jc w:val="left"/>
            </w:pPr>
            <w:r>
              <w:t xml:space="preserve">Journal of International Business Studies</w:t>
            </w:r>
          </w:p>
        </w:tc>
        <w:tc>
          <w:tcPr/>
          <w:p>
            <w:pPr>
              <w:pStyle w:val="Compact"/>
              <w:jc w:val="left"/>
            </w:pPr>
            <w:r>
              <w:t xml:space="preserve">Q1</w:t>
            </w:r>
          </w:p>
        </w:tc>
        <w:tc>
          <w:tcPr/>
          <w:p>
            <w:pPr>
              <w:pStyle w:val="Compact"/>
              <w:jc w:val="left"/>
            </w:pPr>
            <w:r>
              <w:t xml:space="preserve">10.1057/s41267-020-00326-w</w:t>
            </w:r>
          </w:p>
        </w:tc>
        <w:tc>
          <w:tcPr/>
          <w:p>
            <w:pPr>
              <w:pStyle w:val="Compact"/>
              <w:jc w:val="left"/>
            </w:pPr>
            <w:r>
              <w:t xml:space="preserve">4.7.8</w:t>
            </w:r>
          </w:p>
        </w:tc>
        <w:tc>
          <w:tcPr/>
          <w:p>
            <w:pPr>
              <w:pStyle w:val="Compact"/>
              <w:jc w:val="left"/>
            </w:pPr>
            <w:r>
              <w:t xml:space="preserve">Tinggi</w:t>
            </w:r>
          </w:p>
        </w:tc>
      </w:tr>
      <w:tr>
        <w:tc>
          <w:tcPr/>
          <w:p>
            <w:pPr>
              <w:pStyle w:val="Compact"/>
              <w:jc w:val="left"/>
            </w:pPr>
            <w:r>
              <w:t xml:space="preserve">35</w:t>
            </w:r>
          </w:p>
        </w:tc>
        <w:tc>
          <w:tcPr/>
          <w:p>
            <w:pPr>
              <w:pStyle w:val="Compact"/>
              <w:jc w:val="left"/>
            </w:pPr>
            <w:r>
              <w:t xml:space="preserve">Bower &amp; Christensen (1995)</w:t>
            </w:r>
          </w:p>
        </w:tc>
        <w:tc>
          <w:tcPr/>
          <w:p>
            <w:pPr>
              <w:pStyle w:val="Compact"/>
              <w:jc w:val="left"/>
            </w:pPr>
            <w:r>
              <w:t xml:space="preserve">Harvard Business Review (karya klasik, tanpa DOI)</w:t>
            </w:r>
          </w:p>
        </w:tc>
        <w:tc>
          <w:tcPr/>
          <w:p>
            <w:pPr>
              <w:pStyle w:val="Compact"/>
              <w:jc w:val="left"/>
            </w:pPr>
            <w:r>
              <w:t xml:space="preserve">n/a</w:t>
            </w:r>
          </w:p>
        </w:tc>
        <w:tc>
          <w:tcPr/>
          <w:p>
            <w:pPr>
              <w:pStyle w:val="Compact"/>
              <w:jc w:val="left"/>
            </w:pPr>
            <w:r>
              <w:t xml:space="preserve">—</w:t>
            </w:r>
          </w:p>
        </w:tc>
        <w:tc>
          <w:tcPr/>
          <w:p>
            <w:pPr>
              <w:pStyle w:val="Compact"/>
              <w:jc w:val="left"/>
            </w:pPr>
            <w:r>
              <w:t xml:space="preserve">2.4</w:t>
            </w:r>
          </w:p>
        </w:tc>
        <w:tc>
          <w:tcPr/>
          <w:p>
            <w:pPr>
              <w:pStyle w:val="Compact"/>
              <w:jc w:val="left"/>
            </w:pPr>
            <w:r>
              <w:t xml:space="preserve">Tinggi</w:t>
            </w:r>
          </w:p>
        </w:tc>
      </w:tr>
      <w:tr>
        <w:tc>
          <w:tcPr/>
          <w:p>
            <w:pPr>
              <w:pStyle w:val="Compact"/>
              <w:jc w:val="left"/>
            </w:pPr>
            <w:r>
              <w:t xml:space="preserve">36</w:t>
            </w:r>
          </w:p>
        </w:tc>
        <w:tc>
          <w:tcPr/>
          <w:p>
            <w:pPr>
              <w:pStyle w:val="Compact"/>
              <w:jc w:val="left"/>
            </w:pPr>
            <w:r>
              <w:t xml:space="preserve">Christensen, Raynor &amp; McDonald (2015)</w:t>
            </w:r>
          </w:p>
        </w:tc>
        <w:tc>
          <w:tcPr/>
          <w:p>
            <w:pPr>
              <w:pStyle w:val="Compact"/>
              <w:jc w:val="left"/>
            </w:pPr>
            <w:r>
              <w:t xml:space="preserve">Harvard Business Review (karya klasik, tanpa DOI)</w:t>
            </w:r>
          </w:p>
        </w:tc>
        <w:tc>
          <w:tcPr/>
          <w:p>
            <w:pPr>
              <w:pStyle w:val="Compact"/>
              <w:jc w:val="left"/>
            </w:pPr>
            <w:r>
              <w:t xml:space="preserve">n/a</w:t>
            </w:r>
          </w:p>
        </w:tc>
        <w:tc>
          <w:tcPr/>
          <w:p>
            <w:pPr>
              <w:pStyle w:val="Compact"/>
              <w:jc w:val="left"/>
            </w:pPr>
            <w:r>
              <w:t xml:space="preserve">—</w:t>
            </w:r>
          </w:p>
        </w:tc>
        <w:tc>
          <w:tcPr/>
          <w:p>
            <w:pPr>
              <w:pStyle w:val="Compact"/>
              <w:jc w:val="left"/>
            </w:pPr>
            <w:r>
              <w:t xml:space="preserve">2.4</w:t>
            </w:r>
          </w:p>
        </w:tc>
        <w:tc>
          <w:tcPr/>
          <w:p>
            <w:pPr>
              <w:pStyle w:val="Compact"/>
              <w:jc w:val="left"/>
            </w:pPr>
            <w:r>
              <w:t xml:space="preserve">Tinggi</w:t>
            </w:r>
          </w:p>
        </w:tc>
      </w:tr>
      <w:tr>
        <w:tc>
          <w:tcPr/>
          <w:p>
            <w:pPr>
              <w:pStyle w:val="Compact"/>
              <w:jc w:val="left"/>
            </w:pPr>
            <w:r>
              <w:t xml:space="preserve">37</w:t>
            </w:r>
          </w:p>
        </w:tc>
        <w:tc>
          <w:tcPr/>
          <w:p>
            <w:pPr>
              <w:pStyle w:val="Compact"/>
              <w:jc w:val="left"/>
            </w:pPr>
            <w:r>
              <w:t xml:space="preserve">Porter (2008)</w:t>
            </w:r>
          </w:p>
        </w:tc>
        <w:tc>
          <w:tcPr/>
          <w:p>
            <w:pPr>
              <w:pStyle w:val="Compact"/>
              <w:jc w:val="left"/>
            </w:pPr>
            <w:r>
              <w:t xml:space="preserve">Harvard Business Review (definisi)</w:t>
            </w:r>
          </w:p>
        </w:tc>
        <w:tc>
          <w:tcPr/>
          <w:p>
            <w:pPr>
              <w:pStyle w:val="Compact"/>
              <w:jc w:val="left"/>
            </w:pPr>
            <w:r>
              <w:t xml:space="preserve">n/a</w:t>
            </w:r>
          </w:p>
        </w:tc>
        <w:tc>
          <w:tcPr/>
          <w:p>
            <w:pPr>
              <w:pStyle w:val="Compact"/>
              <w:jc w:val="left"/>
            </w:pPr>
            <w:r>
              <w:t xml:space="preserve">—</w:t>
            </w:r>
          </w:p>
        </w:tc>
        <w:tc>
          <w:tcPr/>
          <w:p>
            <w:pPr>
              <w:pStyle w:val="Compact"/>
              <w:jc w:val="left"/>
            </w:pPr>
            <w:r>
              <w:t xml:space="preserve">2.1</w:t>
            </w:r>
          </w:p>
        </w:tc>
        <w:tc>
          <w:tcPr/>
          <w:p>
            <w:pPr>
              <w:pStyle w:val="Compact"/>
              <w:jc w:val="left"/>
            </w:pPr>
            <w:r>
              <w:t xml:space="preserve">Tinggi</w:t>
            </w:r>
          </w:p>
        </w:tc>
      </w:tr>
    </w:tbl>
    <w:p>
      <w:pPr>
        <w:pStyle w:val="BodyText"/>
      </w:pPr>
      <w:r>
        <w:t xml:space="preserve">Catatan audit: (1) Kuartil SJR dinyatakan menurut pengetahuan penulis atas kategori utama jurnal dan harus dicek ulang di scimagojr.com untuk tahun terbit masing-masing; tiga jurnal diberi tanda VERIFIKASI. (2) Semua DOI ditulis dari ingatan penulis atas artikel yang isinya diketahui; nomor halaman dan volume perlu dicek ulang sebelum penyerahan. (3) Jumlah artikel jurnal berperingkat yang dipakai adalah 34, melebihi kisaran 12–18 yang disarankan, karena setiap konstruk teori di Bab 2 dan setiap faktor di Bab 4 membutuhkan minimal dua rujukan; artikel yang tidak dipakai dalam argumen telah dihapus.</w:t>
      </w:r>
    </w:p>
    <w:bookmarkEnd w:id="87"/>
    <w:sectPr>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d"/>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Times New Roman" w:eastAsia="Times New Roman" w:hAnsi="Times New Roman"/>
      <w:sz w:val="24"/>
    </w:rPr>
  </w:style>
  <w:style w:styleId="BodyText" w:type="paragraph">
    <w:name w:val="Body Text"/>
    <w:basedOn w:val="Normal"/>
    <w:link w:val="BodyTextChar"/>
    <w:pPr>
      <w:spacing w:after="120" w:before="180" w:line="276"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after="120" w:line="276" w:lineRule="auto"/>
    </w:pPr>
    <w:rPr>
      <w:rFonts w:ascii="Times New Roman" w:eastAsia="Times New Roman" w:hAnsi="Times New Roman"/>
      <w:sz w:val="24"/>
    </w:rPr>
  </w:style>
  <w:style w:customStyle="1" w:styleId="Compact" w:type="paragraph">
    <w:name w:val="Compact"/>
    <w:basedOn w:val="BodyText"/>
    <w:qFormat/>
    <w:pPr>
      <w:spacing w:after="120" w:before="36" w:line="276" w:lineRule="auto"/>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asciiTheme="majorHAnsi" w:cstheme="majorBidi" w:eastAsia="Times New Roman" w:eastAsiaTheme="majorEastAsia" w:hAnsi="Times New Roman" w:hAnsiTheme="majorHAnsi"/>
      <w:b/>
      <w:bCs/>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b/>
      <w:sz w:val="26"/>
      <w:szCs w:val="30"/>
    </w:rPr>
  </w:style>
  <w:style w:customStyle="1" w:styleId="Author" w:type="paragraph">
    <w:name w:val="Author"/>
    <w:next w:val="BodyText"/>
    <w:qFormat/>
    <w:pPr>
      <w:keepNext/>
      <w:keepLines/>
      <w:jc w:val="center"/>
    </w:pPr>
    <w:rPr>
      <w:rFonts w:ascii="Times New Roman" w:eastAsia="Times New Roman" w:hAnsi="Times New Roman"/>
      <w:b/>
      <w:sz w:val="24"/>
    </w:rPr>
  </w:style>
  <w:style w:styleId="Date" w:type="paragraph">
    <w:name w:val="Date"/>
    <w:next w:val="BodyText"/>
    <w:qFormat/>
    <w:pPr>
      <w:keepNext/>
      <w:keepLines/>
      <w:jc w:val="center"/>
    </w:pPr>
    <w:rPr>
      <w:rFonts w:ascii="Times New Roman" w:eastAsia="Times New Roman" w:hAnsi="Times New Roman"/>
      <w:b/>
      <w:sz w:val="24"/>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hAnsi="Times New Roman"/>
      <w:sz w:val="19"/>
    </w:rPr>
    <w:tblPr>
      <w:tblInd w:type="dxa" w:w="0"/>
      <w:tblCellMar>
        <w:top w:type="dxa" w:w="0"/>
        <w:left w:type="dxa" w:w="108"/>
        <w:bottom w:type="dxa" w:w="0"/>
        <w:right w:type="dxa" w:w="108"/>
      </w:tblCellMa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41" Target="media/rId41.png" /><Relationship Type="http://schemas.openxmlformats.org/officeDocument/2006/relationships/image" Id="rId69" Target="media/rId6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LINGKUNGAN EKSTERNAL DAN USULAN INOVASI STRATEGIS PT AKR CORPORINDO TBK (IDX: AKRA)</dc:title>
  <dc:creator>Disusun oleh: [NAMA MAHASISWA] — [NIM] — Kelas [KELAS]</dc:creator>
  <dc:language>id</dc:language>
  <cp:keywords/>
  <dcterms:created xsi:type="dcterms:W3CDTF">2026-10-24T10:00:47Z</dcterms:created>
  <dcterms:modified xsi:type="dcterms:W3CDTF">2026-10-24T10:00:47Z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Tugas Mata Kuliah General Business Environment — Program MBA, Fakultas Ekonomika dan Bisnis, Universitas Gadjah Mada — Dosen: Prof. Sony Warsono, MAFIS, Ph.D., CA — Oktober 2026</vt:lpwstr>
  </property>
  <property fmtid="{D5CDD505-2E9C-101B-9397-08002B2CF9AE}" pid="3" name="subtitle">
    <vt:lpwstr>Laporan Manajemen untuk Direksi dan Dewan Komisaris — Fokus pada Faktor Pemerintah &amp; Regulasi, Ekonomi, serta Teknologi &amp; Lingkungan (Transisi Energi), Horizon 2024–2028</vt:lpwstr>
  </property>
  <property fmtid="{D5CDD505-2E9C-101B-9397-08002B2CF9AE}" pid="4" name="toc-title">
    <vt:lpwstr>DAFTAR ISI</vt:lpwstr>
  </property>
</Properties>
</file>