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center"/>
      </w:pPr>
      <w:r>
        <w:rPr>
          <w:rFonts w:ascii="Times New Roman" w:cs="Times New Roman" w:eastAsia="Times New Roman" w:hAnsi="Times New Roman"/>
          <w:b/>
          <w:bCs/>
          <w:sz w:val="24"/>
          <w:szCs w:val="24"/>
        </w:rPr>
        <w:t xml:space="preserve">MAN 5422 STRATEGIC MANAGEMENT – MM UGM JAKARTA (SEMBA)</w:t>
      </w:r>
    </w:p>
    <w:p>
      <w:pPr>
        <w:spacing w:after="0" w:line="276"/>
        <w:jc w:val="center"/>
      </w:pPr>
      <w:r>
        <w:rPr>
          <w:rFonts w:ascii="Times New Roman" w:cs="Times New Roman" w:eastAsia="Times New Roman" w:hAnsi="Times New Roman"/>
          <w:b/>
          <w:bCs/>
          <w:sz w:val="24"/>
          <w:szCs w:val="24"/>
        </w:rPr>
        <w:t xml:space="preserve">Strategic Framework Report – Group 3</w:t>
      </w:r>
    </w:p>
    <w:p>
      <w:pPr>
        <w:spacing w:after="0" w:line="276"/>
        <w:jc w:val="center"/>
      </w:pPr>
      <w:r>
        <w:rPr>
          <w:rFonts w:ascii="Times New Roman" w:cs="Times New Roman" w:eastAsia="Times New Roman" w:hAnsi="Times New Roman"/>
          <w:b/>
          <w:bCs/>
          <w:sz w:val="28"/>
          <w:szCs w:val="28"/>
        </w:rPr>
        <w:t xml:space="preserve">The 4 Disciplines of Execution (4DX)</w:t>
      </w:r>
    </w:p>
    <w:p>
      <w:pPr>
        <w:spacing w:after="0" w:line="276"/>
        <w:jc w:val="center"/>
      </w:pPr>
      <w:r>
        <w:rPr>
          <w:rFonts w:ascii="Times New Roman" w:cs="Times New Roman" w:eastAsia="Times New Roman" w:hAnsi="Times New Roman"/>
          <w:i/>
          <w:iCs/>
          <w:sz w:val="24"/>
          <w:szCs w:val="24"/>
        </w:rPr>
        <w:t xml:space="preserve">In correlation with Chapter 10: Building an Organization Capable of Good Strategy Execution</w:t>
      </w:r>
    </w:p>
    <w:p>
      <w:pPr>
        <w:spacing w:after="120" w:line="276"/>
        <w:jc w:val="center"/>
      </w:pPr>
      <w:r>
        <w:rPr>
          <w:rFonts w:ascii="Times New Roman" w:cs="Times New Roman" w:eastAsia="Times New Roman" w:hAnsi="Times New Roman"/>
          <w:sz w:val="20"/>
          <w:szCs w:val="20"/>
        </w:rPr>
        <w:t xml:space="preserve">Members: Tifani Puspita, Dara Astrini Rahayu K., Richy Fatma Salsabila, Happy Dinithasari, Aslih Abnuri</w:t>
      </w:r>
      <w:r>
        <w:rPr>
          <w:rFonts w:ascii="Times New Roman" w:cs="Times New Roman" w:eastAsia="Times New Roman" w:hAnsi="Times New Roman"/>
          <w:sz w:val="20"/>
          <w:szCs w:val="20"/>
        </w:rPr>
        <w:t xml:space="preserve">  |  Session 9 (7 November 2026)  |  Lecturer: Dr. Rangga Almahendra, S.T., M.M.</w:t>
      </w:r>
    </w:p>
    <w:p>
      <w:pPr>
        <w:keepNext/>
        <w:spacing w:after="40" w:before="120" w:line="360"/>
      </w:pPr>
      <w:r>
        <w:rPr>
          <w:rFonts w:ascii="Times New Roman" w:cs="Times New Roman" w:eastAsia="Times New Roman" w:hAnsi="Times New Roman"/>
          <w:b/>
          <w:bCs/>
          <w:sz w:val="24"/>
          <w:szCs w:val="24"/>
        </w:rPr>
        <w:t xml:space="preserve">1. The Framework and Why It Fits Chapter 10</w:t>
      </w:r>
    </w:p>
    <w:p>
      <w:pPr>
        <w:spacing w:after="80" w:line="360"/>
        <w:jc w:val="both"/>
      </w:pPr>
      <w:r>
        <w:rPr>
          <w:rFonts w:ascii="Times New Roman" w:cs="Times New Roman" w:eastAsia="Times New Roman" w:hAnsi="Times New Roman"/>
          <w:sz w:val="24"/>
          <w:szCs w:val="24"/>
        </w:rPr>
        <w:t xml:space="preserve">The 4 Disciplines of Execution (4DX) is an execution system developed by FranklinCovey and published by McChesney, Covey and Huling (2012). </w:t>
      </w:r>
      <w:r>
        <w:rPr>
          <w:rFonts w:ascii="Times New Roman" w:cs="Times New Roman" w:eastAsia="Times New Roman" w:hAnsi="Times New Roman"/>
          <w:sz w:val="24"/>
          <w:szCs w:val="24"/>
        </w:rPr>
        <w:t xml:space="preserve">FranklinCovey reports that organisations spend more than USD 30 billion a year on strategy creation, yet more than 80% of those strategies fail in execution (FranklinCovey, 2024), because the daily “whirlwind” of running the operation crowds out new strategic goals. </w:t>
      </w:r>
      <w:r>
        <w:rPr>
          <w:rFonts w:ascii="Times New Roman" w:cs="Times New Roman" w:eastAsia="Times New Roman" w:hAnsi="Times New Roman"/>
          <w:sz w:val="24"/>
          <w:szCs w:val="24"/>
        </w:rPr>
        <w:t xml:space="preserve">Thompson et al. (2024, p. 295) note that “it is much easier to develop a sound strategic plan than it is to execute the plan”, frame execution as “primarily operations-driven”, and identify three key organisation-building actions (Figure 10.2, p. 299): staffing the organisation, acquiring and strengthening resources and capabilities, and structuring the organisation and work effort. </w:t>
      </w:r>
      <w:r>
        <w:rPr>
          <w:rFonts w:ascii="Times New Roman" w:cs="Times New Roman" w:eastAsia="Times New Roman" w:hAnsi="Times New Roman"/>
          <w:sz w:val="24"/>
          <w:szCs w:val="24"/>
        </w:rPr>
        <w:t xml:space="preserve">Chapter 10 explains </w:t>
      </w:r>
      <w:r>
        <w:rPr>
          <w:rFonts w:ascii="Times New Roman" w:cs="Times New Roman" w:eastAsia="Times New Roman" w:hAnsi="Times New Roman"/>
          <w:i/>
          <w:iCs/>
          <w:sz w:val="24"/>
          <w:szCs w:val="24"/>
        </w:rPr>
        <w:t xml:space="preserve">what</w:t>
      </w:r>
      <w:r>
        <w:rPr>
          <w:rFonts w:ascii="Times New Roman" w:cs="Times New Roman" w:eastAsia="Times New Roman" w:hAnsi="Times New Roman"/>
          <w:sz w:val="24"/>
          <w:szCs w:val="24"/>
        </w:rPr>
        <w:t xml:space="preserve"> an organisation must be capable of; 4DX prescribes </w:t>
      </w:r>
      <w:r>
        <w:rPr>
          <w:rFonts w:ascii="Times New Roman" w:cs="Times New Roman" w:eastAsia="Times New Roman" w:hAnsi="Times New Roman"/>
          <w:i/>
          <w:iCs/>
          <w:sz w:val="24"/>
          <w:szCs w:val="24"/>
        </w:rPr>
        <w:t xml:space="preserve">how</w:t>
      </w:r>
      <w:r>
        <w:rPr>
          <w:rFonts w:ascii="Times New Roman" w:cs="Times New Roman" w:eastAsia="Times New Roman" w:hAnsi="Times New Roman"/>
          <w:sz w:val="24"/>
          <w:szCs w:val="24"/>
        </w:rPr>
        <w:t xml:space="preserve"> teams behave week by week so those capabilities deliver the strategy.</w:t>
      </w:r>
    </w:p>
    <w:p>
      <w:pPr>
        <w:keepNext/>
        <w:spacing w:after="40" w:before="120" w:line="360"/>
      </w:pPr>
      <w:r>
        <w:rPr>
          <w:rFonts w:ascii="Times New Roman" w:cs="Times New Roman" w:eastAsia="Times New Roman" w:hAnsi="Times New Roman"/>
          <w:b/>
          <w:bCs/>
          <w:sz w:val="24"/>
          <w:szCs w:val="24"/>
        </w:rPr>
        <w:t xml:space="preserve">2. Key Dimensions and Measures of the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360"/>
      </w:tblGrid>
      <w:tr>
        <w:trPr>
          <w:tblHeader/>
        </w:trPr>
        <w:tc>
          <w:tcPr>
            <w:tcW w:type="dxa" w:w="17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40"/>
            </w:pPr>
            <w:r>
              <w:rPr>
                <w:rFonts w:ascii="Times New Roman" w:cs="Times New Roman" w:eastAsia="Times New Roman" w:hAnsi="Times New Roman"/>
                <w:b/>
                <w:bCs/>
                <w:sz w:val="20"/>
                <w:szCs w:val="20"/>
              </w:rPr>
              <w:t xml:space="preserve">Discipline (dimension)</w:t>
            </w:r>
          </w:p>
        </w:tc>
        <w:tc>
          <w:tcPr>
            <w:tcW w:type="dxa" w:w="3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40"/>
            </w:pPr>
            <w:r>
              <w:rPr>
                <w:rFonts w:ascii="Times New Roman" w:cs="Times New Roman" w:eastAsia="Times New Roman" w:hAnsi="Times New Roman"/>
                <w:b/>
                <w:bCs/>
                <w:sz w:val="20"/>
                <w:szCs w:val="20"/>
              </w:rPr>
              <w:t xml:space="preserve">Definition</w:t>
            </w:r>
          </w:p>
        </w:tc>
        <w:tc>
          <w:tcPr>
            <w:tcW w:type="dxa" w:w="436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40"/>
            </w:pPr>
            <w:r>
              <w:rPr>
                <w:rFonts w:ascii="Times New Roman" w:cs="Times New Roman" w:eastAsia="Times New Roman" w:hAnsi="Times New Roman"/>
                <w:b/>
                <w:bCs/>
                <w:sz w:val="20"/>
                <w:szCs w:val="20"/>
              </w:rPr>
              <w:t xml:space="preserve">Key measures / indicators</w:t>
            </w:r>
          </w:p>
        </w:tc>
      </w:tr>
      <w:tr>
        <w:trPr>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1. Focus on the Wildly Important (WIG)</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Narrow the strategic focus to one or two Wildly Important Goals per team, stated as “from X to Y by when”, outside the daily “whirlwind”.</w:t>
            </w:r>
          </w:p>
        </w:tc>
        <w:tc>
          <w:tcPr>
            <w:tcW w:type="dxa" w:w="4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Number of WIGs per team (max. 2); a lag measure with baseline, target and deadline (e.g., on-time delivery from 82% to 95% by 31 Dec).</w:t>
            </w:r>
          </w:p>
        </w:tc>
      </w:tr>
      <w:tr>
        <w:trPr>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2. Act on the Lead Measures</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Identify the few high-leverage activities that are predictive of the WIG and influenceable by the team, then act on them weekly.</w:t>
            </w:r>
          </w:p>
        </w:tc>
        <w:tc>
          <w:tcPr>
            <w:tcW w:type="dxa" w:w="4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Lead measures: predictive and influenceable behaviours (e.g., number of proactive customer visits per week; % of orders confirmed within 24 hours).</w:t>
            </w:r>
          </w:p>
        </w:tc>
      </w:tr>
      <w:tr>
        <w:trPr>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3. Keep a Compelling Scoreboard</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A simple, visible “players’ scoreboard” that shows lead and lag measures so the team knows instantly whether it is winning or losing.</w:t>
            </w:r>
          </w:p>
        </w:tc>
        <w:tc>
          <w:tcPr>
            <w:tcW w:type="dxa" w:w="4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Scoreboard criteria: simple, visible to the team, shows both lead and lag, and tells at a glance if the team is winning.</w:t>
            </w:r>
          </w:p>
        </w:tc>
      </w:tr>
      <w:tr>
        <w:trPr>
          <w:tblHeader w:val="false"/>
        </w:trPr>
        <w:tc>
          <w:tcPr>
            <w:tcW w:type="dxa" w:w="17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4. Create a Cadence of Accountability</w:t>
            </w:r>
          </w:p>
        </w:tc>
        <w:tc>
          <w:tcPr>
            <w:tcW w:type="dxa" w:w="3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A short weekly WIG session in which each member reports on last week’s commitments, reviews the scoreboard and makes new commitments.</w:t>
            </w:r>
          </w:p>
        </w:tc>
        <w:tc>
          <w:tcPr>
            <w:tcW w:type="dxa" w:w="436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40"/>
            </w:pPr>
            <w:r>
              <w:rPr>
                <w:rFonts w:ascii="Times New Roman" w:cs="Times New Roman" w:eastAsia="Times New Roman" w:hAnsi="Times New Roman"/>
                <w:b w:val="false"/>
                <w:bCs w:val="false"/>
                <w:sz w:val="20"/>
                <w:szCs w:val="20"/>
              </w:rPr>
              <w:t xml:space="preserve">WIG session held weekly (20–30 min); % of commitments kept; scoreboard movement week-on-week.</w:t>
            </w:r>
          </w:p>
        </w:tc>
      </w:tr>
    </w:tbl>
    <w:p>
      <w:pPr>
        <w:spacing w:after="80" w:before="40" w:line="240"/>
      </w:pPr>
      <w:r>
        <w:rPr>
          <w:rFonts w:ascii="Times New Roman" w:cs="Times New Roman" w:eastAsia="Times New Roman" w:hAnsi="Times New Roman"/>
          <w:i/>
          <w:iCs/>
          <w:sz w:val="18"/>
          <w:szCs w:val="18"/>
        </w:rPr>
        <w:t xml:space="preserve">Table 1. Dimensions, definitions and measures of 4DX (adapted from McChesney, Covey &amp; Huling, 2012).</w:t>
      </w:r>
    </w:p>
    <w:p>
      <w:pPr>
        <w:keepNext/>
        <w:spacing w:after="40" w:before="120" w:line="360"/>
      </w:pPr>
      <w:r>
        <w:rPr>
          <w:rFonts w:ascii="Times New Roman" w:cs="Times New Roman" w:eastAsia="Times New Roman" w:hAnsi="Times New Roman"/>
          <w:b/>
          <w:bCs/>
          <w:sz w:val="24"/>
          <w:szCs w:val="24"/>
        </w:rPr>
        <w:t xml:space="preserve">3. How the Dimensions Are Defined</w:t>
      </w:r>
    </w:p>
    <w:p>
      <w:pPr>
        <w:spacing w:after="80" w:line="360"/>
        <w:jc w:val="both"/>
      </w:pPr>
      <w:r>
        <w:rPr>
          <w:rFonts w:ascii="Times New Roman" w:cs="Times New Roman" w:eastAsia="Times New Roman" w:hAnsi="Times New Roman"/>
          <w:b/>
          <w:bCs/>
          <w:sz w:val="24"/>
          <w:szCs w:val="24"/>
        </w:rPr>
        <w:t xml:space="preserve">Lag versus lead measures. </w:t>
      </w:r>
      <w:r>
        <w:rPr>
          <w:rFonts w:ascii="Times New Roman" w:cs="Times New Roman" w:eastAsia="Times New Roman" w:hAnsi="Times New Roman"/>
          <w:sz w:val="24"/>
          <w:szCs w:val="24"/>
        </w:rPr>
        <w:t xml:space="preserve">A lag measure (revenue, market share, defect rate) reports a result after it is history. A lead measure must pass two tests: it is </w:t>
      </w:r>
      <w:r>
        <w:rPr>
          <w:rFonts w:ascii="Times New Roman" w:cs="Times New Roman" w:eastAsia="Times New Roman" w:hAnsi="Times New Roman"/>
          <w:i/>
          <w:iCs/>
          <w:sz w:val="24"/>
          <w:szCs w:val="24"/>
        </w:rPr>
        <w:t xml:space="preserve">predictive</w:t>
      </w:r>
      <w:r>
        <w:rPr>
          <w:rFonts w:ascii="Times New Roman" w:cs="Times New Roman" w:eastAsia="Times New Roman" w:hAnsi="Times New Roman"/>
          <w:sz w:val="24"/>
          <w:szCs w:val="24"/>
        </w:rPr>
        <w:t xml:space="preserve"> of the lag measure and it is </w:t>
      </w:r>
      <w:r>
        <w:rPr>
          <w:rFonts w:ascii="Times New Roman" w:cs="Times New Roman" w:eastAsia="Times New Roman" w:hAnsi="Times New Roman"/>
          <w:i/>
          <w:iCs/>
          <w:sz w:val="24"/>
          <w:szCs w:val="24"/>
        </w:rPr>
        <w:t xml:space="preserve">influenceable</w:t>
      </w:r>
      <w:r>
        <w:rPr>
          <w:rFonts w:ascii="Times New Roman" w:cs="Times New Roman" w:eastAsia="Times New Roman" w:hAnsi="Times New Roman"/>
          <w:sz w:val="24"/>
          <w:szCs w:val="24"/>
        </w:rPr>
        <w:t xml:space="preserve"> by the team itself.</w:t>
      </w:r>
    </w:p>
    <w:p>
      <w:pPr>
        <w:spacing w:after="80" w:line="360"/>
        <w:jc w:val="both"/>
      </w:pPr>
      <w:r>
        <w:rPr>
          <w:rFonts w:ascii="Times New Roman" w:cs="Times New Roman" w:eastAsia="Times New Roman" w:hAnsi="Times New Roman"/>
          <w:b/>
          <w:bCs/>
          <w:sz w:val="24"/>
          <w:szCs w:val="24"/>
        </w:rPr>
        <w:t xml:space="preserve">WIG rule and formula. </w:t>
      </w:r>
      <w:r>
        <w:rPr>
          <w:rFonts w:ascii="Times New Roman" w:cs="Times New Roman" w:eastAsia="Times New Roman" w:hAnsi="Times New Roman"/>
          <w:sz w:val="24"/>
          <w:szCs w:val="24"/>
        </w:rPr>
        <w:t xml:space="preserve">A team holds at most two WIGs, each written as “from X to Y by when”; team WIGs must feed the organisational WIG, giving a line of sight from boardroom to frontline.</w:t>
      </w:r>
    </w:p>
    <w:p>
      <w:pPr>
        <w:spacing w:after="80" w:line="360"/>
        <w:jc w:val="both"/>
      </w:pPr>
      <w:r>
        <w:rPr>
          <w:rFonts w:ascii="Times New Roman" w:cs="Times New Roman" w:eastAsia="Times New Roman" w:hAnsi="Times New Roman"/>
          <w:b/>
          <w:bCs/>
          <w:sz w:val="24"/>
          <w:szCs w:val="24"/>
        </w:rPr>
        <w:t xml:space="preserve">Scoreboard and cadence. </w:t>
      </w:r>
      <w:r>
        <w:rPr>
          <w:rFonts w:ascii="Times New Roman" w:cs="Times New Roman" w:eastAsia="Times New Roman" w:hAnsi="Times New Roman"/>
          <w:sz w:val="24"/>
          <w:szCs w:val="24"/>
        </w:rPr>
        <w:t xml:space="preserve">The scoreboard is a “players’ scoreboard”, not a manager’s dashboard: simple, visible, lead and lag together, readable in five seconds. The cadence is a weekly 20–30 minute WIG session (account for last week’s commitments, review the scoreboard, commit for next week). Discipline 4 is where execution happens, because it converts strategy into weekly personal commitments.</w:t>
      </w:r>
    </w:p>
    <w:p>
      <w:pPr>
        <w:keepNext/>
        <w:spacing w:after="40" w:before="120" w:line="360"/>
      </w:pPr>
      <w:r>
        <w:rPr>
          <w:rFonts w:ascii="Times New Roman" w:cs="Times New Roman" w:eastAsia="Times New Roman" w:hAnsi="Times New Roman"/>
          <w:b/>
          <w:bCs/>
          <w:sz w:val="24"/>
          <w:szCs w:val="24"/>
        </w:rPr>
        <w:t xml:space="preserve">4. Correlation with Chapter 10 Concepts</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Staffing the organisation: </w:t>
      </w:r>
      <w:r>
        <w:rPr>
          <w:rFonts w:ascii="Times New Roman" w:cs="Times New Roman" w:eastAsia="Times New Roman" w:hAnsi="Times New Roman"/>
          <w:sz w:val="24"/>
          <w:szCs w:val="24"/>
        </w:rPr>
        <w:t xml:space="preserve">weekly WIG sessions reveal who consistently delivers, supporting the chapter’s call for “a critical mass of talented managers who can function as agents of change” (p. 301).</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Building competitive capabilities: </w:t>
      </w:r>
      <w:r>
        <w:rPr>
          <w:rFonts w:ascii="Times New Roman" w:cs="Times New Roman" w:eastAsia="Times New Roman" w:hAnsi="Times New Roman"/>
          <w:sz w:val="24"/>
          <w:szCs w:val="24"/>
        </w:rPr>
        <w:t xml:space="preserve">lead measures are the behaviours that form a capability; repeating them weekly turns skills into competence, consistent with capability building as “a multistage process that occurs over a period of months and years” (p. 305) and with execution capabilities as the most durable advantage when strategies are easy to copy (p. 308).</w:t>
      </w:r>
    </w:p>
    <w:p>
      <w:pPr>
        <w:pStyle w:val="ListParagraph"/>
        <w:numPr>
          <w:ilvl w:val="0"/>
          <w:numId w:val="2"/>
        </w:numPr>
        <w:spacing w:after="40" w:line="360"/>
        <w:jc w:val="both"/>
      </w:pPr>
      <w:r>
        <w:rPr>
          <w:rFonts w:ascii="Times New Roman" w:cs="Times New Roman" w:eastAsia="Times New Roman" w:hAnsi="Times New Roman"/>
          <w:b/>
          <w:bCs/>
          <w:sz w:val="24"/>
          <w:szCs w:val="24"/>
        </w:rPr>
        <w:t xml:space="preserve">Structuring the organisation: </w:t>
      </w:r>
      <w:r>
        <w:rPr>
          <w:rFonts w:ascii="Times New Roman" w:cs="Times New Roman" w:eastAsia="Times New Roman" w:hAnsi="Times New Roman"/>
          <w:sz w:val="24"/>
          <w:szCs w:val="24"/>
        </w:rPr>
        <w:t xml:space="preserve">4DX gives teams authority over their lead measures, matching the advice to push decisions “to the lowest organizational level capable of making timely, informed, competent decisions” (p. 318) and the Core Concept that “good strategy execution requires a team effort” (p. 296).</w:t>
      </w:r>
    </w:p>
    <w:p>
      <w:pPr>
        <w:keepNext/>
        <w:spacing w:after="40" w:before="120" w:line="360"/>
      </w:pPr>
      <w:r>
        <w:rPr>
          <w:rFonts w:ascii="Times New Roman" w:cs="Times New Roman" w:eastAsia="Times New Roman" w:hAnsi="Times New Roman"/>
          <w:b/>
          <w:bCs/>
          <w:sz w:val="24"/>
          <w:szCs w:val="24"/>
        </w:rPr>
        <w:t xml:space="preserve">5. Benefits in the Context of International Business</w:t>
      </w:r>
    </w:p>
    <w:p>
      <w:pPr>
        <w:spacing w:after="80" w:line="360"/>
        <w:jc w:val="both"/>
      </w:pPr>
      <w:r>
        <w:rPr>
          <w:rFonts w:ascii="Times New Roman" w:cs="Times New Roman" w:eastAsia="Times New Roman" w:hAnsi="Times New Roman"/>
          <w:sz w:val="24"/>
          <w:szCs w:val="24"/>
        </w:rPr>
        <w:t xml:space="preserve">First, </w:t>
      </w:r>
      <w:r>
        <w:rPr>
          <w:rFonts w:ascii="Times New Roman" w:cs="Times New Roman" w:eastAsia="Times New Roman" w:hAnsi="Times New Roman"/>
          <w:b/>
          <w:bCs/>
          <w:sz w:val="24"/>
          <w:szCs w:val="24"/>
        </w:rPr>
        <w:t xml:space="preserve">focus across borders: </w:t>
      </w:r>
      <w:r>
        <w:rPr>
          <w:rFonts w:ascii="Times New Roman" w:cs="Times New Roman" w:eastAsia="Times New Roman" w:hAnsi="Times New Roman"/>
          <w:sz w:val="24"/>
          <w:szCs w:val="24"/>
        </w:rPr>
        <w:t xml:space="preserve">the two-WIG rule forces each country unit to align on the few goals that matter for the global strategy, curbing the initiative overload typical of matrix organisations. Second, </w:t>
      </w:r>
      <w:r>
        <w:rPr>
          <w:rFonts w:ascii="Times New Roman" w:cs="Times New Roman" w:eastAsia="Times New Roman" w:hAnsi="Times New Roman"/>
          <w:b/>
          <w:bCs/>
          <w:sz w:val="24"/>
          <w:szCs w:val="24"/>
        </w:rPr>
        <w:t xml:space="preserve">common language: </w:t>
      </w:r>
      <w:r>
        <w:rPr>
          <w:rFonts w:ascii="Times New Roman" w:cs="Times New Roman" w:eastAsia="Times New Roman" w:hAnsi="Times New Roman"/>
          <w:sz w:val="24"/>
          <w:szCs w:val="24"/>
        </w:rPr>
        <w:t xml:space="preserve">lead measures and scoreboards translate easily, so subsidiaries in Jakarta and Dubai can be compared on the same behaviours. Third, </w:t>
      </w:r>
      <w:r>
        <w:rPr>
          <w:rFonts w:ascii="Times New Roman" w:cs="Times New Roman" w:eastAsia="Times New Roman" w:hAnsi="Times New Roman"/>
          <w:b/>
          <w:bCs/>
          <w:sz w:val="24"/>
          <w:szCs w:val="24"/>
        </w:rPr>
        <w:t xml:space="preserve">accountability at distance: </w:t>
      </w:r>
      <w:r>
        <w:rPr>
          <w:rFonts w:ascii="Times New Roman" w:cs="Times New Roman" w:eastAsia="Times New Roman" w:hAnsi="Times New Roman"/>
          <w:sz w:val="24"/>
          <w:szCs w:val="24"/>
        </w:rPr>
        <w:t xml:space="preserve">the weekly WIG session is a light governance rhythm that works virtually across time zones. Fourth, </w:t>
      </w:r>
      <w:r>
        <w:rPr>
          <w:rFonts w:ascii="Times New Roman" w:cs="Times New Roman" w:eastAsia="Times New Roman" w:hAnsi="Times New Roman"/>
          <w:b/>
          <w:bCs/>
          <w:sz w:val="24"/>
          <w:szCs w:val="24"/>
        </w:rPr>
        <w:t xml:space="preserve">local adaptation with global alignment: </w:t>
      </w:r>
      <w:r>
        <w:rPr>
          <w:rFonts w:ascii="Times New Roman" w:cs="Times New Roman" w:eastAsia="Times New Roman" w:hAnsi="Times New Roman"/>
          <w:sz w:val="24"/>
          <w:szCs w:val="24"/>
        </w:rPr>
        <w:t xml:space="preserve">head office sets the lag measure while each country team chooses its own lead measures, so local knowledge is used without losing coherence. Reported results include Whirlpool’s USD 5.7 million gain in 90 days and DeKalb Medical’s rise from the 3rd to the 99th percentile in patient satisfaction (FranklinCovey, 2024).</w:t>
      </w:r>
    </w:p>
    <w:p>
      <w:pPr>
        <w:keepNext/>
        <w:spacing w:after="40" w:before="120" w:line="360"/>
      </w:pPr>
      <w:r>
        <w:rPr>
          <w:rFonts w:ascii="Times New Roman" w:cs="Times New Roman" w:eastAsia="Times New Roman" w:hAnsi="Times New Roman"/>
          <w:b/>
          <w:bCs/>
          <w:sz w:val="24"/>
          <w:szCs w:val="24"/>
        </w:rPr>
        <w:t xml:space="preserve">6. Critical Assessment</w:t>
      </w:r>
    </w:p>
    <w:p>
      <w:pPr>
        <w:spacing w:after="80" w:line="360"/>
        <w:jc w:val="both"/>
      </w:pPr>
      <w:r>
        <w:rPr>
          <w:rFonts w:ascii="Times New Roman" w:cs="Times New Roman" w:eastAsia="Times New Roman" w:hAnsi="Times New Roman"/>
          <w:sz w:val="24"/>
          <w:szCs w:val="24"/>
        </w:rPr>
        <w:t xml:space="preserve">4DX is silent on strategy content: it executes a bad strategy as faithfully as a good one, so it must sit downstream of the analysis in Chapters 3–8. Its evidence base is mostly vendor case studies. The weekly cadence turns ritualistic if treated as reporting rather than problem-solving, and in high power-distance cultures such as Indonesia members may hesitate to admit missed commitments, so leaders must model psychological safety. WIGs must also be revisited when the environment shifts, or the model delivers disciplined execution of an outdated goal.</w:t>
      </w:r>
    </w:p>
    <w:p>
      <w:pPr>
        <w:keepNext/>
        <w:spacing w:after="40" w:before="120" w:line="360"/>
      </w:pPr>
      <w:r>
        <w:rPr>
          <w:rFonts w:ascii="Times New Roman" w:cs="Times New Roman" w:eastAsia="Times New Roman" w:hAnsi="Times New Roman"/>
          <w:b/>
          <w:bCs/>
          <w:sz w:val="24"/>
          <w:szCs w:val="24"/>
        </w:rPr>
        <w:t xml:space="preserve">References</w:t>
      </w:r>
    </w:p>
    <w:p>
      <w:pPr>
        <w:spacing w:after="40" w:line="276"/>
        <w:ind w:left="567" w:hanging="567"/>
      </w:pPr>
      <w:r>
        <w:rPr>
          <w:rFonts w:ascii="Times New Roman" w:cs="Times New Roman" w:eastAsia="Times New Roman" w:hAnsi="Times New Roman"/>
          <w:sz w:val="20"/>
          <w:szCs w:val="20"/>
        </w:rPr>
        <w:t xml:space="preserve">FranklinCovey. (2024). </w:t>
      </w:r>
      <w:r>
        <w:rPr>
          <w:rFonts w:ascii="Times New Roman" w:cs="Times New Roman" w:eastAsia="Times New Roman" w:hAnsi="Times New Roman"/>
          <w:i/>
          <w:iCs/>
          <w:sz w:val="20"/>
          <w:szCs w:val="20"/>
        </w:rPr>
        <w:t xml:space="preserve">The 4 Disciplines of Execution®</w:t>
      </w:r>
      <w:r>
        <w:rPr>
          <w:rFonts w:ascii="Times New Roman" w:cs="Times New Roman" w:eastAsia="Times New Roman" w:hAnsi="Times New Roman"/>
          <w:sz w:val="20"/>
          <w:szCs w:val="20"/>
        </w:rPr>
        <w:t xml:space="preserve">. https://www.franklincovey.com/the-4-disciplines/</w:t>
      </w:r>
    </w:p>
    <w:p>
      <w:pPr>
        <w:spacing w:after="40" w:line="276"/>
        <w:ind w:left="567" w:hanging="567"/>
      </w:pPr>
      <w:r>
        <w:rPr>
          <w:rFonts w:ascii="Times New Roman" w:cs="Times New Roman" w:eastAsia="Times New Roman" w:hAnsi="Times New Roman"/>
          <w:sz w:val="20"/>
          <w:szCs w:val="20"/>
        </w:rPr>
        <w:t xml:space="preserve">McChesney, C., Covey, S., &amp; Huling, J. (2012). </w:t>
      </w:r>
      <w:r>
        <w:rPr>
          <w:rFonts w:ascii="Times New Roman" w:cs="Times New Roman" w:eastAsia="Times New Roman" w:hAnsi="Times New Roman"/>
          <w:i/>
          <w:iCs/>
          <w:sz w:val="20"/>
          <w:szCs w:val="20"/>
        </w:rPr>
        <w:t xml:space="preserve">The 4 Disciplines of Execution: Achieving Your Wildly Important Goals</w:t>
      </w:r>
      <w:r>
        <w:rPr>
          <w:rFonts w:ascii="Times New Roman" w:cs="Times New Roman" w:eastAsia="Times New Roman" w:hAnsi="Times New Roman"/>
          <w:sz w:val="20"/>
          <w:szCs w:val="20"/>
        </w:rPr>
        <w:t xml:space="preserve">. New York: Free Press.</w:t>
      </w:r>
    </w:p>
    <w:p>
      <w:pPr>
        <w:spacing w:after="40" w:line="276"/>
        <w:ind w:left="567" w:hanging="567"/>
      </w:pPr>
      <w:r>
        <w:rPr>
          <w:rFonts w:ascii="Times New Roman" w:cs="Times New Roman" w:eastAsia="Times New Roman" w:hAnsi="Times New Roman"/>
          <w:sz w:val="20"/>
          <w:szCs w:val="20"/>
        </w:rPr>
        <w:t xml:space="preserve">Thompson, A. A., Peteraf, M. A., Gamble, J. E., &amp; Strickland, A. J. (2024). </w:t>
      </w:r>
      <w:r>
        <w:rPr>
          <w:rFonts w:ascii="Times New Roman" w:cs="Times New Roman" w:eastAsia="Times New Roman" w:hAnsi="Times New Roman"/>
          <w:i/>
          <w:iCs/>
          <w:sz w:val="20"/>
          <w:szCs w:val="20"/>
        </w:rPr>
        <w:t xml:space="preserve">Crafting &amp; Executing Strategy: The Quest for Competitive Advantage: Concepts and Cases</w:t>
      </w:r>
      <w:r>
        <w:rPr>
          <w:rFonts w:ascii="Times New Roman" w:cs="Times New Roman" w:eastAsia="Times New Roman" w:hAnsi="Times New Roman"/>
          <w:sz w:val="20"/>
          <w:szCs w:val="20"/>
        </w:rPr>
        <w:t xml:space="preserve"> (2024 Release), Chapter 10, pp. 294–325. New York: McGraw Hill.</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SMJKT_Group 3_Framework Presentation: 4DX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SMJKT_Group 3_Framework 4DX</dc:title>
  <dc:creator>Group 3</dc:creator>
  <cp:lastModifiedBy>Un-named</cp:lastModifiedBy>
  <cp:revision>1</cp:revision>
  <dcterms:created xsi:type="dcterms:W3CDTF">2026-09-12T10:15:47.957Z</dcterms:created>
  <dcterms:modified xsi:type="dcterms:W3CDTF">2026-09-12T10:15:47.957Z</dcterms:modified>
</cp:coreProperties>
</file>

<file path=docProps/custom.xml><?xml version="1.0" encoding="utf-8"?>
<Properties xmlns="http://schemas.openxmlformats.org/officeDocument/2006/custom-properties" xmlns:vt="http://schemas.openxmlformats.org/officeDocument/2006/docPropsVTypes"/>
</file>