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A628" w14:textId="77777777" w:rsidR="00450082" w:rsidRPr="00450082" w:rsidRDefault="00450082" w:rsidP="00450082"/>
    <w:p w14:paraId="0B8142EC" w14:textId="77777777" w:rsidR="00450082" w:rsidRPr="00450082" w:rsidRDefault="00450082" w:rsidP="00450082">
      <w:pPr>
        <w:numPr>
          <w:ilvl w:val="0"/>
          <w:numId w:val="2"/>
        </w:numPr>
        <w:rPr>
          <w:b/>
          <w:bCs/>
        </w:rPr>
      </w:pPr>
      <w:r w:rsidRPr="00450082">
        <w:t>Methods</w:t>
      </w:r>
    </w:p>
    <w:p w14:paraId="78F121E9" w14:textId="77777777" w:rsidR="00450082" w:rsidRPr="00450082" w:rsidRDefault="00450082" w:rsidP="00450082">
      <w:pPr>
        <w:numPr>
          <w:ilvl w:val="1"/>
          <w:numId w:val="2"/>
        </w:numPr>
        <w:rPr>
          <w:b/>
          <w:bCs/>
        </w:rPr>
      </w:pPr>
      <w:r w:rsidRPr="00450082">
        <w:t>Participants</w:t>
      </w:r>
    </w:p>
    <w:p w14:paraId="55AEE11A" w14:textId="77777777" w:rsidR="00450082" w:rsidRPr="00450082" w:rsidRDefault="00450082" w:rsidP="00450082">
      <w:r w:rsidRPr="00450082">
        <w:t>Data for this study were collected from the Parkinson’s Progression Marker Initiative (PPMI), an ongoing international, multi-site, longitudinal data collection study designed to identify biomarkers of Parkinson’s disease (PD). Detailed descriptions of the recruitment and data collection procedures, including MRI acquisition, can be found by referencing the following publication (Marek et al., 2018). All participants completed 3T MRI scanning protocols that included T1-weighted and diffusion-weighted imaging (DWI) sequences. The clinical and MRI data underwent an additional quality control process to ensure that the highest-quality data were used in training our model. Our sample from PPMI (N = 106) included participants a) diagnosed with PD no more than two years prior to their baseline MRI and clinical assessments in the PPMI study, b) who were drug naïve (i.e., had not yet received symptomatic treatment) at baseline, and c) who were evaluated as having Hoehn and Yahr stage less than three at baseline (i.e., mild-stage PD).</w:t>
      </w:r>
    </w:p>
    <w:p w14:paraId="30FE8D38" w14:textId="77777777" w:rsidR="00450082" w:rsidRPr="00450082" w:rsidRDefault="00450082" w:rsidP="00450082">
      <w:pPr>
        <w:numPr>
          <w:ilvl w:val="0"/>
          <w:numId w:val="3"/>
        </w:numPr>
        <w:rPr>
          <w:b/>
          <w:bCs/>
        </w:rPr>
      </w:pPr>
      <w:r w:rsidRPr="00450082">
        <w:t>FOG definition</w:t>
      </w:r>
    </w:p>
    <w:p w14:paraId="307C70F7" w14:textId="77777777" w:rsidR="00450082" w:rsidRPr="00450082" w:rsidRDefault="00450082" w:rsidP="00450082">
      <w:r w:rsidRPr="00450082">
        <w:t>In the present study, FOG was assessed using the MDS-UPDRS (Movement Disorders Society- Unified Parkinson’s Disease Rating Scale) section II, item 13, for self-reported freezing, and section III, item 11, for observed freezing of gait. The MDS-UPDRS Part II assessed motor experiences of daily living and was administered as a questionnaire completed by participants at baseline and at each follow-up visit. MDS-UPDRS part III assessed motor signs of PD, which was administered and scored by a neurologist. Once participants had started treatment (i.e., dopamine replacement therapy), the motor assessment would be repeated annually, both in an on and off-medication state (ON-state and OFF-state, respectively). Some participants—while receiving medication—may have only had ON-state assessments at select follow-up events due to the participant forgetting to abstain from their medication, scheduling conflicts, or in cases where symptom severity restricted assessments to ON-state only. </w:t>
      </w:r>
    </w:p>
    <w:p w14:paraId="3106827B" w14:textId="77777777" w:rsidR="00450082" w:rsidRPr="00450082" w:rsidRDefault="00450082" w:rsidP="00450082">
      <w:r w:rsidRPr="00450082">
        <w:t xml:space="preserve">Conventional FOG definitions would label participants scoring above zero on either assessment at any visit after baseline as having developed FOG. However, due to important limitations related to dopamine-response subtypes of FOG, the present study refined these criteria to exclude participants who froze only when drug-naïve or in the OFF state, thereby enriching the FOG class with patients whose freezing was relatively less responsive to dopamine and mitigating the effects of potentially conflicting etiology between different subtypes of FOG. An upper limit for the follow-up duration </w:t>
      </w:r>
      <w:r w:rsidRPr="00450082">
        <w:rPr>
          <w:i/>
          <w:iCs/>
        </w:rPr>
        <w:t>from diagnosis</w:t>
      </w:r>
      <w:r w:rsidRPr="00450082">
        <w:t xml:space="preserve"> to identify FOG onset was set at eight years to ensure label accuracy. Non-FOG labels required a lower limit of five years of negative follow-up. The lower limit of five years, rather than eight, was chosen to maximize our sample size while retaining the prior standard for five years of follow-up for non-FOG inclusion (Lin et al., 2024; Wang et al., 2022). While this lower bound was set to optimize our sample size, the mean total available follow-up from diagnosis for our non-FOG group was 123.9 months, suggesting that most patients we labelled as non-FOG were accurately categorized. </w:t>
      </w:r>
    </w:p>
    <w:p w14:paraId="61C87ED9" w14:textId="77777777" w:rsidR="00450082" w:rsidRPr="00450082" w:rsidRDefault="00450082" w:rsidP="00450082">
      <w:pPr>
        <w:numPr>
          <w:ilvl w:val="0"/>
          <w:numId w:val="4"/>
        </w:numPr>
        <w:rPr>
          <w:b/>
          <w:bCs/>
        </w:rPr>
      </w:pPr>
      <w:r w:rsidRPr="00450082">
        <w:t>Materials</w:t>
      </w:r>
    </w:p>
    <w:p w14:paraId="63B746B0" w14:textId="77777777" w:rsidR="00450082" w:rsidRPr="00450082" w:rsidRDefault="00450082" w:rsidP="00450082">
      <w:r w:rsidRPr="00450082">
        <w:t xml:space="preserve">The dataset for this study consisted of 3T T1-weighted (T1w) and diffusion-weighted (DWI) MRI images that were transferred to and processed on high-performance computers provided by the Digital </w:t>
      </w:r>
      <w:r w:rsidRPr="00450082">
        <w:lastRenderedPageBreak/>
        <w:t xml:space="preserve">Research Alliance of Canada. Data were organized into a standardized format known as the Brain Imaging Data Structure (BIDS; </w:t>
      </w:r>
      <w:proofErr w:type="spellStart"/>
      <w:r w:rsidRPr="00450082">
        <w:t>Gorgolewski</w:t>
      </w:r>
      <w:proofErr w:type="spellEnd"/>
      <w:r w:rsidRPr="00450082">
        <w:t xml:space="preserve"> et al., 2016) for storage and computational purposes. T1w and DWI images were preprocessed using a variant of an </w:t>
      </w:r>
      <w:r w:rsidRPr="00654EBB">
        <w:rPr>
          <w:highlight w:val="yellow"/>
        </w:rPr>
        <w:t>open-source</w:t>
      </w:r>
      <w:r w:rsidRPr="00450082">
        <w:t xml:space="preserve">, </w:t>
      </w:r>
      <w:r w:rsidRPr="00654EBB">
        <w:rPr>
          <w:highlight w:val="yellow"/>
        </w:rPr>
        <w:t xml:space="preserve">containerized application (e.g., </w:t>
      </w:r>
      <w:proofErr w:type="spellStart"/>
      <w:r w:rsidRPr="00654EBB">
        <w:rPr>
          <w:highlight w:val="yellow"/>
        </w:rPr>
        <w:t>SnakeDWI</w:t>
      </w:r>
      <w:proofErr w:type="spellEnd"/>
      <w:r w:rsidRPr="00654EBB">
        <w:rPr>
          <w:highlight w:val="yellow"/>
        </w:rPr>
        <w:t>; Khan, 2021</w:t>
      </w:r>
      <w:r w:rsidRPr="00450082">
        <w:t xml:space="preserve">). Steps included standard anatomical pre-processing (denoising, skull-stripping, non-uniformity correction, tissue segmentation, non-linear template registration), and standard diffusion pre-processing (e.g., denoising, </w:t>
      </w:r>
      <w:proofErr w:type="spellStart"/>
      <w:r w:rsidRPr="00450082">
        <w:t>Veraart</w:t>
      </w:r>
      <w:proofErr w:type="spellEnd"/>
      <w:r w:rsidRPr="00450082">
        <w:t xml:space="preserve"> et al., 2016), combined motion, echo-planar, and eddy-current correction with FSL eddy (Andersson &amp; Sotiropoulos, 2016), T1w registration, and diffusion tensor fitting (Tabesh et al., 2011). </w:t>
      </w:r>
    </w:p>
    <w:p w14:paraId="091FB172" w14:textId="77777777" w:rsidR="00450082" w:rsidRPr="00450082" w:rsidRDefault="00450082" w:rsidP="00450082">
      <w:r w:rsidRPr="00450082">
        <w:t xml:space="preserve">We employed an individualized connectivity-driven parcellation technique that we developed (Khan et al., 2019), which uses subject-specific </w:t>
      </w:r>
      <w:r w:rsidRPr="00916833">
        <w:rPr>
          <w:highlight w:val="yellow"/>
        </w:rPr>
        <w:t>structural connectivity</w:t>
      </w:r>
      <w:r w:rsidRPr="00450082">
        <w:t xml:space="preserve"> to subdivide subcortical ROIs based on maximal connectivity to existing subdivisions of the cortex. </w:t>
      </w:r>
      <w:r w:rsidRPr="00654EBB">
        <w:rPr>
          <w:highlight w:val="yellow"/>
        </w:rPr>
        <w:t>The CIT168 probabilistic subcortical atlas defined the ROIs</w:t>
      </w:r>
      <w:r w:rsidRPr="00450082">
        <w:t xml:space="preserve">, including </w:t>
      </w:r>
      <w:bookmarkStart w:id="0" w:name="_Hlk209624131"/>
      <w:r w:rsidRPr="00450082">
        <w:t xml:space="preserve">the </w:t>
      </w:r>
      <w:r w:rsidRPr="00654EBB">
        <w:rPr>
          <w:highlight w:val="yellow"/>
        </w:rPr>
        <w:t>striatum</w:t>
      </w:r>
      <w:r w:rsidRPr="00450082">
        <w:t>, substantia nigra pars compacta (</w:t>
      </w:r>
      <w:proofErr w:type="spellStart"/>
      <w:r w:rsidRPr="00654EBB">
        <w:rPr>
          <w:highlight w:val="yellow"/>
        </w:rPr>
        <w:t>SNc</w:t>
      </w:r>
      <w:proofErr w:type="spellEnd"/>
      <w:r w:rsidRPr="00450082">
        <w:t>), and ventral tegmental area (VTA</w:t>
      </w:r>
      <w:bookmarkEnd w:id="0"/>
      <w:r w:rsidRPr="00450082">
        <w:t>; Pauli et al., 2018). The striatum and VTA/</w:t>
      </w:r>
      <w:proofErr w:type="spellStart"/>
      <w:r w:rsidRPr="00450082">
        <w:t>SNc</w:t>
      </w:r>
      <w:proofErr w:type="spellEnd"/>
      <w:r w:rsidRPr="00450082">
        <w:t xml:space="preserve"> lack internal boundaries; however, segments of these structures are implicated in different functions and </w:t>
      </w:r>
      <w:r w:rsidRPr="00654EBB">
        <w:rPr>
          <w:highlight w:val="yellow"/>
        </w:rPr>
        <w:t>are differentially impacted by PD across disease progression.</w:t>
      </w:r>
      <w:r w:rsidRPr="00450082">
        <w:t xml:space="preserve"> </w:t>
      </w:r>
      <w:r w:rsidRPr="00654EBB">
        <w:rPr>
          <w:highlight w:val="yellow"/>
        </w:rPr>
        <w:t>We parcellated striatum and VTA/</w:t>
      </w:r>
      <w:proofErr w:type="spellStart"/>
      <w:r w:rsidRPr="00654EBB">
        <w:rPr>
          <w:highlight w:val="yellow"/>
        </w:rPr>
        <w:t>SNc</w:t>
      </w:r>
      <w:proofErr w:type="spellEnd"/>
      <w:r w:rsidRPr="00654EBB">
        <w:rPr>
          <w:highlight w:val="yellow"/>
        </w:rPr>
        <w:t xml:space="preserve"> into sub-regions according to their tractography-based connectivity profiles</w:t>
      </w:r>
      <w:r w:rsidRPr="00450082">
        <w:t xml:space="preserve"> to cortical subregions that were objectively specified using coordinates from the Harvard-Oxford atlas. The cortex was parcellated into six sub-regions in each hemisphere, based on a prior functional meta-analysis (</w:t>
      </w:r>
      <w:proofErr w:type="spellStart"/>
      <w:r w:rsidRPr="00450082">
        <w:t>Tziortzi</w:t>
      </w:r>
      <w:proofErr w:type="spellEnd"/>
      <w:r w:rsidRPr="00450082">
        <w:t xml:space="preserve"> et al., 2011, 2014). These served as target regions for parcellating the striatum and VTA/</w:t>
      </w:r>
      <w:proofErr w:type="spellStart"/>
      <w:r w:rsidRPr="00450082">
        <w:t>SNc</w:t>
      </w:r>
      <w:proofErr w:type="spellEnd"/>
      <w:r w:rsidRPr="00450082">
        <w:t>. </w:t>
      </w:r>
    </w:p>
    <w:p w14:paraId="1FE71E49" w14:textId="77777777" w:rsidR="00450082" w:rsidRPr="00450082" w:rsidRDefault="00450082" w:rsidP="00450082">
      <w:r w:rsidRPr="00450082">
        <w:t xml:space="preserve">Diffusion MRI data were processed using MRtrix3, with fibre orientation distributions (FODs) estimated using constrained spherical deconvolution (CSD). CSD fits continuous fibre orientation distributions, enabling accurate modelling of crossing fibres, even with single-shell data. The single-shell white matter response function was computed using the dwi2response fa algorithm, which identifies the top 300 high-FA voxels within an eroded brain mask to characterize the diffusion profile of single-fibre white matter (Tournier et al., 2013). This response function was used to perform CSD and generate FODs, from which probabilistic tractography was carried out using the iFOD2 algorithm implemented by </w:t>
      </w:r>
      <w:proofErr w:type="spellStart"/>
      <w:r w:rsidRPr="00450082">
        <w:t>tckgen</w:t>
      </w:r>
      <w:proofErr w:type="spellEnd"/>
      <w:r w:rsidRPr="00450082">
        <w:t>. </w:t>
      </w:r>
    </w:p>
    <w:p w14:paraId="00818F05" w14:textId="77777777" w:rsidR="00450082" w:rsidRPr="00450082" w:rsidRDefault="00450082" w:rsidP="00450082">
      <w:r w:rsidRPr="00450082">
        <w:t>To derive connectivity profiles, streamlines were seeded from each surface vertex and counted per cortical target region, based on a predefined parcellation of the cortex into six functional regions per hemisphere (</w:t>
      </w:r>
      <w:proofErr w:type="spellStart"/>
      <w:r w:rsidRPr="00450082">
        <w:t>Tziortzi</w:t>
      </w:r>
      <w:proofErr w:type="spellEnd"/>
      <w:r w:rsidRPr="00450082">
        <w:t xml:space="preserve"> et al., 2011, 2014). The resulting per-vertex streamline counts formed a connectivity profile over the cortical targets. Vertices with insufficient overall connectivity (based on a subject-specific streamline threshold of 10%) were masked out to reduce noise. Each vertex was then labelled according to the cortical target with which it had the highest streamline count, using a winner-takes-all approach, which produced individualized surface-based parcellations. The striatum was decomposed into six (</w:t>
      </w:r>
      <w:r w:rsidRPr="00F201F9">
        <w:rPr>
          <w:highlight w:val="yellow"/>
        </w:rPr>
        <w:t>limbic, executive, rostral motor, caudal motor, parietal, occipital), and the VTA/</w:t>
      </w:r>
      <w:proofErr w:type="spellStart"/>
      <w:r w:rsidRPr="00F201F9">
        <w:rPr>
          <w:highlight w:val="yellow"/>
        </w:rPr>
        <w:t>SNc</w:t>
      </w:r>
      <w:proofErr w:type="spellEnd"/>
      <w:r w:rsidRPr="00F201F9">
        <w:rPr>
          <w:highlight w:val="yellow"/>
        </w:rPr>
        <w:t xml:space="preserve"> into four (limbic, executive, rostral motor, caudal motor</w:t>
      </w:r>
      <w:r w:rsidRPr="00450082">
        <w:t>) lateralized regions through this approach. The resulting parcellations then served as the basis for downstream feature extraction. This approach yielded biologically informed subdivisions of the striatum and VTA/</w:t>
      </w:r>
      <w:proofErr w:type="spellStart"/>
      <w:r w:rsidRPr="00450082">
        <w:t>SNc</w:t>
      </w:r>
      <w:proofErr w:type="spellEnd"/>
      <w:r w:rsidRPr="00450082">
        <w:t xml:space="preserve"> that reflect subject-specific </w:t>
      </w:r>
      <w:proofErr w:type="spellStart"/>
      <w:r w:rsidRPr="00450082">
        <w:t>corticosubcortical</w:t>
      </w:r>
      <w:proofErr w:type="spellEnd"/>
      <w:r w:rsidRPr="00450082">
        <w:t xml:space="preserve"> connectivity patterns. These subcortical subregions are implicated in different functions, and each is affected distinctly by PD, which is a key reason for considering them separately (Khan et al., 2019). Voxel-wise connectivity profiles were also derived for future voxel-based morphometry (VBM) analyses within these parcels. White-matter tracts reconstructed from the generated streamlines, which connect each parcel to the target, allowed us to extract measures of microstructural integrity along the tracts associated with each parcel. Morphometric features and </w:t>
      </w:r>
      <w:r w:rsidRPr="00450082">
        <w:lastRenderedPageBreak/>
        <w:t xml:space="preserve">measures of microstructural integrity and connectivity extracted from these parcels were combined with whole-brain ROIs from </w:t>
      </w:r>
      <w:proofErr w:type="spellStart"/>
      <w:r w:rsidRPr="00450082">
        <w:t>SynthSeg</w:t>
      </w:r>
      <w:proofErr w:type="spellEnd"/>
      <w:r w:rsidRPr="00450082">
        <w:t xml:space="preserve"> (Billot et al., 2023), a deep-learning-based tool available through </w:t>
      </w:r>
      <w:proofErr w:type="spellStart"/>
      <w:r w:rsidRPr="00450082">
        <w:t>FreeSurfer</w:t>
      </w:r>
      <w:proofErr w:type="spellEnd"/>
      <w:r w:rsidRPr="00450082">
        <w:t>, to yield a total of 458 features. Features representing left and right hemisphere metrics were averaged to reduce data complexity, and whole-brain diffusivity-based CSF features were removed due to their limited biological relevance (Beaulieu et al., 2002; Pasternak et al., 2009), resulting in 236 MRI-derived features available for developing a prognostic model of FOG through machine learning (Figure 4).</w:t>
      </w:r>
    </w:p>
    <w:p w14:paraId="055864A6" w14:textId="77777777" w:rsidR="00450082" w:rsidRPr="00450082" w:rsidRDefault="00450082" w:rsidP="00450082">
      <w:pPr>
        <w:numPr>
          <w:ilvl w:val="0"/>
          <w:numId w:val="5"/>
        </w:numPr>
        <w:rPr>
          <w:b/>
          <w:bCs/>
        </w:rPr>
      </w:pPr>
      <w:r w:rsidRPr="00450082">
        <w:t>Quality control </w:t>
      </w:r>
    </w:p>
    <w:p w14:paraId="2B19DFC4" w14:textId="77777777" w:rsidR="00450082" w:rsidRPr="00450082" w:rsidRDefault="00450082" w:rsidP="00450082">
      <w:r w:rsidRPr="00450082">
        <w:t>Quality control (QC) beyond the raw-image quality rating completed by PPMI was initiated at the participant level after preprocessing the T1w and DWI images. At least two independent raters visually inspected T1w and DWI images to confirm appropriate co-registration and to identify any artifacts or additional issues (e.g., significant warping in diffusion images or banding in T1w images). A third independent party then reviewed ratings, and a final determination was made in instances where the initial raters disagreed or were unsure. Depending on the nature of the identified issue, it was possible to reprocess some datasets and re-run the QC process using the corrected data. However, participants who failed QC for reasons that could not be corrected (e.g., issues with the raw images) were excluded from further analyses. </w:t>
      </w:r>
    </w:p>
    <w:p w14:paraId="1AAA2EAA" w14:textId="77777777" w:rsidR="00450082" w:rsidRPr="00450082" w:rsidRDefault="00450082" w:rsidP="00450082">
      <w:pPr>
        <w:numPr>
          <w:ilvl w:val="0"/>
          <w:numId w:val="6"/>
        </w:numPr>
        <w:rPr>
          <w:b/>
          <w:bCs/>
        </w:rPr>
      </w:pPr>
      <w:r w:rsidRPr="00450082">
        <w:t>Feature descriptions</w:t>
      </w:r>
    </w:p>
    <w:p w14:paraId="0DCCFCC0" w14:textId="77777777" w:rsidR="00450082" w:rsidRPr="00450082" w:rsidRDefault="00450082" w:rsidP="00450082">
      <w:r w:rsidRPr="00450082">
        <w:t xml:space="preserve">Following segmentation, morphometric features and quantitative measures of microstructural integrity were extracted from parcellated subcortical surfaces, white matter tracts, and </w:t>
      </w:r>
      <w:proofErr w:type="gramStart"/>
      <w:r w:rsidRPr="00450082">
        <w:t>whole-brain</w:t>
      </w:r>
      <w:proofErr w:type="gramEnd"/>
      <w:r w:rsidRPr="00450082">
        <w:t xml:space="preserve"> parcellated ROIs. These tabular features were then preprocessed prior to model development. Missing feature values (&lt;1%) were imputed using group median values to minimize selection bias. To optimize model training, feature preprocessing involved log-transforming positively (i.e., right) skewed features and normalizing all features to have a mean of 0 and standard deviation of 1 to standardize the different features to a uniform scale.</w:t>
      </w:r>
    </w:p>
    <w:p w14:paraId="0C090A70" w14:textId="77777777" w:rsidR="00450082" w:rsidRPr="00450082" w:rsidRDefault="00450082" w:rsidP="00450082">
      <w:pPr>
        <w:rPr>
          <w:b/>
          <w:bCs/>
        </w:rPr>
      </w:pPr>
      <w:r w:rsidRPr="00450082">
        <w:t>Parcel connectivity</w:t>
      </w:r>
    </w:p>
    <w:p w14:paraId="51E21AC1" w14:textId="77777777" w:rsidR="00450082" w:rsidRPr="00450082" w:rsidRDefault="00450082" w:rsidP="00450082">
      <w:r w:rsidRPr="00450082">
        <w:t>Parcel connectivity (</w:t>
      </w:r>
      <w:proofErr w:type="spellStart"/>
      <w:r w:rsidRPr="00450082">
        <w:t>indepconn</w:t>
      </w:r>
      <w:proofErr w:type="spellEnd"/>
      <w:r w:rsidRPr="00450082">
        <w:t xml:space="preserve">) represents each structure’s connectivity profile according to the number of raw (i.e., unnormalized) streamlines (digitally reconstructed white matter tracts) which connect an ROI and an associated cortical target. The </w:t>
      </w:r>
      <w:proofErr w:type="spellStart"/>
      <w:r w:rsidRPr="00450082">
        <w:t>indepconn</w:t>
      </w:r>
      <w:proofErr w:type="spellEnd"/>
      <w:r w:rsidRPr="00450082">
        <w:t xml:space="preserve"> feature calculation uses diffusion-tractography outputs from MRtrix3’s tck2connectome to calculate the mean number of streamlines between either the striatum or VTA/</w:t>
      </w:r>
      <w:proofErr w:type="spellStart"/>
      <w:r w:rsidRPr="00450082">
        <w:t>SNc</w:t>
      </w:r>
      <w:proofErr w:type="spellEnd"/>
      <w:r w:rsidRPr="00450082">
        <w:t xml:space="preserve"> and their target region, providing a measure of the relative density/strength of structural connectivity within functionally distinct networks (e.g., Limbic, Executive, Rostral &amp; Caudal Motor, Parietal, Occipital).</w:t>
      </w:r>
    </w:p>
    <w:p w14:paraId="6A2938D0" w14:textId="77777777" w:rsidR="00450082" w:rsidRPr="00450082" w:rsidRDefault="00450082" w:rsidP="00450082">
      <w:pPr>
        <w:rPr>
          <w:b/>
          <w:bCs/>
        </w:rPr>
      </w:pPr>
      <w:r w:rsidRPr="00450082">
        <w:t>FA and MD along white matter pathways</w:t>
      </w:r>
    </w:p>
    <w:p w14:paraId="4A756BDD" w14:textId="77777777" w:rsidR="00450082" w:rsidRPr="00450082" w:rsidRDefault="00450082" w:rsidP="00450082">
      <w:r w:rsidRPr="00450082">
        <w:t xml:space="preserve">Calculation of </w:t>
      </w:r>
      <w:proofErr w:type="spellStart"/>
      <w:r w:rsidRPr="00450082">
        <w:t>bundleFA</w:t>
      </w:r>
      <w:proofErr w:type="spellEnd"/>
      <w:r w:rsidRPr="00450082">
        <w:t xml:space="preserve"> and </w:t>
      </w:r>
      <w:proofErr w:type="spellStart"/>
      <w:r w:rsidRPr="00450082">
        <w:t>bundleMD</w:t>
      </w:r>
      <w:proofErr w:type="spellEnd"/>
      <w:r w:rsidRPr="00450082">
        <w:t xml:space="preserve"> metrics involved sampling from FA and MD maps (generated by MRtrix3’s tensor2metric function) along white matter tracts digitally reconstructed from the streamlines associated with each parcel. FA reflects the directional tendency of water diffusion, while MD represents the overall magnitude of diffusion within a voxel. These metrics provide insight into the microstructural integrity of white matter tracts. For example, increased bundle MD and reduced bundle FA may represent compromised white matter integrity.</w:t>
      </w:r>
    </w:p>
    <w:p w14:paraId="15B7D122" w14:textId="77777777" w:rsidR="00450082" w:rsidRPr="00450082" w:rsidRDefault="00450082" w:rsidP="00450082">
      <w:pPr>
        <w:rPr>
          <w:b/>
          <w:bCs/>
        </w:rPr>
      </w:pPr>
      <w:r w:rsidRPr="00450082">
        <w:lastRenderedPageBreak/>
        <w:t>Surface-based morphometry</w:t>
      </w:r>
    </w:p>
    <w:p w14:paraId="47DEC2A5" w14:textId="77777777" w:rsidR="00450082" w:rsidRPr="00450082" w:rsidRDefault="00450082" w:rsidP="00450082">
      <w:r w:rsidRPr="00450082">
        <w:t>Surface-based morphometry (</w:t>
      </w:r>
      <w:proofErr w:type="spellStart"/>
      <w:r w:rsidRPr="00450082">
        <w:t>inout</w:t>
      </w:r>
      <w:proofErr w:type="spellEnd"/>
      <w:r w:rsidRPr="00450082">
        <w:t xml:space="preserve">) assesses the displacement of subcortical surfaces, measuring deformations of an individual’s subcortical surface from a normal template. We used the publicly available CIT168 probabilistic subcortical atlas (Pauli et al., 2018), which was registered to the MNI152NLin2009cAsym coordinate space as the template. The feature </w:t>
      </w:r>
      <w:proofErr w:type="spellStart"/>
      <w:r w:rsidRPr="00450082">
        <w:t>inout</w:t>
      </w:r>
      <w:proofErr w:type="spellEnd"/>
      <w:r w:rsidRPr="00450082">
        <w:t xml:space="preserve"> measures the overall tissue displacement for each parcel, either inward or outward relative to the template surface. This provides a detailed understanding of local subcortical deformities. Positive values of this feature represent expansion or hypertrophy, whereas negative values reflect shrinkage or atrophy, relative to the template. For further details or a visual illustration of this metric, refer to Khan et al. (2019).</w:t>
      </w:r>
    </w:p>
    <w:p w14:paraId="47DDFDBF" w14:textId="77777777" w:rsidR="00450082" w:rsidRPr="00450082" w:rsidRDefault="00450082" w:rsidP="00450082">
      <w:pPr>
        <w:rPr>
          <w:b/>
          <w:bCs/>
        </w:rPr>
      </w:pPr>
      <w:r w:rsidRPr="00450082">
        <w:t>Surface area and surface area ratio</w:t>
      </w:r>
    </w:p>
    <w:p w14:paraId="2A5C5F01" w14:textId="77777777" w:rsidR="00450082" w:rsidRPr="00450082" w:rsidRDefault="00450082" w:rsidP="00450082">
      <w:r w:rsidRPr="00450082">
        <w:t xml:space="preserve">These features measure the surface area of each parcel and the ratio of the subject’s surface area to that of the template, indicating gross changes in parcel atrophy or hypertrophy. Similarly to the </w:t>
      </w:r>
      <w:proofErr w:type="spellStart"/>
      <w:r w:rsidRPr="00450082">
        <w:t>inout</w:t>
      </w:r>
      <w:proofErr w:type="spellEnd"/>
      <w:r w:rsidRPr="00450082">
        <w:t xml:space="preserve"> measure, the CIT168 probabilistic atlas in MNI152NLin2009cAsym coordinate space was used for the template. The surface-vertex-areas command in Workbench was used to compute the surface area for each parcel, and the ratio between the subject and template areas was calculated to determine the degree of surface deformation.</w:t>
      </w:r>
    </w:p>
    <w:p w14:paraId="34B5824E" w14:textId="77777777" w:rsidR="00450082" w:rsidRPr="00450082" w:rsidRDefault="00450082" w:rsidP="00450082">
      <w:pPr>
        <w:rPr>
          <w:b/>
          <w:bCs/>
        </w:rPr>
      </w:pPr>
      <w:r w:rsidRPr="00450082">
        <w:t>Surface volume</w:t>
      </w:r>
    </w:p>
    <w:p w14:paraId="3254B51E" w14:textId="77777777" w:rsidR="00450082" w:rsidRPr="00450082" w:rsidRDefault="00450082" w:rsidP="00450082">
      <w:r w:rsidRPr="00450082">
        <w:t>Surface volume (</w:t>
      </w:r>
      <w:proofErr w:type="spellStart"/>
      <w:r w:rsidRPr="00450082">
        <w:t>surfvolmni</w:t>
      </w:r>
      <w:proofErr w:type="spellEnd"/>
      <w:r w:rsidRPr="00450082">
        <w:t>) represents the enclosed volume of subcortical structures normalized to the MNI152NLin2009cAsym coordinate space and was measured to understand volumetric changes due to disease-related pathology. The surface geometry was first converted to a mesh representation (</w:t>
      </w:r>
      <w:proofErr w:type="spellStart"/>
      <w:r w:rsidRPr="00450082">
        <w:t>vtk</w:t>
      </w:r>
      <w:proofErr w:type="spellEnd"/>
      <w:r w:rsidRPr="00450082">
        <w:t xml:space="preserve"> </w:t>
      </w:r>
      <w:proofErr w:type="spellStart"/>
      <w:r w:rsidRPr="00450082">
        <w:t>PolyData</w:t>
      </w:r>
      <w:proofErr w:type="spellEnd"/>
      <w:r w:rsidRPr="00450082">
        <w:t xml:space="preserve">) using tools such as </w:t>
      </w:r>
      <w:proofErr w:type="spellStart"/>
      <w:r w:rsidRPr="00450082">
        <w:t>Pyvista</w:t>
      </w:r>
      <w:proofErr w:type="spellEnd"/>
      <w:r w:rsidRPr="00450082">
        <w:t>, and the enclosed volume was then derived. This feature offers a quantitative measure of subcortical atrophy or hypertrophy. This feature was calculated over each subcortical structure rather than per parcel.</w:t>
      </w:r>
    </w:p>
    <w:p w14:paraId="76B4FE03" w14:textId="77777777" w:rsidR="00450082" w:rsidRPr="00450082" w:rsidRDefault="00450082" w:rsidP="00450082">
      <w:pPr>
        <w:rPr>
          <w:b/>
          <w:bCs/>
        </w:rPr>
      </w:pPr>
      <w:r w:rsidRPr="00450082">
        <w:t>Surface-mapped FA and MD</w:t>
      </w:r>
    </w:p>
    <w:p w14:paraId="1881A92F" w14:textId="77777777" w:rsidR="00450082" w:rsidRPr="00450082" w:rsidRDefault="00450082" w:rsidP="00450082">
      <w:r w:rsidRPr="00450082">
        <w:t>FA and MD values were mapped onto subcortical surfaces using trilinear interpolation via the volume-to-surface-mapping function in Workbench, resulting in surface-based diffusion measures. These values capture local microstructural properties at the gray–white matter interface, encompassing contributions from both gray matter and adjacent white matter tracts (e.g., internal capsule for striatal parcels). As such, the surface-sampled diffusion metrics (</w:t>
      </w:r>
      <w:proofErr w:type="spellStart"/>
      <w:r w:rsidRPr="00450082">
        <w:t>surfFA</w:t>
      </w:r>
      <w:proofErr w:type="spellEnd"/>
      <w:r w:rsidRPr="00450082">
        <w:t xml:space="preserve"> and </w:t>
      </w:r>
      <w:proofErr w:type="spellStart"/>
      <w:r w:rsidRPr="00450082">
        <w:t>surfMD</w:t>
      </w:r>
      <w:proofErr w:type="spellEnd"/>
      <w:r w:rsidRPr="00450082">
        <w:t>) reflect microstructural organization and integrity near the boundary of each parcel, rather than bulk properties of the entire subcortical structure. These metrics enable spatially sensitive analyses of microstructural organization across connectivity-defined subcortical parcels.</w:t>
      </w:r>
    </w:p>
    <w:p w14:paraId="41443FB9" w14:textId="77777777" w:rsidR="00450082" w:rsidRPr="00450082" w:rsidRDefault="00450082" w:rsidP="00450082">
      <w:pPr>
        <w:rPr>
          <w:b/>
          <w:bCs/>
        </w:rPr>
      </w:pPr>
      <w:r w:rsidRPr="00450082">
        <w:t>Whole brain features</w:t>
      </w:r>
    </w:p>
    <w:p w14:paraId="724D7944" w14:textId="77777777" w:rsidR="00450082" w:rsidRPr="00450082" w:rsidRDefault="00450082" w:rsidP="00450082">
      <w:r w:rsidRPr="00450082">
        <w:t xml:space="preserve">Other whole-brain features were extracted using </w:t>
      </w:r>
      <w:proofErr w:type="spellStart"/>
      <w:r w:rsidRPr="00450082">
        <w:t>SynthSeg</w:t>
      </w:r>
      <w:proofErr w:type="spellEnd"/>
      <w:r w:rsidRPr="00450082">
        <w:t xml:space="preserve"> (Billot et al., 2023), a deep-learning-based segmentation tool integrated with </w:t>
      </w:r>
      <w:proofErr w:type="spellStart"/>
      <w:r w:rsidRPr="00450082">
        <w:t>FreeSurfer</w:t>
      </w:r>
      <w:proofErr w:type="spellEnd"/>
      <w:r w:rsidRPr="00450082">
        <w:t xml:space="preserve"> that parcellates brain images into various subregions according to the </w:t>
      </w:r>
      <w:proofErr w:type="spellStart"/>
      <w:r w:rsidRPr="00450082">
        <w:t>CerebrA</w:t>
      </w:r>
      <w:proofErr w:type="spellEnd"/>
      <w:r w:rsidRPr="00450082">
        <w:t xml:space="preserve"> atlas (Manera et al., 2020), as well as an additional 32 ROIs (default segmentation labels in </w:t>
      </w:r>
      <w:proofErr w:type="spellStart"/>
      <w:r w:rsidRPr="00450082">
        <w:t>FreeSurfer</w:t>
      </w:r>
      <w:proofErr w:type="spellEnd"/>
      <w:r w:rsidRPr="00450082">
        <w:t xml:space="preserve"> (Fischl et al., 2012)). FA, MD, and volume were computed within these segmented regions, providing a sensitive assessment of the brain's grey matter microstructural integrity across anatomically and functionally distinct subregions.</w:t>
      </w:r>
    </w:p>
    <w:p w14:paraId="21321679" w14:textId="77777777" w:rsidR="00450082" w:rsidRPr="00450082" w:rsidRDefault="00450082" w:rsidP="00450082">
      <w:pPr>
        <w:numPr>
          <w:ilvl w:val="0"/>
          <w:numId w:val="7"/>
        </w:numPr>
        <w:rPr>
          <w:b/>
          <w:bCs/>
        </w:rPr>
      </w:pPr>
      <w:r w:rsidRPr="00450082">
        <w:lastRenderedPageBreak/>
        <w:t>Machine learning pipeline</w:t>
      </w:r>
    </w:p>
    <w:p w14:paraId="1994E1AC" w14:textId="77777777" w:rsidR="00450082" w:rsidRPr="00450082" w:rsidRDefault="00450082" w:rsidP="00450082">
      <w:r w:rsidRPr="00450082">
        <w:t>We employed a stacked ensemble of several different machine learning algorithms (base learners) to capture complementary features in the multi-modal imaging data. Base learner algorithms included: a support-vector machine (SVM) with a radial-basis-function (RBF) kernel, a polynomial-kernel SVM, a sigmoid-kernel SVM, a random forest classifier, and an extreme-gradient-boosting classifier (</w:t>
      </w:r>
      <w:proofErr w:type="spellStart"/>
      <w:r w:rsidRPr="00450082">
        <w:t>XGBoost</w:t>
      </w:r>
      <w:proofErr w:type="spellEnd"/>
      <w:r w:rsidRPr="00450082">
        <w:t xml:space="preserve">). Various SVMs were selected because Lin et al. (2024) found them to be effective in predicting FOG from similar imaging data. In contrast, random forest and </w:t>
      </w:r>
      <w:proofErr w:type="spellStart"/>
      <w:r w:rsidRPr="00450082">
        <w:t>XGBoost</w:t>
      </w:r>
      <w:proofErr w:type="spellEnd"/>
      <w:r w:rsidRPr="00450082">
        <w:t xml:space="preserve"> algorithms effectively capture complex, non-linear feature interactions while leveraging tunable regularization mechanisms to prevent overfitting (Chen et al., 2016). The ensemble learning strategy involves training each of the base learners; their case-probability outputs are then passed to a meta-learner, a logistic regression classifier, which consolidates the learned information from the base learners into a final calibrated prediction. Ensemble learning has been used to enhance diagnostic classification performance in similar tasks (Yoon et al., 2023; </w:t>
      </w:r>
      <w:proofErr w:type="spellStart"/>
      <w:r w:rsidRPr="00450082">
        <w:t>Dabiran</w:t>
      </w:r>
      <w:proofErr w:type="spellEnd"/>
      <w:r w:rsidRPr="00450082">
        <w:t xml:space="preserve"> et al., 2024).</w:t>
      </w:r>
    </w:p>
    <w:p w14:paraId="7FA2426C" w14:textId="77777777" w:rsidR="00450082" w:rsidRPr="00450082" w:rsidRDefault="00450082" w:rsidP="00450082">
      <w:pPr>
        <w:numPr>
          <w:ilvl w:val="0"/>
          <w:numId w:val="8"/>
        </w:numPr>
        <w:rPr>
          <w:b/>
          <w:bCs/>
        </w:rPr>
      </w:pPr>
      <w:r w:rsidRPr="00450082">
        <w:t>Model training and evaluation</w:t>
      </w:r>
    </w:p>
    <w:p w14:paraId="0EDB1941" w14:textId="77777777" w:rsidR="00450082" w:rsidRPr="00450082" w:rsidRDefault="00450082" w:rsidP="00450082">
      <w:r w:rsidRPr="00450082">
        <w:t xml:space="preserve">In developing our model, we pseudo-randomly split our dataset, creating training (70%) and hold-out testing sets (30%) stratified by the rates of FOG and key demographic features and motor severity. A nested cross-validation scheme was implemented to prevent overfitting during training and hyperparameter tuning (see Figure 4). In the outer loop of cross-validation, the training dataset is divided into five folds. Training occurs on all but </w:t>
      </w:r>
      <w:proofErr w:type="gramStart"/>
      <w:r w:rsidRPr="00450082">
        <w:t>one fold</w:t>
      </w:r>
      <w:proofErr w:type="gramEnd"/>
      <w:r w:rsidRPr="00450082">
        <w:t>, which serves to evaluate the model on unseen data. This process was repeated five times, allowing us to train and evaluate the model across the entire training sample. As a result, we obtained a reliable measure of expected generalizability.</w:t>
      </w:r>
    </w:p>
    <w:p w14:paraId="06649B5F" w14:textId="77777777" w:rsidR="00450082" w:rsidRPr="00450082" w:rsidRDefault="00450082" w:rsidP="00450082">
      <w:r w:rsidRPr="00450082">
        <w:t xml:space="preserve">For hyperparameter tuning, the inner loop of cross-validation divides the outer training folds into additional folds. The architectural complexity of both the base learners and meta-learners was then optimized in a task-specific manner. Exhaustive search methods across the hyperparameter space can be computationally expensive, particularly when tuning multiple algorithms. To address this, we employed Bayesian-optimized hyperparameter tuning using </w:t>
      </w:r>
      <w:proofErr w:type="spellStart"/>
      <w:r w:rsidRPr="00450082">
        <w:t>Optuna</w:t>
      </w:r>
      <w:proofErr w:type="spellEnd"/>
      <w:r w:rsidRPr="00450082">
        <w:t xml:space="preserve">, an open-source Python library (Deepan et al., 2024). Notably, during the 2020 black-box optimization challenge, </w:t>
      </w:r>
      <w:proofErr w:type="spellStart"/>
      <w:r w:rsidRPr="00450082">
        <w:t>Optuna</w:t>
      </w:r>
      <w:proofErr w:type="spellEnd"/>
      <w:r w:rsidRPr="00450082">
        <w:t xml:space="preserve"> and other Bayesian optimizer frameworks demonstrated up to 100 times the efficiency of random search (Turner et al., 2021). </w:t>
      </w:r>
    </w:p>
    <w:p w14:paraId="5CA94D4C" w14:textId="22AF2A72" w:rsidR="00450082" w:rsidRPr="00450082" w:rsidRDefault="00450082" w:rsidP="00450082">
      <w:r w:rsidRPr="00450082">
        <w:t xml:space="preserve">The tuned hyperparameter values from nested cross-validation were then used to fit the final model over the entire training sample. We then evaluated the model's generalizability in the held-out testing set. For an illustration of the machine learning pipeline we implemented for model development and </w:t>
      </w:r>
      <w:r w:rsidRPr="00450082">
        <w:lastRenderedPageBreak/>
        <w:t>evaluation, please refer to Figure 4.</w:t>
      </w:r>
      <w:r w:rsidRPr="00450082">
        <w:rPr>
          <w:noProof/>
        </w:rPr>
        <w:drawing>
          <wp:inline distT="0" distB="0" distL="0" distR="0" wp14:anchorId="034A9FF2" wp14:editId="20D4E703">
            <wp:extent cx="5890260" cy="3147060"/>
            <wp:effectExtent l="0" t="0" r="0" b="0"/>
            <wp:docPr id="422224004" name="Picture 2"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a brai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0260" cy="3147060"/>
                    </a:xfrm>
                    <a:prstGeom prst="rect">
                      <a:avLst/>
                    </a:prstGeom>
                    <a:noFill/>
                    <a:ln>
                      <a:noFill/>
                    </a:ln>
                  </pic:spPr>
                </pic:pic>
              </a:graphicData>
            </a:graphic>
          </wp:inline>
        </w:drawing>
      </w:r>
    </w:p>
    <w:p w14:paraId="660748E1" w14:textId="77777777" w:rsidR="00450082" w:rsidRPr="00450082" w:rsidRDefault="00450082" w:rsidP="00450082">
      <w:pPr>
        <w:numPr>
          <w:ilvl w:val="0"/>
          <w:numId w:val="9"/>
        </w:numPr>
        <w:rPr>
          <w:b/>
          <w:bCs/>
        </w:rPr>
      </w:pPr>
      <w:r w:rsidRPr="00450082">
        <w:t>Feature selection </w:t>
      </w:r>
    </w:p>
    <w:p w14:paraId="4083CBA3" w14:textId="77777777" w:rsidR="00450082" w:rsidRPr="00450082" w:rsidRDefault="00450082" w:rsidP="00450082">
      <w:r w:rsidRPr="00450082">
        <w:t>Feature selection proceeded in three stages: (</w:t>
      </w:r>
      <w:proofErr w:type="spellStart"/>
      <w:r w:rsidRPr="00450082">
        <w:t>i</w:t>
      </w:r>
      <w:proofErr w:type="spellEnd"/>
      <w:r w:rsidRPr="00450082">
        <w:t>) features filtered based on analysis of covariance (ANCOVA) to remove covariate-driven noise, (ii) wrapper-based sequential feature selection to identify a high-value subset inside each cross-validation fold, and (iii) the embedded regularisation that is intrinsic to the final stacked model. The goal of feature selection was to refine our 236 imaging features into a distilled subset of only the most valuable predictors of FOG. The low dimensionality of the selected feature set reduces the risk of overfitting in our moderately sized sample. </w:t>
      </w:r>
    </w:p>
    <w:p w14:paraId="1B27F546" w14:textId="77777777" w:rsidR="00450082" w:rsidRPr="00450082" w:rsidRDefault="00450082" w:rsidP="00450082">
      <w:r w:rsidRPr="00450082">
        <w:t>ANCOVA was used as an initial filter to exclude any feature whose variance was explained more by age, sex, or baseline MDS-UPDRS-III than by FOG status. Unadjusted statistical filters, such as t-tests and analysis of variance (ANOVAs), would retain such confound-driven features, risking the conflation of sampling bias or disease severity with future freezing. ANCOVA is a general linear model which blends ANOVA and regression to evaluate whether the means of a dependent variable are equal across FOG groups, while statistically controlling for the effects of other nuisance variables. The linear regression formula that was used in the one-way ANCOVA was defined as the following:</w:t>
      </w:r>
    </w:p>
    <w:p w14:paraId="66F935BA" w14:textId="77777777" w:rsidR="00450082" w:rsidRPr="00450082" w:rsidRDefault="00450082" w:rsidP="00450082">
      <w:r w:rsidRPr="00450082">
        <w:t>X= μ+ αFOG+ 1Sex+ 2Age+ 3MDS_UPDRS_III</w:t>
      </w:r>
    </w:p>
    <w:p w14:paraId="018EFC5D" w14:textId="77777777" w:rsidR="00450082" w:rsidRPr="00450082" w:rsidRDefault="00450082" w:rsidP="00450082">
      <w:r w:rsidRPr="00450082">
        <w:t xml:space="preserve">Where X is the imaging feature </w:t>
      </w:r>
      <w:proofErr w:type="gramStart"/>
      <w:r w:rsidRPr="00450082">
        <w:t>value,  is</w:t>
      </w:r>
      <w:proofErr w:type="gramEnd"/>
      <w:r w:rsidRPr="00450082">
        <w:t xml:space="preserve"> the sample </w:t>
      </w:r>
      <w:proofErr w:type="gramStart"/>
      <w:r w:rsidRPr="00450082">
        <w:t>mean,  is</w:t>
      </w:r>
      <w:proofErr w:type="gramEnd"/>
      <w:r w:rsidRPr="00450082">
        <w:t xml:space="preserve"> the main effect of FOG, and </w:t>
      </w:r>
      <w:proofErr w:type="gramStart"/>
      <w:r w:rsidRPr="00450082">
        <w:t>1,β</w:t>
      </w:r>
      <w:proofErr w:type="gramEnd"/>
      <w:r w:rsidRPr="00450082">
        <w:t>2, 3 represents the independent contributions of sex, age, and baseline motor impairment (MDS-UPDRS-III) to the imaging feature value. </w:t>
      </w:r>
    </w:p>
    <w:p w14:paraId="65741C74" w14:textId="77777777" w:rsidR="00450082" w:rsidRPr="00450082" w:rsidRDefault="00450082" w:rsidP="00450082">
      <w:r w:rsidRPr="00450082">
        <w:t xml:space="preserve">The statistical filter excluded variables whose variance was driven mainly by demographic or baseline motor impairment differences. Features were only retained if the main effect of FOG was significant p &lt; 0.05 </w:t>
      </w:r>
      <w:r w:rsidRPr="00450082">
        <w:rPr>
          <w:i/>
          <w:iCs/>
        </w:rPr>
        <w:t xml:space="preserve">and </w:t>
      </w:r>
      <w:r w:rsidRPr="00450082">
        <w:t>its p-value was smaller than those for any covariate. Because our workflow was designed to require only neuroimaging data, the features that remained following this step were likely independent from clinical inputs. Refer to Table 4 for the results of the filter applied over the entire dataset. </w:t>
      </w:r>
    </w:p>
    <w:p w14:paraId="32746F7A" w14:textId="77777777" w:rsidR="00450082" w:rsidRPr="00450082" w:rsidRDefault="00450082" w:rsidP="00450082">
      <w:r w:rsidRPr="00450082">
        <w:lastRenderedPageBreak/>
        <w:t xml:space="preserve">To further reduce feature dimensionality, we implemented wrapper-based feature selection within each outer fold of nested cross-validation. In this approach, different subsets of features are evaluated by training a machine learning model on those subsets, and the subset that yields the highest performance is selected. Although computationally demanding, wrapper methods are effective for identifying the most relevant features for the given task. We used backward Sequential Floating Feature Selection (SFFS) facilitated by the Sequential Feature Selection (SFS) module from </w:t>
      </w:r>
      <w:proofErr w:type="spellStart"/>
      <w:r w:rsidRPr="00450082">
        <w:t>mlxtend</w:t>
      </w:r>
      <w:proofErr w:type="spellEnd"/>
      <w:r w:rsidRPr="00450082">
        <w:t xml:space="preserve"> (Raschka, 2018). This method iteratively assesses combinations of features, starting from a larger set and progressively removing the least relevant features until the optimal subset is identified. In this step, we selected an RBF-kernel SVM as the wrapper model, based on its dominant weighting within the ensemble classifier, relative to other base learners. To promote both sensitivity and precision, we utilized the area under the receiver operating characteristic curve (AUC) as our scoring metric. The optimal feature subset was used to train and evaluate the stacking classifier for each fold of cross-validation. The final feature set selected for evaluation on the held-out testing set consisted of features chosen in at least half of the outer folds, ensuring that the features are reliably informative for FOG prognosis.</w:t>
      </w:r>
    </w:p>
    <w:p w14:paraId="37E55863" w14:textId="77777777" w:rsidR="00450082" w:rsidRPr="00450082" w:rsidRDefault="00450082" w:rsidP="00450082">
      <w:r w:rsidRPr="00450082">
        <w:t xml:space="preserve">Lastly, machine learning algorithms inherently perform embedded feature selection by incorporating regularization penalties into the objective function (i.e., loss). Features that do not enhance model performance are regarded as less important. Techniques such as the Least Absolute Shrinkage and Selection Operator (LASSO), also known as L1 regularization, and Ridge regression, also known as L2 regularization or weight decay, work by reducing the influence of less important features. Features that have a low or negligible contribution can be considered to have been selected against by the model. The outcomes of this embedded feature selection can be visualized using Shapley Additive </w:t>
      </w:r>
      <w:proofErr w:type="spellStart"/>
      <w:r w:rsidRPr="00450082">
        <w:t>exPlanations</w:t>
      </w:r>
      <w:proofErr w:type="spellEnd"/>
      <w:r w:rsidRPr="00450082">
        <w:t xml:space="preserve"> (SHAP), which offer an interpretable framework for explaining the contributions of each feature to the model’s output.</w:t>
      </w:r>
    </w:p>
    <w:p w14:paraId="747CA93A" w14:textId="77777777" w:rsidR="00450082" w:rsidRPr="00450082" w:rsidRDefault="00450082" w:rsidP="00450082">
      <w:pPr>
        <w:numPr>
          <w:ilvl w:val="0"/>
          <w:numId w:val="10"/>
        </w:numPr>
        <w:rPr>
          <w:b/>
          <w:bCs/>
        </w:rPr>
      </w:pPr>
      <w:r w:rsidRPr="00450082">
        <w:t>Demographic stratification</w:t>
      </w:r>
    </w:p>
    <w:p w14:paraId="6D74F90C" w14:textId="77777777" w:rsidR="00450082" w:rsidRPr="00450082" w:rsidRDefault="00450082" w:rsidP="00450082">
      <w:r w:rsidRPr="00450082">
        <w:t xml:space="preserve">Uneven representation of age or sex across FOG and non-FOG groups may cause a machine learning algorithm to latch onto nuisance variables that mirror prevalence patterns (e.g., older age linked to FOG risk) rather than identifying pathophysiology specific to freezing. We first addressed this issue during feature selection, where we filtered out nuisance variables before training the original model (recall Section 2.8). Once the core model development pipeline—feature selection, cross-validation, and evaluation of the trained ensemble classifier on the held-out test set—was completed, we assessed the reliability of the selected feature space and model architecture within key demographic subgroups.  We stratified the total dataset by sex, yielding separate male- and female-specific cohorts, and by age, using the overall median to create </w:t>
      </w:r>
      <w:r w:rsidRPr="00450082">
        <w:rPr>
          <w:i/>
          <w:iCs/>
        </w:rPr>
        <w:t>younger and older</w:t>
      </w:r>
      <w:r w:rsidRPr="00450082">
        <w:t xml:space="preserve"> groups. Each </w:t>
      </w:r>
      <w:proofErr w:type="spellStart"/>
      <w:r w:rsidRPr="00450082">
        <w:t>subcohort</w:t>
      </w:r>
      <w:proofErr w:type="spellEnd"/>
      <w:r w:rsidRPr="00450082">
        <w:t xml:space="preserve"> underwent cross-validated training and testing using only the features selected in the original workflow. Consistent performance across demographic subgroups would confirm that the model architecture did not overfit to spurious age- or sex-related variance in the </w:t>
      </w:r>
      <w:proofErr w:type="gramStart"/>
      <w:r w:rsidRPr="00450082">
        <w:t>data, and</w:t>
      </w:r>
      <w:proofErr w:type="gramEnd"/>
      <w:r w:rsidRPr="00450082">
        <w:t xml:space="preserve"> would suggest that the feature selection methods we implemented identified important variables specific to freezing rather than demographic differences. </w:t>
      </w:r>
    </w:p>
    <w:p w14:paraId="3B833F9D" w14:textId="77777777" w:rsidR="00450082" w:rsidRPr="00450082" w:rsidRDefault="00450082" w:rsidP="00450082">
      <w:pPr>
        <w:numPr>
          <w:ilvl w:val="0"/>
          <w:numId w:val="11"/>
        </w:numPr>
        <w:rPr>
          <w:b/>
          <w:bCs/>
        </w:rPr>
      </w:pPr>
      <w:r w:rsidRPr="00450082">
        <w:t>Feature importance analysis</w:t>
      </w:r>
    </w:p>
    <w:p w14:paraId="352C466C" w14:textId="77777777" w:rsidR="00450082" w:rsidRPr="00450082" w:rsidRDefault="00450082" w:rsidP="00450082">
      <w:r w:rsidRPr="00450082">
        <w:t xml:space="preserve">In clinical practice, model explainability is vital to understanding the underlying mechanism of the model’s predictions (i.e., how the model represents the relationship between feature values and the target disease or symptom). </w:t>
      </w:r>
      <w:proofErr w:type="spellStart"/>
      <w:r w:rsidRPr="00450082">
        <w:t>SHapley</w:t>
      </w:r>
      <w:proofErr w:type="spellEnd"/>
      <w:r w:rsidRPr="00450082">
        <w:t xml:space="preserve"> Additive </w:t>
      </w:r>
      <w:proofErr w:type="spellStart"/>
      <w:r w:rsidRPr="00450082">
        <w:t>exPlanations</w:t>
      </w:r>
      <w:proofErr w:type="spellEnd"/>
      <w:r w:rsidRPr="00450082">
        <w:t xml:space="preserve"> (SHAP) represent a model-agnostic method for explaining feature importance (Lundberg et al., 2018). For each prediction, features used in training </w:t>
      </w:r>
      <w:r w:rsidRPr="00450082">
        <w:lastRenderedPageBreak/>
        <w:t>the model are assigned a SHAP value, representing the magnitude and directionality (i.e., positive or negative) of their contribution to the model’s output. The sum of the SHAP values for all features and the average prediction value (e.g., 0.5 for balanced class sizes) equals the case-probability value predicted for the positive class (i.e., FOG). </w:t>
      </w:r>
    </w:p>
    <w:p w14:paraId="7E9675A5" w14:textId="77777777" w:rsidR="00450082" w:rsidRPr="00450082" w:rsidRDefault="00450082" w:rsidP="00450082">
      <w:r w:rsidRPr="00450082">
        <w:t>SHAP provides visualization tools, such as a summary plot, to rank features based on their average absolute SHAP value across a set of predictions, offering insights into how each feature differentially contributes to the model’s output. For example, an important feature will have a relatively large average SHAP value, indicating a greater contribution to the model’s final output. In contrast, an unimportant feature will have an average SHAP value closer to zero. Summary plots also provide insight into how the range of feature values in the sample differentially impact predictions; red-coloured markers indicate higher feature values, whereas blue-coloured markers represent lower feature values (refer to Figure 7). Feature directionality is a significant consideration for post-hoc analysis and model explainability; for instance, higher feature values likely represent contrasting pathophysiological changes when compared to lower values. Summary plots provide an opportunity to leverage domain-specific knowledge against the important features, enhancing the discussion of the present findings. The features for our final FOG model, as well as the individual contributions of each base learner, ranked by their SHAP values calculated over the held-out testing set, were included for discussion (Figures 7 &amp; 9).</w:t>
      </w:r>
    </w:p>
    <w:p w14:paraId="6D2C4807" w14:textId="77777777" w:rsidR="00450082" w:rsidRPr="00450082" w:rsidRDefault="00450082" w:rsidP="00450082">
      <w:pPr>
        <w:numPr>
          <w:ilvl w:val="0"/>
          <w:numId w:val="12"/>
        </w:numPr>
        <w:rPr>
          <w:b/>
          <w:bCs/>
        </w:rPr>
      </w:pPr>
      <w:r w:rsidRPr="00450082">
        <w:t>Statistical analysis</w:t>
      </w:r>
    </w:p>
    <w:p w14:paraId="56D435F1" w14:textId="77777777" w:rsidR="00450082" w:rsidRPr="00450082" w:rsidRDefault="00450082" w:rsidP="00450082">
      <w:r w:rsidRPr="00450082">
        <w:t xml:space="preserve">Baseline demographic and clinical characteristics were compared between FOG and non-FOG classes using independent samples t-tests, ANCOVAs, Bayes Factor analysis, and non-parametric Mann-Whitney U-tests, both across the total sample and between the training set and hold-out test set. The prognostic model produces single-subject case probability estimates of developing FOG (values between 0 and 1). However, we also investigated group-level differences in these estimates across target groups (FOG/non-FOG) using nonparametric Mann-Whitney U-tests. Frequentist and Bayesian analyses of demographic and clinical data, as well as the group-level differences in prediction values, were conducted in Python (v3.12.4) using the </w:t>
      </w:r>
      <w:proofErr w:type="spellStart"/>
      <w:r w:rsidRPr="00450082">
        <w:t>Pingouin</w:t>
      </w:r>
      <w:proofErr w:type="spellEnd"/>
      <w:r w:rsidRPr="00450082">
        <w:t xml:space="preserve"> statistics library and the JASP software package (v0.19.3), respectively. </w:t>
      </w:r>
    </w:p>
    <w:p w14:paraId="26265311" w14:textId="77777777" w:rsidR="00450082" w:rsidRPr="00450082" w:rsidRDefault="00450082" w:rsidP="00450082">
      <w:r w:rsidRPr="00450082">
        <w:t>The Bayes Factor (BF) quantifies the relative likelihood of the data reflecting the alternative hypothesis versus the null hypothesis. BF values greater than 3 support the alternative hypothesis, suggesting a significant difference between classes or cohorts. In contrast, values below 0.33 provide evidence in support of the null hypothesis, providing additional context in cases of insignificant p-values from frequentist statistics. Values between 0.33 and 3 generally reflect anecdotal or underpowered effects. We reported both frequentist and Bayesian statistics to distinguish between a lack of evidence and evidence of no effect, and to demonstrate that our conclusions were robust. For more information on BF calculation, refer to Klauer et al. (2025).</w:t>
      </w:r>
    </w:p>
    <w:p w14:paraId="274D77F6" w14:textId="77777777" w:rsidR="00450082" w:rsidRPr="00450082" w:rsidRDefault="00450082" w:rsidP="00450082">
      <w:r w:rsidRPr="00450082">
        <w:t>To assess prognostic model performance, we assessed classification accuracy using a case probability estimate threshold of 0.5, with participants who had case-probability estimates &gt;0.5 classified as FOG, and those with values &lt;0.5 classified as non-FOG. With these specifications, we reported the area under the receiver operating curve, sensitivity, specificity, and several other performance metrics, including a confusion matrix.</w:t>
      </w:r>
    </w:p>
    <w:p w14:paraId="61FFE877" w14:textId="77777777" w:rsidR="00450082" w:rsidRPr="00450082" w:rsidRDefault="00450082" w:rsidP="00450082">
      <w:r w:rsidRPr="00450082">
        <w:lastRenderedPageBreak/>
        <w:t>The Receiver Operating Characteristic (ROC) curve is a probability curve that illustrates the true positive rate (TPR)—also known as sensitivity—against the false positive rate (FPR), across different case-threshold values. The area under the ROC curve (AUC) represents the likelihood that a randomly selected positive instance will be predicted to have a higher value than a randomly selected negative instance. In binary classification, AUC quantifies a classifier’s ability to discriminate between the positive and negative classes. An AUC value of 0.5 represents random classification and is shown as a diagonal line in an ROC plot. </w:t>
      </w:r>
    </w:p>
    <w:p w14:paraId="3185FDBD" w14:textId="77777777" w:rsidR="00450082" w:rsidRPr="00450082" w:rsidRDefault="00450082" w:rsidP="00450082">
      <w:r w:rsidRPr="00450082">
        <w:t>A confusion matrix illustrates the differences between predicted and actual case values, from which various classification metrics can be extracted using the displayed true positive (TP), true negative (TN), false positive (FP), and false negative (FN) values. </w:t>
      </w:r>
    </w:p>
    <w:p w14:paraId="7C6413B3" w14:textId="77777777" w:rsidR="00450082" w:rsidRPr="00450082" w:rsidRDefault="00450082" w:rsidP="00450082">
      <w:r w:rsidRPr="00450082">
        <w:rPr>
          <w:i/>
          <w:iCs/>
        </w:rPr>
        <w:t>Sensitivity</w:t>
      </w:r>
      <w:r w:rsidRPr="00450082">
        <w:t xml:space="preserve"> or TPR represents the number of correct positive results divided by the number of all positive samples: </w:t>
      </w:r>
      <w:r w:rsidRPr="00450082">
        <w:rPr>
          <w:b/>
          <w:bCs/>
        </w:rPr>
        <w:t>TP / T P + F N</w:t>
      </w:r>
    </w:p>
    <w:p w14:paraId="2654A447" w14:textId="77777777" w:rsidR="00450082" w:rsidRPr="00450082" w:rsidRDefault="00450082" w:rsidP="00450082">
      <w:r w:rsidRPr="00450082">
        <w:rPr>
          <w:i/>
          <w:iCs/>
        </w:rPr>
        <w:t xml:space="preserve">Specificity </w:t>
      </w:r>
      <w:r w:rsidRPr="00450082">
        <w:t xml:space="preserve">represents the true negative rate (TNR), calculated as the number of correct negative results divided by the number of all negative samples: </w:t>
      </w:r>
      <w:r w:rsidRPr="00450082">
        <w:rPr>
          <w:b/>
          <w:bCs/>
        </w:rPr>
        <w:t>TN / TN + FP</w:t>
      </w:r>
    </w:p>
    <w:p w14:paraId="182F0127" w14:textId="77777777" w:rsidR="00450082" w:rsidRPr="00450082" w:rsidRDefault="00450082" w:rsidP="00450082">
      <w:r w:rsidRPr="00450082">
        <w:rPr>
          <w:i/>
          <w:iCs/>
        </w:rPr>
        <w:t xml:space="preserve">Precision </w:t>
      </w:r>
      <w:r w:rsidRPr="00450082">
        <w:t xml:space="preserve">represents the positive predictive value (PPV) of the model, calculated as the number of correct positive results divided by the number of all positive predictions: </w:t>
      </w:r>
      <w:r w:rsidRPr="00450082">
        <w:rPr>
          <w:b/>
          <w:bCs/>
        </w:rPr>
        <w:t>TP / TP + FP</w:t>
      </w:r>
    </w:p>
    <w:p w14:paraId="5E4BE1F9" w14:textId="77777777" w:rsidR="00450082" w:rsidRPr="00450082" w:rsidRDefault="00450082" w:rsidP="00450082">
      <w:r w:rsidRPr="00450082">
        <w:rPr>
          <w:i/>
          <w:iCs/>
        </w:rPr>
        <w:t xml:space="preserve">F1-score </w:t>
      </w:r>
      <w:r w:rsidRPr="00450082">
        <w:t>represents a simple harmonic mean of precision and sensitivity:</w:t>
      </w:r>
      <w:r w:rsidRPr="00450082">
        <w:rPr>
          <w:b/>
          <w:bCs/>
        </w:rPr>
        <w:t xml:space="preserve"> 2 x precision x sensitivity/precision + sensitivity</w:t>
      </w:r>
    </w:p>
    <w:p w14:paraId="2028FF20" w14:textId="77777777" w:rsidR="00450082" w:rsidRPr="00450082" w:rsidRDefault="00450082" w:rsidP="00450082">
      <w:r w:rsidRPr="00450082">
        <w:t>In cases of unbalanced samples across case-control groups or poorly calibrated model output, unadjusted accuracy scores may not adequately reflect a model’s clinical utility. We therefore reported a wide range of performance metrics to provide transparent results.</w:t>
      </w:r>
    </w:p>
    <w:p w14:paraId="291D1FEB" w14:textId="77777777" w:rsidR="006B450F" w:rsidRDefault="006B450F"/>
    <w:sectPr w:rsidR="006B45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6A6"/>
    <w:multiLevelType w:val="multilevel"/>
    <w:tmpl w:val="117C2D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97F40"/>
    <w:multiLevelType w:val="multilevel"/>
    <w:tmpl w:val="31D2B6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02C6B"/>
    <w:multiLevelType w:val="multilevel"/>
    <w:tmpl w:val="A72A9D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14AB5"/>
    <w:multiLevelType w:val="multilevel"/>
    <w:tmpl w:val="778807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B1E56"/>
    <w:multiLevelType w:val="multilevel"/>
    <w:tmpl w:val="0D3644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B26E7"/>
    <w:multiLevelType w:val="multilevel"/>
    <w:tmpl w:val="2D489A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1B04D1"/>
    <w:multiLevelType w:val="multilevel"/>
    <w:tmpl w:val="C9E4E2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7A4605"/>
    <w:multiLevelType w:val="multilevel"/>
    <w:tmpl w:val="F968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1D67F1"/>
    <w:multiLevelType w:val="multilevel"/>
    <w:tmpl w:val="CC405D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2320B3"/>
    <w:multiLevelType w:val="multilevel"/>
    <w:tmpl w:val="33E2B8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1F47C2"/>
    <w:multiLevelType w:val="multilevel"/>
    <w:tmpl w:val="4CA85C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9D2F1F"/>
    <w:multiLevelType w:val="multilevel"/>
    <w:tmpl w:val="D38E70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4337997">
    <w:abstractNumId w:val="7"/>
  </w:num>
  <w:num w:numId="2" w16cid:durableId="156919082">
    <w:abstractNumId w:val="5"/>
  </w:num>
  <w:num w:numId="3" w16cid:durableId="1966110311">
    <w:abstractNumId w:val="9"/>
    <w:lvlOverride w:ilvl="0">
      <w:lvl w:ilvl="0">
        <w:numFmt w:val="decimal"/>
        <w:lvlText w:val="%1."/>
        <w:lvlJc w:val="left"/>
      </w:lvl>
    </w:lvlOverride>
  </w:num>
  <w:num w:numId="4" w16cid:durableId="2089187740">
    <w:abstractNumId w:val="3"/>
    <w:lvlOverride w:ilvl="0">
      <w:lvl w:ilvl="0">
        <w:numFmt w:val="decimal"/>
        <w:lvlText w:val="%1."/>
        <w:lvlJc w:val="left"/>
      </w:lvl>
    </w:lvlOverride>
  </w:num>
  <w:num w:numId="5" w16cid:durableId="929387990">
    <w:abstractNumId w:val="11"/>
    <w:lvlOverride w:ilvl="0">
      <w:lvl w:ilvl="0">
        <w:numFmt w:val="decimal"/>
        <w:lvlText w:val="%1."/>
        <w:lvlJc w:val="left"/>
      </w:lvl>
    </w:lvlOverride>
  </w:num>
  <w:num w:numId="6" w16cid:durableId="1586954707">
    <w:abstractNumId w:val="1"/>
    <w:lvlOverride w:ilvl="0">
      <w:lvl w:ilvl="0">
        <w:numFmt w:val="decimal"/>
        <w:lvlText w:val="%1."/>
        <w:lvlJc w:val="left"/>
      </w:lvl>
    </w:lvlOverride>
  </w:num>
  <w:num w:numId="7" w16cid:durableId="700596002">
    <w:abstractNumId w:val="4"/>
    <w:lvlOverride w:ilvl="0">
      <w:lvl w:ilvl="0">
        <w:numFmt w:val="decimal"/>
        <w:lvlText w:val="%1."/>
        <w:lvlJc w:val="left"/>
      </w:lvl>
    </w:lvlOverride>
  </w:num>
  <w:num w:numId="8" w16cid:durableId="1669013345">
    <w:abstractNumId w:val="8"/>
    <w:lvlOverride w:ilvl="0">
      <w:lvl w:ilvl="0">
        <w:numFmt w:val="decimal"/>
        <w:lvlText w:val="%1."/>
        <w:lvlJc w:val="left"/>
      </w:lvl>
    </w:lvlOverride>
  </w:num>
  <w:num w:numId="9" w16cid:durableId="1075661280">
    <w:abstractNumId w:val="10"/>
    <w:lvlOverride w:ilvl="0">
      <w:lvl w:ilvl="0">
        <w:numFmt w:val="decimal"/>
        <w:lvlText w:val="%1."/>
        <w:lvlJc w:val="left"/>
      </w:lvl>
    </w:lvlOverride>
  </w:num>
  <w:num w:numId="10" w16cid:durableId="1155493872">
    <w:abstractNumId w:val="6"/>
    <w:lvlOverride w:ilvl="0">
      <w:lvl w:ilvl="0">
        <w:numFmt w:val="decimal"/>
        <w:lvlText w:val="%1."/>
        <w:lvlJc w:val="left"/>
      </w:lvl>
    </w:lvlOverride>
  </w:num>
  <w:num w:numId="11" w16cid:durableId="2107143481">
    <w:abstractNumId w:val="2"/>
    <w:lvlOverride w:ilvl="0">
      <w:lvl w:ilvl="0">
        <w:numFmt w:val="decimal"/>
        <w:lvlText w:val="%1."/>
        <w:lvlJc w:val="left"/>
      </w:lvl>
    </w:lvlOverride>
  </w:num>
  <w:num w:numId="12" w16cid:durableId="665405120">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082"/>
    <w:rsid w:val="00225B77"/>
    <w:rsid w:val="002842E1"/>
    <w:rsid w:val="00450082"/>
    <w:rsid w:val="004C3271"/>
    <w:rsid w:val="005003AD"/>
    <w:rsid w:val="00654EBB"/>
    <w:rsid w:val="00665FF8"/>
    <w:rsid w:val="006B450F"/>
    <w:rsid w:val="007B2DFB"/>
    <w:rsid w:val="00916833"/>
    <w:rsid w:val="00A77A02"/>
    <w:rsid w:val="00F201F9"/>
    <w:rsid w:val="00F41879"/>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7297"/>
  <w15:chartTrackingRefBased/>
  <w15:docId w15:val="{7C268D45-4261-4209-AEBF-0789E95E0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0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0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0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0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0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0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0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0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0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0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082"/>
    <w:rPr>
      <w:rFonts w:eastAsiaTheme="majorEastAsia" w:cstheme="majorBidi"/>
      <w:color w:val="272727" w:themeColor="text1" w:themeTint="D8"/>
    </w:rPr>
  </w:style>
  <w:style w:type="paragraph" w:styleId="Title">
    <w:name w:val="Title"/>
    <w:basedOn w:val="Normal"/>
    <w:next w:val="Normal"/>
    <w:link w:val="TitleChar"/>
    <w:uiPriority w:val="10"/>
    <w:qFormat/>
    <w:rsid w:val="00450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082"/>
    <w:pPr>
      <w:spacing w:before="160"/>
      <w:jc w:val="center"/>
    </w:pPr>
    <w:rPr>
      <w:i/>
      <w:iCs/>
      <w:color w:val="404040" w:themeColor="text1" w:themeTint="BF"/>
    </w:rPr>
  </w:style>
  <w:style w:type="character" w:customStyle="1" w:styleId="QuoteChar">
    <w:name w:val="Quote Char"/>
    <w:basedOn w:val="DefaultParagraphFont"/>
    <w:link w:val="Quote"/>
    <w:uiPriority w:val="29"/>
    <w:rsid w:val="00450082"/>
    <w:rPr>
      <w:i/>
      <w:iCs/>
      <w:color w:val="404040" w:themeColor="text1" w:themeTint="BF"/>
    </w:rPr>
  </w:style>
  <w:style w:type="paragraph" w:styleId="ListParagraph">
    <w:name w:val="List Paragraph"/>
    <w:basedOn w:val="Normal"/>
    <w:uiPriority w:val="34"/>
    <w:qFormat/>
    <w:rsid w:val="00450082"/>
    <w:pPr>
      <w:ind w:left="720"/>
      <w:contextualSpacing/>
    </w:pPr>
  </w:style>
  <w:style w:type="character" w:styleId="IntenseEmphasis">
    <w:name w:val="Intense Emphasis"/>
    <w:basedOn w:val="DefaultParagraphFont"/>
    <w:uiPriority w:val="21"/>
    <w:qFormat/>
    <w:rsid w:val="00450082"/>
    <w:rPr>
      <w:i/>
      <w:iCs/>
      <w:color w:val="2F5496" w:themeColor="accent1" w:themeShade="BF"/>
    </w:rPr>
  </w:style>
  <w:style w:type="paragraph" w:styleId="IntenseQuote">
    <w:name w:val="Intense Quote"/>
    <w:basedOn w:val="Normal"/>
    <w:next w:val="Normal"/>
    <w:link w:val="IntenseQuoteChar"/>
    <w:uiPriority w:val="30"/>
    <w:qFormat/>
    <w:rsid w:val="004500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082"/>
    <w:rPr>
      <w:i/>
      <w:iCs/>
      <w:color w:val="2F5496" w:themeColor="accent1" w:themeShade="BF"/>
    </w:rPr>
  </w:style>
  <w:style w:type="character" w:styleId="IntenseReference">
    <w:name w:val="Intense Reference"/>
    <w:basedOn w:val="DefaultParagraphFont"/>
    <w:uiPriority w:val="32"/>
    <w:qFormat/>
    <w:rsid w:val="004500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4101</Words>
  <Characters>24822</Characters>
  <Application>Microsoft Office Word</Application>
  <DocSecurity>0</DocSecurity>
  <Lines>322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Penny MacDonald</dc:creator>
  <cp:keywords/>
  <dc:description/>
  <cp:lastModifiedBy>Asma Omar</cp:lastModifiedBy>
  <cp:revision>4</cp:revision>
  <dcterms:created xsi:type="dcterms:W3CDTF">2025-08-09T20:34:00Z</dcterms:created>
  <dcterms:modified xsi:type="dcterms:W3CDTF">2025-09-27T01:42:00Z</dcterms:modified>
</cp:coreProperties>
</file>