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44"/>
                <w:szCs w:val="44"/>
              </w:rPr>
              <w:t xml:space="preserve">MARCUS A. OYELOWO</w:t>
            </w:r>
          </w:p>
          <w:p>
            <w:pPr>
              <w:spacing w:after="120"/>
              <w:jc w:val="center"/>
            </w:pPr>
            <w:r>
              <w:rPr>
                <w:rFonts w:ascii="Helvetica" w:cs="Helvetica" w:eastAsia="Helvetica" w:hAnsi="Helvetica"/>
                <w:color w:val="FFFFFF"/>
                <w:sz w:val="24"/>
                <w:szCs w:val="24"/>
              </w:rPr>
              <w:t xml:space="preserve">Marketing Director  |  E-commerce, Performance &amp; Growth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FFFFF"/>
                <w:sz w:val="20"/>
                <w:szCs w:val="20"/>
              </w:rPr>
              <w:t xml:space="preserve">Los Angeles, CA  |  +1 (323) 555-0167  |  marcus.oyelowo@email.com  |  linkedin.com/in/moyelowo</w:t>
            </w:r>
          </w:p>
        </w:tc>
      </w:tr>
    </w:tbl>
    <w:p>
      <w:pPr>
        <w:pBdr>
          <w:bottom w:val="single" w:color="0F766E" w:sz="12" w:space="4"/>
        </w:pBdr>
        <w:spacing w:after="140" w:before="280"/>
      </w:pPr>
      <w:r>
        <w:rPr>
          <w:rFonts w:ascii="Helvetica" w:cs="Helvetica" w:eastAsia="Helvetica" w:hAnsi="Helvetica"/>
          <w:b/>
          <w:bCs/>
          <w:color w:val="0F766E"/>
          <w:sz w:val="26"/>
          <w:szCs w:val="26"/>
        </w:rPr>
        <w:t xml:space="preserve">PROFESSIONAL SUMMARY</w:t>
      </w:r>
    </w:p>
    <w:p>
      <w:pPr>
        <w:spacing w:after="100"/>
      </w:pPr>
      <w:r>
        <w:rPr>
          <w:rFonts w:ascii="Helvetica" w:cs="Helvetica" w:eastAsia="Helvetica" w:hAnsi="Helvetica"/>
          <w:sz w:val="22"/>
          <w:szCs w:val="22"/>
        </w:rPr>
        <w:t xml:space="preserve">Performance-obsessed Marketing Director with 11+ years of experience scaling DTC and e-commerce brands from early-stage to nine-figure revenue. Specialist in paid acquisition, lifecycle marketing, retention economics, and creative testing at scale. Have personally managed more than $80M in cumulative paid media spend across Meta, TikTok, Google, and programmatic. Strong operator-builder hybrid: equally comfortable in an LTV:CAC model, a Looker dashboard, and a creative review.</w:t>
      </w:r>
    </w:p>
    <w:p>
      <w:pPr>
        <w:pBdr>
          <w:bottom w:val="single" w:color="0F766E" w:sz="12" w:space="4"/>
        </w:pBdr>
        <w:spacing w:after="140" w:before="280"/>
      </w:pPr>
      <w:r>
        <w:rPr>
          <w:rFonts w:ascii="Helvetica" w:cs="Helvetica" w:eastAsia="Helvetica" w:hAnsi="Helvetica"/>
          <w:b/>
          <w:bCs/>
          <w:color w:val="0F766E"/>
          <w:sz w:val="26"/>
          <w:szCs w:val="26"/>
        </w:rPr>
        <w:t xml:space="preserve">CORE COMPETENCIES</w:t>
      </w:r>
    </w:p>
    <w:p>
      <w:pPr>
        <w:spacing w:after="120"/>
      </w:pPr>
      <w:r>
        <w:rPr>
          <w:rFonts w:ascii="Helvetica" w:cs="Helvetica" w:eastAsia="Helvetica" w:hAnsi="Helvetica"/>
          <w:sz w:val="22"/>
          <w:szCs w:val="22"/>
        </w:rPr>
        <w:t xml:space="preserve">Performance Marketing  •  Paid Social (Meta, TikTok, Reddit)  •  Paid Search &amp; Shopping  •  Creative Strategy &amp; Testing  •  Lifecycle / CRM (Klaviyo, Iterable)  •  Conversion Rate Optimization  •  Marketing Mix Modeling (MMM)  •  Influencer &amp; Affiliate  •  Subscription &amp; Retention  •  Shopify / DTC Stack  •  Team Leadership</w:t>
      </w:r>
    </w:p>
    <w:p>
      <w:pPr>
        <w:pBdr>
          <w:bottom w:val="single" w:color="0F766E" w:sz="12" w:space="4"/>
        </w:pBdr>
        <w:spacing w:after="140" w:before="280"/>
      </w:pPr>
      <w:r>
        <w:rPr>
          <w:rFonts w:ascii="Helvetica" w:cs="Helvetica" w:eastAsia="Helvetica" w:hAnsi="Helvetica"/>
          <w:b/>
          <w:bCs/>
          <w:color w:val="0F766E"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Helvetica" w:cs="Helvetica" w:eastAsia="Helvetica" w:hAnsi="Helvetica"/>
          <w:b/>
          <w:bCs/>
          <w:color w:val="000000"/>
          <w:sz w:val="23"/>
          <w:szCs w:val="23"/>
        </w:rPr>
        <w:t xml:space="preserve">Marketing Director</w:t>
      </w:r>
      <w:r>
        <w:rPr>
          <w:rFonts w:ascii="Helvetica" w:cs="Helvetica" w:eastAsia="Helvetica" w:hAnsi="Helvetica"/>
          <w:color w:val="555555"/>
          <w:sz w:val="22"/>
          <w:szCs w:val="22"/>
        </w:rPr>
        <w:t xml:space="preserve">	Jun 2022 – Present</w:t>
      </w:r>
    </w:p>
    <w:p>
      <w:pPr>
        <w:tabs>
          <w:tab w:val="right" w:pos="9360"/>
        </w:tabs>
        <w:spacing w:after="100"/>
      </w:pPr>
      <w:r>
        <w:rPr>
          <w:rFonts w:ascii="Helvetica" w:cs="Helvetica" w:eastAsia="Helvetica" w:hAnsi="Helvetica"/>
          <w:i/>
          <w:iCs/>
          <w:color w:val="0F766E"/>
          <w:sz w:val="22"/>
          <w:szCs w:val="22"/>
        </w:rPr>
        <w:t xml:space="preserve">Northstride Athletic (DTC Performance Apparel)</w:t>
      </w:r>
      <w:r>
        <w:rPr>
          <w:rFonts w:ascii="Helvetica" w:cs="Helvetica" w:eastAsia="Helvetica" w:hAnsi="Helvetica"/>
          <w:i/>
          <w:iCs/>
          <w:color w:val="555555"/>
          <w:sz w:val="22"/>
          <w:szCs w:val="22"/>
        </w:rPr>
        <w:t xml:space="preserve">	Los Angeles, 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Own all customer acquisition and retention for a DTC athletic apparel brand; scaled net revenue from $42M to $128M in 30 months while holding blended ROAS at 3.4x.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Lead a 16-person team across paid acquisition, lifecycle, creative strategy, organic social, and influencer.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Rebuilt the creative engine to ship 80+ paid creative variants per month, lifting Meta CAC efficiency by 41% in two quarters.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Implemented a marketing mix model (MMM) alongside last-click attribution, leading to a $4.2M reallocation from paid social to YouTube and connected TV — with a measurable lift in incrementality.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Grew the email and SMS channels to 22% of total revenue (from 9%), through segmentation, post-purchase journeys, and predictive churn flows in Klaviyo.</w:t>
      </w:r>
    </w:p>
    <w:p>
      <w:pPr>
        <w:tabs>
          <w:tab w:val="right" w:pos="9360"/>
        </w:tabs>
        <w:spacing w:after="40" w:before="160"/>
      </w:pPr>
      <w:r>
        <w:rPr>
          <w:rFonts w:ascii="Helvetica" w:cs="Helvetica" w:eastAsia="Helvetica" w:hAnsi="Helvetica"/>
          <w:b/>
          <w:bCs/>
          <w:color w:val="000000"/>
          <w:sz w:val="23"/>
          <w:szCs w:val="23"/>
        </w:rPr>
        <w:t xml:space="preserve">Head of Growth</w:t>
      </w:r>
      <w:r>
        <w:rPr>
          <w:rFonts w:ascii="Helvetica" w:cs="Helvetica" w:eastAsia="Helvetica" w:hAnsi="Helvetica"/>
          <w:color w:val="555555"/>
          <w:sz w:val="22"/>
          <w:szCs w:val="22"/>
        </w:rPr>
        <w:t xml:space="preserve">	Sep 2019 – May 2022</w:t>
      </w:r>
    </w:p>
    <w:p>
      <w:pPr>
        <w:tabs>
          <w:tab w:val="right" w:pos="9360"/>
        </w:tabs>
        <w:spacing w:after="100"/>
      </w:pPr>
      <w:r>
        <w:rPr>
          <w:rFonts w:ascii="Helvetica" w:cs="Helvetica" w:eastAsia="Helvetica" w:hAnsi="Helvetica"/>
          <w:i/>
          <w:iCs/>
          <w:color w:val="0F766E"/>
          <w:sz w:val="22"/>
          <w:szCs w:val="22"/>
        </w:rPr>
        <w:t xml:space="preserve">Lumera Sleep (DTC Sleep Wellness, $48M ARR)</w:t>
      </w:r>
      <w:r>
        <w:rPr>
          <w:rFonts w:ascii="Helvetica" w:cs="Helvetica" w:eastAsia="Helvetica" w:hAnsi="Helvetica"/>
          <w:i/>
          <w:iCs/>
          <w:color w:val="555555"/>
          <w:sz w:val="22"/>
          <w:szCs w:val="22"/>
        </w:rPr>
        <w:t xml:space="preserve">	Austin, TX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Joined as the third marketing hire; built the growth function from $6M to $48M in annual revenue and led the brand to profitability in 2021.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Scaled paid media spend from $1.1M to $14M annually across Meta, Google, TikTok, and Pinterest, while improving contribution margin by 9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Launched the brand's subscription program, growing it to 38% of revenue and a 14-month average customer lifespan.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Built and managed an in-house creative pod (3 editors, 1 producer, 1 strategist) producing 200+ short-form video assets per quarter.</w:t>
      </w:r>
    </w:p>
    <w:p>
      <w:pPr>
        <w:tabs>
          <w:tab w:val="right" w:pos="9360"/>
        </w:tabs>
        <w:spacing w:after="40" w:before="160"/>
      </w:pPr>
      <w:r>
        <w:rPr>
          <w:rFonts w:ascii="Helvetica" w:cs="Helvetica" w:eastAsia="Helvetica" w:hAnsi="Helvetica"/>
          <w:b/>
          <w:bCs/>
          <w:color w:val="000000"/>
          <w:sz w:val="23"/>
          <w:szCs w:val="23"/>
        </w:rPr>
        <w:t xml:space="preserve">Senior Growth Marketing Manager</w:t>
      </w:r>
      <w:r>
        <w:rPr>
          <w:rFonts w:ascii="Helvetica" w:cs="Helvetica" w:eastAsia="Helvetica" w:hAnsi="Helvetica"/>
          <w:color w:val="555555"/>
          <w:sz w:val="22"/>
          <w:szCs w:val="22"/>
        </w:rPr>
        <w:t xml:space="preserve">	Mar 2017 – Aug 2019</w:t>
      </w:r>
    </w:p>
    <w:p>
      <w:pPr>
        <w:tabs>
          <w:tab w:val="right" w:pos="9360"/>
        </w:tabs>
        <w:spacing w:after="100"/>
      </w:pPr>
      <w:r>
        <w:rPr>
          <w:rFonts w:ascii="Helvetica" w:cs="Helvetica" w:eastAsia="Helvetica" w:hAnsi="Helvetica"/>
          <w:i/>
          <w:iCs/>
          <w:color w:val="0F766E"/>
          <w:sz w:val="22"/>
          <w:szCs w:val="22"/>
        </w:rPr>
        <w:t xml:space="preserve">Birchwave (DTC Skincare, acquired 2020)</w:t>
      </w:r>
      <w:r>
        <w:rPr>
          <w:rFonts w:ascii="Helvetica" w:cs="Helvetica" w:eastAsia="Helvetica" w:hAnsi="Helvetica"/>
          <w:i/>
          <w:iCs/>
          <w:color w:val="555555"/>
          <w:sz w:val="22"/>
          <w:szCs w:val="22"/>
        </w:rPr>
        <w:t xml:space="preserve">	New York, 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Owned paid acquisition across Meta, Google, and Snap; scaled monthly spend from $180K to $1.6M while holding payback period under 5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Ran a structured creative testing program that produced four "hero" creatives, each spending more than $1M in lifetime ad spend.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Played a key role in due diligence and integration for the brand's acquisition by a publicly traded beauty conglomerate.</w:t>
      </w:r>
    </w:p>
    <w:p>
      <w:pPr>
        <w:tabs>
          <w:tab w:val="right" w:pos="9360"/>
        </w:tabs>
        <w:spacing w:after="40" w:before="160"/>
      </w:pPr>
      <w:r>
        <w:rPr>
          <w:rFonts w:ascii="Helvetica" w:cs="Helvetica" w:eastAsia="Helvetica" w:hAnsi="Helvetica"/>
          <w:b/>
          <w:bCs/>
          <w:color w:val="000000"/>
          <w:sz w:val="23"/>
          <w:szCs w:val="23"/>
        </w:rPr>
        <w:t xml:space="preserve">Performance Marketing Manager</w:t>
      </w:r>
      <w:r>
        <w:rPr>
          <w:rFonts w:ascii="Helvetica" w:cs="Helvetica" w:eastAsia="Helvetica" w:hAnsi="Helvetica"/>
          <w:color w:val="555555"/>
          <w:sz w:val="22"/>
          <w:szCs w:val="22"/>
        </w:rPr>
        <w:t xml:space="preserve">	Aug 2014 – Feb 2017</w:t>
      </w:r>
    </w:p>
    <w:p>
      <w:pPr>
        <w:tabs>
          <w:tab w:val="right" w:pos="9360"/>
        </w:tabs>
        <w:spacing w:after="100"/>
      </w:pPr>
      <w:r>
        <w:rPr>
          <w:rFonts w:ascii="Helvetica" w:cs="Helvetica" w:eastAsia="Helvetica" w:hAnsi="Helvetica"/>
          <w:i/>
          <w:iCs/>
          <w:color w:val="0F766E"/>
          <w:sz w:val="22"/>
          <w:szCs w:val="22"/>
        </w:rPr>
        <w:t xml:space="preserve">Voltify Media (Growth Agency)</w:t>
      </w:r>
      <w:r>
        <w:rPr>
          <w:rFonts w:ascii="Helvetica" w:cs="Helvetica" w:eastAsia="Helvetica" w:hAnsi="Helvetica"/>
          <w:i/>
          <w:iCs/>
          <w:color w:val="555555"/>
          <w:sz w:val="22"/>
          <w:szCs w:val="22"/>
        </w:rPr>
        <w:t xml:space="preserve">	New York, 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Managed paid acquisition for 6 high-growth DTC clients (cumulative spend $11M+), with an average client retention of 22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Promoted twice in 30 months for consistently exceeding client growth targets.</w:t>
      </w:r>
    </w:p>
    <w:p>
      <w:pPr>
        <w:pBdr>
          <w:bottom w:val="single" w:color="0F766E" w:sz="12" w:space="4"/>
        </w:pBdr>
        <w:spacing w:after="140" w:before="280"/>
      </w:pPr>
      <w:r>
        <w:rPr>
          <w:rFonts w:ascii="Helvetica" w:cs="Helvetica" w:eastAsia="Helvetica" w:hAnsi="Helvetica"/>
          <w:b/>
          <w:bCs/>
          <w:color w:val="0F766E"/>
          <w:sz w:val="26"/>
          <w:szCs w:val="26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Helvetica" w:cs="Helvetica" w:eastAsia="Helvetica" w:hAnsi="Helvetica"/>
          <w:b/>
          <w:bCs/>
          <w:color w:val="000000"/>
          <w:sz w:val="23"/>
          <w:szCs w:val="23"/>
        </w:rPr>
        <w:t xml:space="preserve">BBA, Marketing &amp; Quantitative Analysis</w:t>
      </w:r>
      <w:r>
        <w:rPr>
          <w:rFonts w:ascii="Helvetica" w:cs="Helvetica" w:eastAsia="Helvetica" w:hAnsi="Helvetica"/>
          <w:color w:val="555555"/>
          <w:sz w:val="22"/>
          <w:szCs w:val="22"/>
        </w:rPr>
        <w:t xml:space="preserve">	2010 – 2014</w:t>
      </w:r>
    </w:p>
    <w:p>
      <w:pPr>
        <w:tabs>
          <w:tab w:val="right" w:pos="9360"/>
        </w:tabs>
        <w:spacing w:after="100"/>
      </w:pPr>
      <w:r>
        <w:rPr>
          <w:rFonts w:ascii="Helvetica" w:cs="Helvetica" w:eastAsia="Helvetica" w:hAnsi="Helvetica"/>
          <w:i/>
          <w:iCs/>
          <w:color w:val="0F766E"/>
          <w:sz w:val="22"/>
          <w:szCs w:val="22"/>
        </w:rPr>
        <w:t xml:space="preserve">Emory University – Goizueta Business School</w:t>
      </w:r>
      <w:r>
        <w:rPr>
          <w:rFonts w:ascii="Helvetica" w:cs="Helvetica" w:eastAsia="Helvetica" w:hAnsi="Helvetica"/>
          <w:i/>
          <w:iCs/>
          <w:color w:val="555555"/>
          <w:sz w:val="22"/>
          <w:szCs w:val="22"/>
        </w:rPr>
        <w:t xml:space="preserve">	Atlanta, GA</w:t>
      </w:r>
    </w:p>
    <w:p>
      <w:pPr>
        <w:spacing w:after="100"/>
      </w:pPr>
      <w:r>
        <w:rPr>
          <w:rFonts w:ascii="Helvetica" w:cs="Helvetica" w:eastAsia="Helvetica" w:hAnsi="Helvetica"/>
          <w:i/>
          <w:iCs/>
          <w:sz w:val="22"/>
          <w:szCs w:val="22"/>
        </w:rPr>
        <w:t xml:space="preserve">Goizueta Honors Program. Concentration in Consumer Behavior &amp; Analytics.</w:t>
      </w:r>
    </w:p>
    <w:p>
      <w:pPr>
        <w:pBdr>
          <w:bottom w:val="single" w:color="0F766E" w:sz="12" w:space="4"/>
        </w:pBdr>
        <w:spacing w:after="140" w:before="280"/>
      </w:pPr>
      <w:r>
        <w:rPr>
          <w:rFonts w:ascii="Helvetica" w:cs="Helvetica" w:eastAsia="Helvetica" w:hAnsi="Helvetica"/>
          <w:b/>
          <w:bCs/>
          <w:color w:val="0F766E"/>
          <w:sz w:val="26"/>
          <w:szCs w:val="26"/>
        </w:rPr>
        <w:t xml:space="preserve">CERTIFICATIONS &amp;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Meta Blueprint Certified Media Buying Professional, 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Google Ads &amp; Google Analytics 4 Certified,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Northbeam &amp; Triple Whale (advanced certified 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Stack: Shopify Plus, Klaviyo, Iterable, Looker, Northbeam, Motion, Foreplay, Recharge, Yotpo, Attentive</w:t>
      </w:r>
    </w:p>
    <w:p>
      <w:pPr>
        <w:pBdr>
          <w:bottom w:val="single" w:color="0F766E" w:sz="12" w:space="4"/>
        </w:pBdr>
        <w:spacing w:after="140" w:before="280"/>
      </w:pPr>
      <w:r>
        <w:rPr>
          <w:rFonts w:ascii="Helvetica" w:cs="Helvetica" w:eastAsia="Helvetica" w:hAnsi="Helvetica"/>
          <w:b/>
          <w:bCs/>
          <w:color w:val="0F766E"/>
          <w:sz w:val="26"/>
          <w:szCs w:val="26"/>
        </w:rPr>
        <w:t xml:space="preserve">SPEAKING &amp; 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Speaker, Commerce Roundtable 2024 – "Creative Volume vs. Creative Quality"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Speaker, ChargedUp by Recharge 2023 – "Subscription LTV in a CAC-Inflated World"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Mentor, Techstars Marketing Cohort (2022–present)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2026-05-09T23:54:53.734Z</dcterms:created>
  <dcterms:modified xsi:type="dcterms:W3CDTF">2026-05-09T23:54:53.734Z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