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jc w:val="center"/>
      </w:pPr>
      <w:r>
        <w:rPr>
          <w:rFonts w:ascii="Arial" w:cs="Arial" w:eastAsia="Arial" w:hAnsi="Arial"/>
          <w:b/>
          <w:bCs/>
          <w:color w:val="1A3C5E"/>
          <w:sz w:val="60"/>
          <w:szCs w:val="60"/>
        </w:rPr>
        <w:t xml:space="preserve">THREAT ASSESSMENT REPORT</w:t>
      </w:r>
    </w:p>
    <w:p>
      <w:pPr>
        <w:spacing w:after="80" w:before="0"/>
        <w:jc w:val="center"/>
      </w:pPr>
      <w:r>
        <w:rPr>
          <w:rFonts w:ascii="Arial" w:cs="Arial" w:eastAsia="Arial" w:hAnsi="Arial"/>
          <w:b/>
          <w:bCs/>
          <w:color w:val="2E75B6"/>
          <w:sz w:val="40"/>
          <w:szCs w:val="40"/>
        </w:rPr>
        <w:t xml:space="preserve">University Information Systems</w:t>
      </w:r>
    </w:p>
    <w:p>
      <w:pPr>
        <w:spacing w:after="500" w:before="0"/>
        <w:jc w:val="center"/>
      </w:pPr>
      <w:r>
        <w:rPr>
          <w:rFonts w:ascii="Arial" w:cs="Arial" w:eastAsia="Arial" w:hAnsi="Arial"/>
          <w:i/>
          <w:iCs/>
          <w:color w:val="5A5A5A"/>
          <w:sz w:val="26"/>
          <w:szCs w:val="26"/>
        </w:rPr>
        <w:t xml:space="preserve">Smart Campus Initiative  |  Vision 2030 Digital Transformation</w:t>
      </w:r>
    </w:p>
    <w:p>
      <w:pPr>
        <w:pBdr>
          <w:bottom w:val="single" w:color="2E75B6" w:sz="6" w:space="1"/>
        </w:pBdr>
        <w:spacing w:after="160" w:before="16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Threat Assessment Report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Target System:</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University Information &amp; Academic Systems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Asma Aziz Aldahfeeri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Final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Academic  |  For Educational Purposes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STRIDE  |  MITRE ATT&amp;CK  |  NIST SP 800-30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Risk Methodology: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Likelihood × Impact Matrix (5×5)</w:t>
            </w:r>
          </w:p>
        </w:tc>
      </w:tr>
    </w:tbl>
    <w:p>
      <w:pPr>
        <w:spacing w:after="100" w:before="100"/>
      </w:pPr>
    </w:p>
    <w:p>
      <w:pPr>
        <w:spacing w:before="500"/>
        <w:jc w:val="center"/>
      </w:pPr>
      <w:r>
        <w:rPr>
          <w:rFonts w:ascii="Arial" w:cs="Arial" w:eastAsia="Arial" w:hAnsi="Arial"/>
          <w:i/>
          <w:iCs/>
          <w:color w:val="888888"/>
          <w:sz w:val="20"/>
          <w:szCs w:val="20"/>
        </w:rPr>
        <w:t xml:space="preserve">University of Hafr Al-Batin  |  Department of Computer Science and Engineering</w:t>
      </w:r>
    </w:p>
    <w:p>
      <w:r>
        <w:br w:type="page"/>
      </w:r>
    </w:p>
    <w:p>
      <w:pPr>
        <w:pStyle w:val="Heading1"/>
        <w:spacing w:after="200" w:before="400"/>
      </w:pPr>
      <w:r>
        <w:rPr>
          <w:rFonts w:ascii="Arial" w:cs="Arial" w:eastAsia="Arial" w:hAnsi="Arial"/>
          <w:b/>
          <w:bCs/>
          <w:color w:val="1A3C5E"/>
          <w:sz w:val="34"/>
          <w:szCs w:val="34"/>
        </w:rPr>
        <w:t xml:space="preserve">1. Executive Summary</w:t>
      </w:r>
    </w:p>
    <w:p>
      <w:pPr>
        <w:spacing w:after="80" w:before="80"/>
      </w:pPr>
      <w:r>
        <w:rPr>
          <w:rFonts w:ascii="Arial" w:cs="Arial" w:eastAsia="Arial" w:hAnsi="Arial"/>
          <w:sz w:val="22"/>
          <w:szCs w:val="22"/>
        </w:rPr>
        <w:t xml:space="preserve">This Threat Assessment Report identifies, analyzes, and prioritizes cybersecurity threats targeting the University Information Systems — including the Student Information System (SIS), Learning Management System (LMS), administrative databases, campus network infrastructure, and web-facing portals. The assessment follows the STRIDE threat modeling framework and NIST SP 800-30 risk assessment methodology.</w:t>
      </w:r>
    </w:p>
    <w:p>
      <w:pPr>
        <w:spacing w:after="100" w:before="100"/>
      </w:pPr>
    </w:p>
    <w:p>
      <w:pPr>
        <w:spacing w:after="80" w:before="80"/>
      </w:pPr>
      <w:r>
        <w:rPr>
          <w:rFonts w:ascii="Arial" w:cs="Arial" w:eastAsia="Arial" w:hAnsi="Arial"/>
          <w:sz w:val="22"/>
          <w:szCs w:val="22"/>
        </w:rPr>
        <w:t xml:space="preserve">A total of 15 threats were identified across 10 critical assets. The assessment reveals a high-risk security posture driven primarily by inadequate access controls, missing web application security measures, and absence of network segmentation on campus infrastructure.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Critical</w:t>
            </w:r>
          </w:p>
        </w:tc>
        <w:tc>
          <w:tcPr>
            <w:tcW w:type="dxa" w:w="234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High</w:t>
            </w:r>
          </w:p>
        </w:tc>
        <w:tc>
          <w:tcPr>
            <w:tcW w:type="dxa" w:w="234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Medium</w:t>
            </w:r>
          </w:p>
        </w:tc>
        <w:tc>
          <w:tcPr>
            <w:tcW w:type="dxa" w:w="234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Low</w:t>
            </w:r>
          </w:p>
        </w:tc>
      </w:tr>
      <w:tr>
        <w:tc>
          <w:tcPr>
            <w:tcW w:type="dxa" w:w="234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jc w:val="center"/>
            </w:pPr>
            <w:r>
              <w:rPr>
                <w:rFonts w:ascii="Arial" w:cs="Arial" w:eastAsia="Arial" w:hAnsi="Arial"/>
                <w:b/>
                <w:bCs/>
                <w:color w:val="C00000"/>
                <w:sz w:val="36"/>
                <w:szCs w:val="36"/>
              </w:rPr>
              <w:t xml:space="preserve">5</w:t>
            </w:r>
          </w:p>
        </w:tc>
        <w:tc>
          <w:tcPr>
            <w:tcW w:type="dxa" w:w="2340"/>
            <w:tcBorders>
              <w:top w:val="single" w:color="CCCCCC" w:sz="1"/>
              <w:left w:val="single" w:color="CCCCCC" w:sz="1"/>
              <w:bottom w:val="single" w:color="CCCCCC" w:sz="1"/>
              <w:right w:val="single" w:color="CCCCCC" w:sz="1"/>
            </w:tcBorders>
            <w:shd w:fill="FEF3E2" w:val="clear"/>
            <w:tcMar>
              <w:top w:type="dxa" w:w="100"/>
              <w:left w:type="dxa" w:w="120"/>
              <w:bottom w:type="dxa" w:w="100"/>
              <w:right w:type="dxa" w:w="120"/>
            </w:tcMar>
          </w:tcPr>
          <w:p>
            <w:pPr>
              <w:jc w:val="center"/>
            </w:pPr>
            <w:r>
              <w:rPr>
                <w:rFonts w:ascii="Arial" w:cs="Arial" w:eastAsia="Arial" w:hAnsi="Arial"/>
                <w:b/>
                <w:bCs/>
                <w:color w:val="E26B0A"/>
                <w:sz w:val="36"/>
                <w:szCs w:val="36"/>
              </w:rPr>
              <w:t xml:space="preserve">8</w:t>
            </w:r>
          </w:p>
        </w:tc>
        <w:tc>
          <w:tcPr>
            <w:tcW w:type="dxa" w:w="2340"/>
            <w:tcBorders>
              <w:top w:val="single" w:color="CCCCCC" w:sz="1"/>
              <w:left w:val="single" w:color="CCCCCC" w:sz="1"/>
              <w:bottom w:val="single" w:color="CCCCCC" w:sz="1"/>
              <w:right w:val="single" w:color="CCCCCC" w:sz="1"/>
            </w:tcBorders>
            <w:shd w:fill="FFFDE7" w:val="clear"/>
            <w:tcMar>
              <w:top w:type="dxa" w:w="100"/>
              <w:left w:type="dxa" w:w="120"/>
              <w:bottom w:type="dxa" w:w="100"/>
              <w:right w:type="dxa" w:w="120"/>
            </w:tcMar>
          </w:tcPr>
          <w:p>
            <w:pPr>
              <w:jc w:val="center"/>
            </w:pPr>
            <w:r>
              <w:rPr>
                <w:rFonts w:ascii="Arial" w:cs="Arial" w:eastAsia="Arial" w:hAnsi="Arial"/>
                <w:b/>
                <w:bCs/>
                <w:color w:val="B8860B"/>
                <w:sz w:val="36"/>
                <w:szCs w:val="36"/>
              </w:rPr>
              <w:t xml:space="preserve">2</w:t>
            </w:r>
          </w:p>
        </w:tc>
        <w:tc>
          <w:tcPr>
            <w:tcW w:type="dxa" w:w="2340"/>
            <w:tcBorders>
              <w:top w:val="single" w:color="CCCCCC" w:sz="1"/>
              <w:left w:val="single" w:color="CCCCCC" w:sz="1"/>
              <w:bottom w:val="single" w:color="CCCCCC" w:sz="1"/>
              <w:right w:val="single" w:color="CCCCCC" w:sz="1"/>
            </w:tcBorders>
            <w:shd w:fill="F1F8E9" w:val="clear"/>
            <w:tcMar>
              <w:top w:type="dxa" w:w="100"/>
              <w:left w:type="dxa" w:w="120"/>
              <w:bottom w:type="dxa" w:w="100"/>
              <w:right w:type="dxa" w:w="120"/>
            </w:tcMar>
          </w:tcPr>
          <w:p>
            <w:pPr>
              <w:jc w:val="center"/>
            </w:pPr>
            <w:r>
              <w:rPr>
                <w:rFonts w:ascii="Arial" w:cs="Arial" w:eastAsia="Arial" w:hAnsi="Arial"/>
                <w:b/>
                <w:bCs/>
                <w:color w:val="375623"/>
                <w:sz w:val="36"/>
                <w:szCs w:val="36"/>
              </w:rPr>
              <w:t xml:space="preserve">0</w:t>
            </w:r>
          </w:p>
        </w:tc>
      </w:tr>
    </w:tbl>
    <w:p>
      <w:pPr>
        <w:spacing w:after="100" w:before="100"/>
      </w:pPr>
    </w:p>
    <w:p>
      <w:pPr>
        <w:spacing w:after="80" w:before="80"/>
      </w:pPr>
      <w:r>
        <w:rPr>
          <w:rFonts w:ascii="Arial" w:cs="Arial" w:eastAsia="Arial" w:hAnsi="Arial"/>
          <w:sz w:val="22"/>
          <w:szCs w:val="22"/>
        </w:rPr>
        <w:t xml:space="preserve">Key Recommendation: Immediate implementation of Multi-Factor Authentication (MFA), Web Application Firewall (WAF), and network segmentation is required to reduce the university's attack surface by an estimated 60%.</w:t>
      </w:r>
    </w:p>
    <w:p>
      <w:r>
        <w:br w:type="page"/>
      </w:r>
    </w:p>
    <w:p>
      <w:pPr>
        <w:pStyle w:val="Heading1"/>
        <w:spacing w:after="200" w:before="400"/>
      </w:pPr>
      <w:r>
        <w:rPr>
          <w:rFonts w:ascii="Arial" w:cs="Arial" w:eastAsia="Arial" w:hAnsi="Arial"/>
          <w:b/>
          <w:bCs/>
          <w:color w:val="1A3C5E"/>
          <w:sz w:val="34"/>
          <w:szCs w:val="34"/>
        </w:rPr>
        <w:t xml:space="preserve">2. Scope &amp; Methodology</w:t>
      </w:r>
    </w:p>
    <w:p>
      <w:pPr>
        <w:pStyle w:val="Heading2"/>
        <w:spacing w:after="160" w:before="280"/>
      </w:pPr>
      <w:r>
        <w:rPr>
          <w:rFonts w:ascii="Arial" w:cs="Arial" w:eastAsia="Arial" w:hAnsi="Arial"/>
          <w:b/>
          <w:bCs/>
          <w:color w:val="2E75B6"/>
          <w:sz w:val="26"/>
          <w:szCs w:val="26"/>
        </w:rPr>
        <w:t xml:space="preserve">2.1 Assessment Scope</w:t>
      </w:r>
    </w:p>
    <w:p>
      <w:pPr>
        <w:pStyle w:val="ListParagraph"/>
        <w:numPr>
          <w:ilvl w:val="0"/>
          <w:numId w:val="2"/>
        </w:numPr>
        <w:spacing w:after="60" w:before="60"/>
      </w:pPr>
      <w:r>
        <w:rPr>
          <w:rFonts w:ascii="Arial" w:cs="Arial" w:eastAsia="Arial" w:hAnsi="Arial"/>
          <w:sz w:val="22"/>
          <w:szCs w:val="22"/>
        </w:rPr>
        <w:t xml:space="preserve">Student Information System (SIS) — grades, registration, personal data</w:t>
      </w:r>
    </w:p>
    <w:p>
      <w:pPr>
        <w:pStyle w:val="ListParagraph"/>
        <w:numPr>
          <w:ilvl w:val="0"/>
          <w:numId w:val="2"/>
        </w:numPr>
        <w:spacing w:after="60" w:before="60"/>
      </w:pPr>
      <w:r>
        <w:rPr>
          <w:rFonts w:ascii="Arial" w:cs="Arial" w:eastAsia="Arial" w:hAnsi="Arial"/>
          <w:sz w:val="22"/>
          <w:szCs w:val="22"/>
        </w:rPr>
        <w:t xml:space="preserve">University web portals — public-facing and internal applications</w:t>
      </w:r>
    </w:p>
    <w:p>
      <w:pPr>
        <w:pStyle w:val="ListParagraph"/>
        <w:numPr>
          <w:ilvl w:val="0"/>
          <w:numId w:val="2"/>
        </w:numPr>
        <w:spacing w:after="60" w:before="60"/>
      </w:pPr>
      <w:r>
        <w:rPr>
          <w:rFonts w:ascii="Arial" w:cs="Arial" w:eastAsia="Arial" w:hAnsi="Arial"/>
          <w:sz w:val="22"/>
          <w:szCs w:val="22"/>
        </w:rPr>
        <w:t xml:space="preserve">Learning Management System (LMS) — Moodle-based course platform</w:t>
      </w:r>
    </w:p>
    <w:p>
      <w:pPr>
        <w:pStyle w:val="ListParagraph"/>
        <w:numPr>
          <w:ilvl w:val="0"/>
          <w:numId w:val="2"/>
        </w:numPr>
        <w:spacing w:after="60" w:before="60"/>
      </w:pPr>
      <w:r>
        <w:rPr>
          <w:rFonts w:ascii="Arial" w:cs="Arial" w:eastAsia="Arial" w:hAnsi="Arial"/>
          <w:sz w:val="22"/>
          <w:szCs w:val="22"/>
        </w:rPr>
        <w:t xml:space="preserve">Email and communication infrastructure</w:t>
      </w:r>
    </w:p>
    <w:p>
      <w:pPr>
        <w:pStyle w:val="ListParagraph"/>
        <w:numPr>
          <w:ilvl w:val="0"/>
          <w:numId w:val="2"/>
        </w:numPr>
        <w:spacing w:after="60" w:before="60"/>
      </w:pPr>
      <w:r>
        <w:rPr>
          <w:rFonts w:ascii="Arial" w:cs="Arial" w:eastAsia="Arial" w:hAnsi="Arial"/>
          <w:sz w:val="22"/>
          <w:szCs w:val="22"/>
        </w:rPr>
        <w:t xml:space="preserve">Campus WiFi and network infrastructure</w:t>
      </w:r>
    </w:p>
    <w:p>
      <w:pPr>
        <w:pStyle w:val="ListParagraph"/>
        <w:numPr>
          <w:ilvl w:val="0"/>
          <w:numId w:val="2"/>
        </w:numPr>
        <w:spacing w:after="60" w:before="60"/>
      </w:pPr>
      <w:r>
        <w:rPr>
          <w:rFonts w:ascii="Arial" w:cs="Arial" w:eastAsia="Arial" w:hAnsi="Arial"/>
          <w:sz w:val="22"/>
          <w:szCs w:val="22"/>
        </w:rPr>
        <w:t xml:space="preserve">Administrative databases and backup systems</w:t>
      </w:r>
    </w:p>
    <w:p>
      <w:pPr>
        <w:pStyle w:val="ListParagraph"/>
        <w:numPr>
          <w:ilvl w:val="0"/>
          <w:numId w:val="2"/>
        </w:numPr>
        <w:spacing w:after="60" w:before="60"/>
      </w:pPr>
      <w:r>
        <w:rPr>
          <w:rFonts w:ascii="Arial" w:cs="Arial" w:eastAsia="Arial" w:hAnsi="Arial"/>
          <w:sz w:val="22"/>
          <w:szCs w:val="22"/>
        </w:rPr>
        <w:t xml:space="preserve">IT administrative consoles and remote access systems</w:t>
      </w:r>
    </w:p>
    <w:p>
      <w:pPr>
        <w:spacing w:after="100" w:before="100"/>
      </w:pPr>
    </w:p>
    <w:p>
      <w:pPr>
        <w:pStyle w:val="Heading2"/>
        <w:spacing w:after="160" w:before="280"/>
      </w:pPr>
      <w:r>
        <w:rPr>
          <w:rFonts w:ascii="Arial" w:cs="Arial" w:eastAsia="Arial" w:hAnsi="Arial"/>
          <w:b/>
          <w:bCs/>
          <w:color w:val="2E75B6"/>
          <w:sz w:val="26"/>
          <w:szCs w:val="26"/>
        </w:rPr>
        <w:t xml:space="preserve">2.2 Threat Modeling Framework — STRIDE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Letter</w:t>
            </w:r>
          </w:p>
        </w:tc>
        <w:tc>
          <w:tcPr>
            <w:tcW w:type="dxa" w:w="20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1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Spoofing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Impersonating a user, system, or component to gain unauthorized access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Tampering</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Unauthorized modification of data in transit or at rest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Repudiation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Performing actions that cannot be traced back to the actor</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Information Disclosure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Exposing sensitive data to unauthorized parties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Denial of Service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Disrupting availability of systems or services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Elevation of Privilege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Gaining higher access rights than authorized</w:t>
            </w:r>
          </w:p>
        </w:tc>
      </w:tr>
    </w:tbl>
    <w:p>
      <w:pPr>
        <w:spacing w:after="100" w:before="100"/>
      </w:pPr>
    </w:p>
    <w:p>
      <w:pPr>
        <w:pStyle w:val="Heading2"/>
        <w:spacing w:after="160" w:before="280"/>
      </w:pPr>
      <w:r>
        <w:rPr>
          <w:rFonts w:ascii="Arial" w:cs="Arial" w:eastAsia="Arial" w:hAnsi="Arial"/>
          <w:b/>
          <w:bCs/>
          <w:color w:val="2E75B6"/>
          <w:sz w:val="26"/>
          <w:szCs w:val="26"/>
        </w:rPr>
        <w:t xml:space="preserve">2.3 Risk Scoring — NIST SP 800-30</w:t>
      </w:r>
    </w:p>
    <w:p>
      <w:pPr>
        <w:spacing w:after="80" w:before="80"/>
      </w:pPr>
      <w:r>
        <w:rPr>
          <w:rFonts w:ascii="Arial" w:cs="Arial" w:eastAsia="Arial" w:hAnsi="Arial"/>
          <w:sz w:val="22"/>
          <w:szCs w:val="22"/>
        </w:rPr>
        <w:t xml:space="preserve">Risk Level is calculated as: Risk = Likelihood × Impact. Each dimension is rated on a 1–5 scale. The resulting score determines the risk category: Critical (20–25), High (12–19), Medium (6–11), Low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 \ Impact</w:t>
            </w:r>
          </w:p>
        </w:tc>
        <w:tc>
          <w:tcPr>
            <w:tcW w:type="dxa" w:w="1872"/>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Negligible (1)</w:t>
            </w:r>
          </w:p>
        </w:tc>
        <w:tc>
          <w:tcPr>
            <w:tcW w:type="dxa" w:w="1872"/>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Low (2)</w:t>
            </w:r>
          </w:p>
        </w:tc>
        <w:tc>
          <w:tcPr>
            <w:tcW w:type="dxa" w:w="1872"/>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Medium (3)</w:t>
            </w:r>
          </w:p>
        </w:tc>
        <w:tc>
          <w:tcPr>
            <w:tcW w:type="dxa" w:w="1872"/>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High (4)</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 (5)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Med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 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 Critical</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 (4)</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 Low</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 — Med</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 — High</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 — Critical</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 Med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 Med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 High</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 (2)</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 Low</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 Low</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 — Med</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 — Med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Low (1)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Low</w:t>
            </w:r>
          </w:p>
        </w:tc>
      </w:tr>
    </w:tbl>
    <w:p>
      <w:r>
        <w:br w:type="page"/>
      </w:r>
    </w:p>
    <w:p>
      <w:pPr>
        <w:pStyle w:val="Heading1"/>
        <w:spacing w:after="200" w:before="400"/>
      </w:pPr>
      <w:r>
        <w:rPr>
          <w:rFonts w:ascii="Arial" w:cs="Arial" w:eastAsia="Arial" w:hAnsi="Arial"/>
          <w:b/>
          <w:bCs/>
          <w:color w:val="1A3C5E"/>
          <w:sz w:val="34"/>
          <w:szCs w:val="34"/>
        </w:rPr>
        <w:t xml:space="preserve">3. Asset Inventory &amp; Classification</w:t>
      </w:r>
    </w:p>
    <w:p>
      <w:pPr>
        <w:spacing w:after="80" w:before="80"/>
      </w:pPr>
      <w:r>
        <w:rPr>
          <w:rFonts w:ascii="Arial" w:cs="Arial" w:eastAsia="Arial" w:hAnsi="Arial"/>
          <w:sz w:val="22"/>
          <w:szCs w:val="22"/>
        </w:rPr>
        <w:t xml:space="preserve">The following critical assets were identified and classified by confidentiality level and business criticality. All assets are in scope for this threat assessment.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800"/>
        <w:gridCol w:w="1260"/>
      </w:tblGrid>
      <w:tr>
        <w:trPr>
          <w:tblHeader/>
        </w:trPr>
        <w:tc>
          <w:tcPr>
            <w:tcW w:type="dxa" w:w="28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Asset Name</w:t>
            </w:r>
          </w:p>
        </w:tc>
        <w:tc>
          <w:tcPr>
            <w:tcW w:type="dxa" w:w="15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Classification</w:t>
            </w:r>
          </w:p>
        </w:tc>
        <w:tc>
          <w:tcPr>
            <w:tcW w:type="dxa" w:w="28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Criticality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Student Information System (SIS)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 grades, IDs, personal data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University Web Portal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Internal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Course registration, announcements</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E26B0A"/>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Learning Management System (LMS)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Course content, assignments, exams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26B0A"/>
                <w:sz w:val="20"/>
                <w:szCs w:val="20"/>
              </w:rPr>
              <w:t xml:space="preserve">High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Email Infrastructure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Internal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Faculty and student communication</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E26B0A"/>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Administrative Database (MySQL)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Financial, HR, and academic records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Campus WiFi Infrastructure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Internal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Network access for 10,000+ users</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E26B0A"/>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VPN Gateway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Remote access for staff and faculty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Web Application Firewall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Internal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Perimeter protection for web apps</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B8860B"/>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Backup Systems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Daily backups of all critical data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IT Admin Console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Restricted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Server and network management</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bl>
    <w:p>
      <w:r>
        <w:br w:type="page"/>
      </w:r>
    </w:p>
    <w:p>
      <w:pPr>
        <w:pStyle w:val="Heading1"/>
        <w:spacing w:after="200" w:before="400"/>
      </w:pPr>
      <w:r>
        <w:rPr>
          <w:rFonts w:ascii="Arial" w:cs="Arial" w:eastAsia="Arial" w:hAnsi="Arial"/>
          <w:b/>
          <w:bCs/>
          <w:color w:val="1A3C5E"/>
          <w:sz w:val="34"/>
          <w:szCs w:val="34"/>
        </w:rPr>
        <w:t xml:space="preserve">4. Threat Catalog</w:t>
      </w:r>
    </w:p>
    <w:p>
      <w:pPr>
        <w:spacing w:after="80" w:before="80"/>
      </w:pPr>
      <w:r>
        <w:rPr>
          <w:rFonts w:ascii="Arial" w:cs="Arial" w:eastAsia="Arial" w:hAnsi="Arial"/>
          <w:sz w:val="22"/>
          <w:szCs w:val="22"/>
        </w:rPr>
        <w:t xml:space="preserve">The following 15 threats were identified through structured threat modeling using the STRIDE framework, MITRE ATT&amp;CK for Enterprise, and manual analysis of the university's attack surface.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700"/>
        <w:gridCol w:w="1500"/>
        <w:gridCol w:w="900"/>
        <w:gridCol w:w="900"/>
        <w:gridCol w:w="3980"/>
      </w:tblGrid>
      <w:tr>
        <w:trPr>
          <w:tblHeader/>
        </w:trPr>
        <w:tc>
          <w:tcPr>
            <w:tcW w:type="dxa" w:w="38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7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 Name</w:t>
            </w:r>
          </w:p>
        </w:tc>
        <w:tc>
          <w:tcPr>
            <w:tcW w:type="dxa" w:w="15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 Vector</w:t>
            </w:r>
          </w:p>
        </w:tc>
        <w:tc>
          <w:tcPr>
            <w:tcW w:type="dxa" w:w="9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9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98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&amp; Mitigation</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T-01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Unauthorized Remote Access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Network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Critical</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Students and staff access university portals from home networks without VPN enforcement. Attackers can intercept sessions or brute-force credentials. Mitigation: Enforce VPN + MFA for all external access.</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T-02</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SQL Injection on Student Portal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Web Application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Critical</w:t>
            </w:r>
          </w:p>
        </w:tc>
        <w:tc>
          <w:tcPr>
            <w:tcW w:type="dxa" w:w="39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 grade and registration forms lack input validation. An attacker can extract the entire academic database. Mitigation: Parameterized queries + WAF deployment.</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T-03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Credential Brute Force Attack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Authentication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Login portals have no rate limiting or account lockout. Automated tools can try millions of passwords. Mitigation: Rate limiting + CAPTCHA + lockout after 5 failures.</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T-04</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Phishing Attack on Faculty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Social Engineering</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39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Faculty email addresses are publicly listed. Targeted phishing can harvest credentials or deliver malware. Mitigation: Security awareness training + email filtering.</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T-05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Insider Threat — Data Exfiltration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Insider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860B"/>
                <w:sz w:val="19"/>
                <w:szCs w:val="19"/>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Critical</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Privileged staff with DB access can exfiltrate student PII. No DLP or user activity monitoring in place. Mitigation: Least privilege + DLP solution + UEBA monitoring.</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T-06</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Cross-Site Scripting (XSS)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Web Application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39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Student-facing web forms do not sanitize output. Injected scripts can steal session cookies or redirect users. Mitigation: Output encoding + Content Security Policy headers.</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T-07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Man-in-the-Middle on Campus WiFi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Network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860B"/>
                <w:sz w:val="19"/>
                <w:szCs w:val="19"/>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Campus WiFi networks lack 802.1X authentication. Attackers can intercept unencrypted traffic. Mitigation: Upgrade to WPA3-Enterprise + enforce HTTPS-only.</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T-08</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Ransomware via Email Attachment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Malware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B8860B"/>
                <w:sz w:val="19"/>
                <w:szCs w:val="19"/>
              </w:rPr>
              <w:t xml:space="preserve">Medium</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Critical</w:t>
            </w:r>
          </w:p>
        </w:tc>
        <w:tc>
          <w:tcPr>
            <w:tcW w:type="dxa" w:w="39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University endpoints lack EDR solutions. A single malicious attachment can encrypt academic records. Mitigation: EDR deployment + regular offline backups + email sandbox.</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T-09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Exposed Admin Panel (Google Dorking)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Reconnaissance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Admin login pages indexed by search engines. Attackers use Google Dorking to find /admin and /phpMyAdmin. Mitigation: Remove from public index + IP-restrict admin paths.</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T-10</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Session Hijacking — Token Not Expiring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Web Application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B8860B"/>
                <w:sz w:val="19"/>
                <w:szCs w:val="19"/>
              </w:rPr>
              <w:t xml:space="preserve">Medium</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39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Session tokens remain valid indefinitely after logout. Stolen tokens can be reused hours later. Mitigation: Session timeout after 15 min idle + token invalidation on logout.</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T-11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Unpatched CMS Vulnerabilities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Software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University website runs outdated CMS (WordPress/Moodle) with known CVEs. Mitigation: Automated patch management + vulnerability scanning schedule.</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T-12</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Insecure Direct Object Reference (IDOR)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Web Application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39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Students can view other students' grades by modifying URL parameters. No server-side authorization check. Mitigation: Object-level authorization on every request.</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T-13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DDoS Attack on Exam Systems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Availability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860B"/>
                <w:sz w:val="19"/>
                <w:szCs w:val="19"/>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Critical</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Online exam platforms have no rate limiting or DDoS protection. Attack during exam period causes major disruption. Mitigation: CDN + DDoS scrubbing + load balancing.</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T-14</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Default Admin Credentials on Network Devices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Configuration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Critical</w:t>
            </w:r>
          </w:p>
        </w:tc>
        <w:tc>
          <w:tcPr>
            <w:tcW w:type="dxa" w:w="39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Routers and switches use factory-default passwords. Discovery via Shodan. Mitigation: Mandatory credential change policy + network device audit.</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T-15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Sensitive Data in Server Logs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Data Exposure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860B"/>
                <w:sz w:val="19"/>
                <w:szCs w:val="19"/>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Medium</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Application logs record passwords and student IDs in plaintext. Mitigation: Log sanitization + encrypt log files + restrict log access.</w:t>
            </w:r>
          </w:p>
        </w:tc>
      </w:tr>
    </w:tbl>
    <w:p>
      <w:r>
        <w:br w:type="page"/>
      </w:r>
    </w:p>
    <w:p>
      <w:pPr>
        <w:pStyle w:val="Heading1"/>
        <w:spacing w:after="200" w:before="400"/>
      </w:pPr>
      <w:r>
        <w:rPr>
          <w:rFonts w:ascii="Arial" w:cs="Arial" w:eastAsia="Arial" w:hAnsi="Arial"/>
          <w:b/>
          <w:bCs/>
          <w:color w:val="1A3C5E"/>
          <w:sz w:val="34"/>
          <w:szCs w:val="34"/>
        </w:rPr>
        <w:t xml:space="preserve">5. Detailed Threat Analysis — Top 5 Critical Threats</w:t>
      </w:r>
    </w:p>
    <w:p>
      <w:pPr>
        <w:pStyle w:val="Heading2"/>
        <w:spacing w:after="160" w:before="280"/>
      </w:pPr>
      <w:r>
        <w:rPr>
          <w:rFonts w:ascii="Arial" w:cs="Arial" w:eastAsia="Arial" w:hAnsi="Arial"/>
          <w:b/>
          <w:bCs/>
          <w:color w:val="2E75B6"/>
          <w:sz w:val="26"/>
          <w:szCs w:val="26"/>
        </w:rPr>
        <w:t xml:space="preserve">T-01 — Unauthorized Remote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STRIDE Category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Spoofing + Elevation of Privilege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MITRE ATT&amp;CK</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T1078 — Valid Accounts / T1110 — Brute Force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Affected Assets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Portal, VPN Gateway, Admin Console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Likelihood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 — No VPN enforcement, weak password policy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 Full account takeover, data breach</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Risk Score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 / 25 — CRITICAL</w:t>
            </w:r>
          </w:p>
        </w:tc>
      </w:tr>
    </w:tbl>
    <w:p>
      <w:pPr>
        <w:spacing w:after="100" w:before="100"/>
      </w:pPr>
    </w:p>
    <w:p>
      <w:pPr>
        <w:spacing w:after="100" w:before="200"/>
      </w:pPr>
      <w:r>
        <w:rPr>
          <w:rFonts w:ascii="Arial" w:cs="Arial" w:eastAsia="Arial" w:hAnsi="Arial"/>
          <w:b/>
          <w:bCs/>
          <w:color w:val="2E5C8E"/>
          <w:sz w:val="23"/>
          <w:szCs w:val="23"/>
        </w:rPr>
        <w:t xml:space="preserve">Attack Scenario</w:t>
      </w:r>
    </w:p>
    <w:p>
      <w:pPr>
        <w:spacing w:after="80" w:before="80"/>
      </w:pPr>
      <w:r>
        <w:rPr>
          <w:rFonts w:ascii="Arial" w:cs="Arial" w:eastAsia="Arial" w:hAnsi="Arial"/>
          <w:sz w:val="22"/>
          <w:szCs w:val="22"/>
        </w:rPr>
        <w:t xml:space="preserve">An attacker identifies that the Student Information System is accessible from the public internet without VPN. Using theHarvester, they collect student email addresses. They then launch a credential stuffing attack using previously breached credentials from HaveIBeenPwned databases. With no rate limiting or MFA, the attacker gains access to student accounts within minutes.</w:t>
      </w:r>
    </w:p>
    <w:p>
      <w:pPr>
        <w:spacing w:after="100" w:before="100"/>
      </w:pPr>
    </w:p>
    <w:p>
      <w:pPr>
        <w:spacing w:after="100" w:before="200"/>
      </w:pPr>
      <w:r>
        <w:rPr>
          <w:rFonts w:ascii="Arial" w:cs="Arial" w:eastAsia="Arial" w:hAnsi="Arial"/>
          <w:b/>
          <w:bCs/>
          <w:color w:val="2E5C8E"/>
          <w:sz w:val="23"/>
          <w:szCs w:val="23"/>
        </w:rPr>
        <w:t xml:space="preserve">Recommended Controls</w:t>
      </w:r>
    </w:p>
    <w:p>
      <w:pPr>
        <w:pStyle w:val="ListParagraph"/>
        <w:numPr>
          <w:ilvl w:val="0"/>
          <w:numId w:val="2"/>
        </w:numPr>
        <w:spacing w:after="60" w:before="60"/>
      </w:pPr>
      <w:r>
        <w:rPr>
          <w:rFonts w:ascii="Arial" w:cs="Arial" w:eastAsia="Arial" w:hAnsi="Arial"/>
          <w:sz w:val="22"/>
          <w:szCs w:val="22"/>
        </w:rPr>
        <w:t xml:space="preserve">Enforce VPN access for all external connections to internal systems</w:t>
      </w:r>
    </w:p>
    <w:p>
      <w:pPr>
        <w:pStyle w:val="ListParagraph"/>
        <w:numPr>
          <w:ilvl w:val="0"/>
          <w:numId w:val="2"/>
        </w:numPr>
        <w:spacing w:after="60" w:before="60"/>
      </w:pPr>
      <w:r>
        <w:rPr>
          <w:rFonts w:ascii="Arial" w:cs="Arial" w:eastAsia="Arial" w:hAnsi="Arial"/>
          <w:sz w:val="22"/>
          <w:szCs w:val="22"/>
        </w:rPr>
        <w:t xml:space="preserve">Implement Multi-Factor Authentication (MFA) for all user accounts</w:t>
      </w:r>
    </w:p>
    <w:p>
      <w:pPr>
        <w:pStyle w:val="ListParagraph"/>
        <w:numPr>
          <w:ilvl w:val="0"/>
          <w:numId w:val="2"/>
        </w:numPr>
        <w:spacing w:after="60" w:before="60"/>
      </w:pPr>
      <w:r>
        <w:rPr>
          <w:rFonts w:ascii="Arial" w:cs="Arial" w:eastAsia="Arial" w:hAnsi="Arial"/>
          <w:sz w:val="22"/>
          <w:szCs w:val="22"/>
        </w:rPr>
        <w:t xml:space="preserve">Deploy account lockout after 5 failed login attempts</w:t>
      </w:r>
    </w:p>
    <w:p>
      <w:pPr>
        <w:pStyle w:val="ListParagraph"/>
        <w:numPr>
          <w:ilvl w:val="0"/>
          <w:numId w:val="2"/>
        </w:numPr>
        <w:spacing w:after="60" w:before="60"/>
      </w:pPr>
      <w:r>
        <w:rPr>
          <w:rFonts w:ascii="Arial" w:cs="Arial" w:eastAsia="Arial" w:hAnsi="Arial"/>
          <w:sz w:val="22"/>
          <w:szCs w:val="22"/>
        </w:rPr>
        <w:t xml:space="preserve">Monitor login anomalies via SIEM — flag logins from new countries or IPs</w:t>
      </w:r>
    </w:p>
    <w:p>
      <w:pPr>
        <w:spacing w:after="100" w:before="100"/>
      </w:pPr>
    </w:p>
    <w:p>
      <w:pPr>
        <w:pStyle w:val="Heading2"/>
        <w:spacing w:after="160" w:before="280"/>
      </w:pPr>
      <w:r>
        <w:rPr>
          <w:rFonts w:ascii="Arial" w:cs="Arial" w:eastAsia="Arial" w:hAnsi="Arial"/>
          <w:b/>
          <w:bCs/>
          <w:color w:val="2E75B6"/>
          <w:sz w:val="26"/>
          <w:szCs w:val="26"/>
        </w:rPr>
        <w:t xml:space="preserve">T-02 — SQL Injection on Student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STRIDE Category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Tampering + Information Disclosure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MITRE ATT&amp;CK</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T1190 — Exploit Public-Facing Application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Affected Assets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Information System, Administrative Database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Likelihood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 — Input fields lack parameterization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 Full database extraction, grade tampering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Risk Score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 / 25 — CRITICAL</w:t>
            </w:r>
          </w:p>
        </w:tc>
      </w:tr>
    </w:tbl>
    <w:p>
      <w:pPr>
        <w:spacing w:after="100" w:before="100"/>
      </w:pPr>
    </w:p>
    <w:p>
      <w:pPr>
        <w:spacing w:after="100" w:before="200"/>
      </w:pPr>
      <w:r>
        <w:rPr>
          <w:rFonts w:ascii="Arial" w:cs="Arial" w:eastAsia="Arial" w:hAnsi="Arial"/>
          <w:b/>
          <w:bCs/>
          <w:color w:val="2E5C8E"/>
          <w:sz w:val="23"/>
          <w:szCs w:val="23"/>
        </w:rPr>
        <w:t xml:space="preserve">Attack Scenario</w:t>
      </w:r>
    </w:p>
    <w:p>
      <w:pPr>
        <w:spacing w:after="80" w:before="80"/>
      </w:pPr>
      <w:r>
        <w:rPr>
          <w:rFonts w:ascii="Arial" w:cs="Arial" w:eastAsia="Arial" w:hAnsi="Arial"/>
          <w:sz w:val="22"/>
          <w:szCs w:val="22"/>
        </w:rPr>
        <w:t xml:space="preserve">An attacker tests the course search field with a single quote character and observes a MySQL error message in the response — confirming the field is injectable. Using a UNION-based SQL injection payload, they extract the full student database including names, IDs, grades, and contact information. The attacker then modifies grade records using UPDATE statements, leaving no visible trace.</w:t>
      </w:r>
    </w:p>
    <w:p>
      <w:pPr>
        <w:spacing w:after="100" w:before="100"/>
      </w:pPr>
    </w:p>
    <w:p>
      <w:pPr>
        <w:spacing w:after="100" w:before="200"/>
      </w:pPr>
      <w:r>
        <w:rPr>
          <w:rFonts w:ascii="Arial" w:cs="Arial" w:eastAsia="Arial" w:hAnsi="Arial"/>
          <w:b/>
          <w:bCs/>
          <w:color w:val="2E5C8E"/>
          <w:sz w:val="23"/>
          <w:szCs w:val="23"/>
        </w:rPr>
        <w:t xml:space="preserve">Recommended Controls</w:t>
      </w:r>
    </w:p>
    <w:p>
      <w:pPr>
        <w:pStyle w:val="ListParagraph"/>
        <w:numPr>
          <w:ilvl w:val="0"/>
          <w:numId w:val="2"/>
        </w:numPr>
        <w:spacing w:after="60" w:before="60"/>
      </w:pPr>
      <w:r>
        <w:rPr>
          <w:rFonts w:ascii="Arial" w:cs="Arial" w:eastAsia="Arial" w:hAnsi="Arial"/>
          <w:sz w:val="22"/>
          <w:szCs w:val="22"/>
        </w:rPr>
        <w:t xml:space="preserve">Implement parameterized queries / prepared statements in all database calls</w:t>
      </w:r>
    </w:p>
    <w:p>
      <w:pPr>
        <w:pStyle w:val="ListParagraph"/>
        <w:numPr>
          <w:ilvl w:val="0"/>
          <w:numId w:val="2"/>
        </w:numPr>
        <w:spacing w:after="60" w:before="60"/>
      </w:pPr>
      <w:r>
        <w:rPr>
          <w:rFonts w:ascii="Arial" w:cs="Arial" w:eastAsia="Arial" w:hAnsi="Arial"/>
          <w:sz w:val="22"/>
          <w:szCs w:val="22"/>
        </w:rPr>
        <w:t xml:space="preserve">Deploy Web Application Firewall (WAF) to filter malicious SQL patterns</w:t>
      </w:r>
    </w:p>
    <w:p>
      <w:pPr>
        <w:pStyle w:val="ListParagraph"/>
        <w:numPr>
          <w:ilvl w:val="0"/>
          <w:numId w:val="2"/>
        </w:numPr>
        <w:spacing w:after="60" w:before="60"/>
      </w:pPr>
      <w:r>
        <w:rPr>
          <w:rFonts w:ascii="Arial" w:cs="Arial" w:eastAsia="Arial" w:hAnsi="Arial"/>
          <w:sz w:val="22"/>
          <w:szCs w:val="22"/>
        </w:rPr>
        <w:t xml:space="preserve">Apply least-privilege database accounts — application user cannot DROP or UPDATE critical tables</w:t>
      </w:r>
    </w:p>
    <w:p>
      <w:pPr>
        <w:pStyle w:val="ListParagraph"/>
        <w:numPr>
          <w:ilvl w:val="0"/>
          <w:numId w:val="2"/>
        </w:numPr>
        <w:spacing w:after="60" w:before="60"/>
      </w:pPr>
      <w:r>
        <w:rPr>
          <w:rFonts w:ascii="Arial" w:cs="Arial" w:eastAsia="Arial" w:hAnsi="Arial"/>
          <w:sz w:val="22"/>
          <w:szCs w:val="22"/>
        </w:rPr>
        <w:t xml:space="preserve">Suppress database error messages from public-facing responses</w:t>
      </w:r>
    </w:p>
    <w:p>
      <w:pPr>
        <w:spacing w:after="100" w:before="100"/>
      </w:pPr>
    </w:p>
    <w:p>
      <w:pPr>
        <w:pStyle w:val="Heading2"/>
        <w:spacing w:after="160" w:before="280"/>
      </w:pPr>
      <w:r>
        <w:rPr>
          <w:rFonts w:ascii="Arial" w:cs="Arial" w:eastAsia="Arial" w:hAnsi="Arial"/>
          <w:b/>
          <w:bCs/>
          <w:color w:val="2E75B6"/>
          <w:sz w:val="26"/>
          <w:szCs w:val="26"/>
        </w:rPr>
        <w:t xml:space="preserve">T-05 — Insider Threat — Data Exfiltration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STRIDE Category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Disclosure + Repudiation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MITRE ATT&amp;CK</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T1078.003 — Local Accounts / T1048 — Exfiltration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Affected Assets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Administrative Database, Student Records, HR Data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Likelihood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 — Privileged access is broadly granted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 Mass PII exposure, regulatory penalties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Risk Score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 / 25 — CRITICAL</w:t>
            </w:r>
          </w:p>
        </w:tc>
      </w:tr>
    </w:tbl>
    <w:p>
      <w:pPr>
        <w:spacing w:after="100" w:before="100"/>
      </w:pPr>
    </w:p>
    <w:p>
      <w:pPr>
        <w:spacing w:after="100" w:before="200"/>
      </w:pPr>
      <w:r>
        <w:rPr>
          <w:rFonts w:ascii="Arial" w:cs="Arial" w:eastAsia="Arial" w:hAnsi="Arial"/>
          <w:b/>
          <w:bCs/>
          <w:color w:val="2E5C8E"/>
          <w:sz w:val="23"/>
          <w:szCs w:val="23"/>
        </w:rPr>
        <w:t xml:space="preserve">Attack Scenario</w:t>
      </w:r>
    </w:p>
    <w:p>
      <w:pPr>
        <w:spacing w:after="80" w:before="80"/>
      </w:pPr>
      <w:r>
        <w:rPr>
          <w:rFonts w:ascii="Arial" w:cs="Arial" w:eastAsia="Arial" w:hAnsi="Arial"/>
          <w:sz w:val="22"/>
          <w:szCs w:val="22"/>
        </w:rPr>
        <w:t xml:space="preserve">A disgruntled IT administrator with direct database access exports the full student PII table (names, national IDs, phone numbers, addresses) to a personal USB drive. As there is no Data Loss Prevention (DLP) solution or User and Entity Behavior Analytics (UEBA), the action is not detected until a third party reports the data appearing online.</w:t>
      </w:r>
    </w:p>
    <w:p>
      <w:pPr>
        <w:spacing w:after="100" w:before="100"/>
      </w:pPr>
    </w:p>
    <w:p>
      <w:pPr>
        <w:spacing w:after="100" w:before="200"/>
      </w:pPr>
      <w:r>
        <w:rPr>
          <w:rFonts w:ascii="Arial" w:cs="Arial" w:eastAsia="Arial" w:hAnsi="Arial"/>
          <w:b/>
          <w:bCs/>
          <w:color w:val="2E5C8E"/>
          <w:sz w:val="23"/>
          <w:szCs w:val="23"/>
        </w:rPr>
        <w:t xml:space="preserve">Recommended Controls</w:t>
      </w:r>
    </w:p>
    <w:p>
      <w:pPr>
        <w:pStyle w:val="ListParagraph"/>
        <w:numPr>
          <w:ilvl w:val="0"/>
          <w:numId w:val="2"/>
        </w:numPr>
        <w:spacing w:after="60" w:before="60"/>
      </w:pPr>
      <w:r>
        <w:rPr>
          <w:rFonts w:ascii="Arial" w:cs="Arial" w:eastAsia="Arial" w:hAnsi="Arial"/>
          <w:sz w:val="22"/>
          <w:szCs w:val="22"/>
        </w:rPr>
        <w:t xml:space="preserve">Implement Role-Based Access Control (RBAC) — grant minimum required permissions only</w:t>
      </w:r>
    </w:p>
    <w:p>
      <w:pPr>
        <w:pStyle w:val="ListParagraph"/>
        <w:numPr>
          <w:ilvl w:val="0"/>
          <w:numId w:val="2"/>
        </w:numPr>
        <w:spacing w:after="60" w:before="60"/>
      </w:pPr>
      <w:r>
        <w:rPr>
          <w:rFonts w:ascii="Arial" w:cs="Arial" w:eastAsia="Arial" w:hAnsi="Arial"/>
          <w:sz w:val="22"/>
          <w:szCs w:val="22"/>
        </w:rPr>
        <w:t xml:space="preserve">Deploy Data Loss Prevention (DLP) solution to block unauthorized data transfers</w:t>
      </w:r>
    </w:p>
    <w:p>
      <w:pPr>
        <w:pStyle w:val="ListParagraph"/>
        <w:numPr>
          <w:ilvl w:val="0"/>
          <w:numId w:val="2"/>
        </w:numPr>
        <w:spacing w:after="60" w:before="60"/>
      </w:pPr>
      <w:r>
        <w:rPr>
          <w:rFonts w:ascii="Arial" w:cs="Arial" w:eastAsia="Arial" w:hAnsi="Arial"/>
          <w:sz w:val="22"/>
          <w:szCs w:val="22"/>
        </w:rPr>
        <w:t xml:space="preserve">Enable User and Entity Behavior Analytics (UEBA) to detect anomalous data access patterns</w:t>
      </w:r>
    </w:p>
    <w:p>
      <w:pPr>
        <w:pStyle w:val="ListParagraph"/>
        <w:numPr>
          <w:ilvl w:val="0"/>
          <w:numId w:val="2"/>
        </w:numPr>
        <w:spacing w:after="60" w:before="60"/>
      </w:pPr>
      <w:r>
        <w:rPr>
          <w:rFonts w:ascii="Arial" w:cs="Arial" w:eastAsia="Arial" w:hAnsi="Arial"/>
          <w:sz w:val="22"/>
          <w:szCs w:val="22"/>
        </w:rPr>
        <w:t xml:space="preserve">Conduct quarterly access rights reviews and revoke unused privileges</w:t>
      </w:r>
    </w:p>
    <w:p>
      <w:pPr>
        <w:spacing w:after="100" w:before="100"/>
      </w:pPr>
    </w:p>
    <w:p>
      <w:pPr>
        <w:pStyle w:val="Heading2"/>
        <w:spacing w:after="160" w:before="280"/>
      </w:pPr>
      <w:r>
        <w:rPr>
          <w:rFonts w:ascii="Arial" w:cs="Arial" w:eastAsia="Arial" w:hAnsi="Arial"/>
          <w:b/>
          <w:bCs/>
          <w:color w:val="2E75B6"/>
          <w:sz w:val="26"/>
          <w:szCs w:val="26"/>
        </w:rPr>
        <w:t xml:space="preserve">T-08 — Ransomware via Email Attachment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STRIDE Category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Denial of Service + Tampering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MITRE ATT&amp;CK</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T1566.001 — Spearphishing Attachment / T1486 — Data Encrypted for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Affected Assets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systems — ransomware propagates via network</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Likelihood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 — No EDR on endpoints, no email sandbox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 Complete academic operations disruption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Risk Score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 / 25 — CRITICAL</w:t>
            </w:r>
          </w:p>
        </w:tc>
      </w:tr>
    </w:tbl>
    <w:p>
      <w:pPr>
        <w:spacing w:after="100" w:before="100"/>
      </w:pPr>
    </w:p>
    <w:p>
      <w:pPr>
        <w:spacing w:after="100" w:before="200"/>
      </w:pPr>
      <w:r>
        <w:rPr>
          <w:rFonts w:ascii="Arial" w:cs="Arial" w:eastAsia="Arial" w:hAnsi="Arial"/>
          <w:b/>
          <w:bCs/>
          <w:color w:val="2E5C8E"/>
          <w:sz w:val="23"/>
          <w:szCs w:val="23"/>
        </w:rPr>
        <w:t xml:space="preserve">Attack Scenario</w:t>
      </w:r>
    </w:p>
    <w:p>
      <w:pPr>
        <w:spacing w:after="80" w:before="80"/>
      </w:pPr>
      <w:r>
        <w:rPr>
          <w:rFonts w:ascii="Arial" w:cs="Arial" w:eastAsia="Arial" w:hAnsi="Arial"/>
          <w:sz w:val="22"/>
          <w:szCs w:val="22"/>
        </w:rPr>
        <w:t xml:space="preserve">An attacker sends a spearphishing email to a faculty member disguised as an official HR document. The attachment contains a macro-enabled Word document that deploys ransomware upon opening. With no EDR solution on university endpoints and flat network architecture, the ransomware spreads laterally across the campus network, encrypting exam databases, course content, and administrative files one week before finals.</w:t>
      </w:r>
    </w:p>
    <w:p>
      <w:pPr>
        <w:spacing w:after="100" w:before="100"/>
      </w:pPr>
    </w:p>
    <w:p>
      <w:pPr>
        <w:spacing w:after="100" w:before="200"/>
      </w:pPr>
      <w:r>
        <w:rPr>
          <w:rFonts w:ascii="Arial" w:cs="Arial" w:eastAsia="Arial" w:hAnsi="Arial"/>
          <w:b/>
          <w:bCs/>
          <w:color w:val="2E5C8E"/>
          <w:sz w:val="23"/>
          <w:szCs w:val="23"/>
        </w:rPr>
        <w:t xml:space="preserve">Recommended Controls</w:t>
      </w:r>
    </w:p>
    <w:p>
      <w:pPr>
        <w:pStyle w:val="ListParagraph"/>
        <w:numPr>
          <w:ilvl w:val="0"/>
          <w:numId w:val="2"/>
        </w:numPr>
        <w:spacing w:after="60" w:before="60"/>
      </w:pPr>
      <w:r>
        <w:rPr>
          <w:rFonts w:ascii="Arial" w:cs="Arial" w:eastAsia="Arial" w:hAnsi="Arial"/>
          <w:sz w:val="22"/>
          <w:szCs w:val="22"/>
        </w:rPr>
        <w:t xml:space="preserve">Deploy Endpoint Detection and Response (EDR) on all university devices</w:t>
      </w:r>
    </w:p>
    <w:p>
      <w:pPr>
        <w:pStyle w:val="ListParagraph"/>
        <w:numPr>
          <w:ilvl w:val="0"/>
          <w:numId w:val="2"/>
        </w:numPr>
        <w:spacing w:after="60" w:before="60"/>
      </w:pPr>
      <w:r>
        <w:rPr>
          <w:rFonts w:ascii="Arial" w:cs="Arial" w:eastAsia="Arial" w:hAnsi="Arial"/>
          <w:sz w:val="22"/>
          <w:szCs w:val="22"/>
        </w:rPr>
        <w:t xml:space="preserve">Enable email sandbox scanning for all attachments before delivery</w:t>
      </w:r>
    </w:p>
    <w:p>
      <w:pPr>
        <w:pStyle w:val="ListParagraph"/>
        <w:numPr>
          <w:ilvl w:val="0"/>
          <w:numId w:val="2"/>
        </w:numPr>
        <w:spacing w:after="60" w:before="60"/>
      </w:pPr>
      <w:r>
        <w:rPr>
          <w:rFonts w:ascii="Arial" w:cs="Arial" w:eastAsia="Arial" w:hAnsi="Arial"/>
          <w:sz w:val="22"/>
          <w:szCs w:val="22"/>
        </w:rPr>
        <w:t xml:space="preserve">Implement network segmentation to limit ransomware lateral movement</w:t>
      </w:r>
    </w:p>
    <w:p>
      <w:pPr>
        <w:pStyle w:val="ListParagraph"/>
        <w:numPr>
          <w:ilvl w:val="0"/>
          <w:numId w:val="2"/>
        </w:numPr>
        <w:spacing w:after="60" w:before="60"/>
      </w:pPr>
      <w:r>
        <w:rPr>
          <w:rFonts w:ascii="Arial" w:cs="Arial" w:eastAsia="Arial" w:hAnsi="Arial"/>
          <w:sz w:val="22"/>
          <w:szCs w:val="22"/>
        </w:rPr>
        <w:t xml:space="preserve">Maintain encrypted offline backups tested weekly for restoration integrity</w:t>
      </w:r>
    </w:p>
    <w:p>
      <w:pPr>
        <w:spacing w:after="100" w:before="100"/>
      </w:pPr>
    </w:p>
    <w:p>
      <w:pPr>
        <w:pStyle w:val="Heading2"/>
        <w:spacing w:after="160" w:before="280"/>
      </w:pPr>
      <w:r>
        <w:rPr>
          <w:rFonts w:ascii="Arial" w:cs="Arial" w:eastAsia="Arial" w:hAnsi="Arial"/>
          <w:b/>
          <w:bCs/>
          <w:color w:val="2E75B6"/>
          <w:sz w:val="26"/>
          <w:szCs w:val="26"/>
        </w:rPr>
        <w:t xml:space="preserve">T-13 — DDoS Attack on Online Exam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STRIDE Category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Denial of Service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MITRE ATT&amp;CK</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T1498 — Network Denial of Service / T1499 — Endpoint DoS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Affected Assets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LMS Exam Platform, University Web Portal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Likelihood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 — Exam schedules are public information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 Exam disruption, academic integrity breach</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Risk Score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 / 25 — CRITICAL</w:t>
            </w:r>
          </w:p>
        </w:tc>
      </w:tr>
    </w:tbl>
    <w:p>
      <w:pPr>
        <w:spacing w:after="100" w:before="100"/>
      </w:pPr>
    </w:p>
    <w:p>
      <w:pPr>
        <w:spacing w:after="100" w:before="200"/>
      </w:pPr>
      <w:r>
        <w:rPr>
          <w:rFonts w:ascii="Arial" w:cs="Arial" w:eastAsia="Arial" w:hAnsi="Arial"/>
          <w:b/>
          <w:bCs/>
          <w:color w:val="2E5C8E"/>
          <w:sz w:val="23"/>
          <w:szCs w:val="23"/>
        </w:rPr>
        <w:t xml:space="preserve">Attack Scenario</w:t>
      </w:r>
    </w:p>
    <w:p>
      <w:pPr>
        <w:spacing w:after="80" w:before="80"/>
      </w:pPr>
      <w:r>
        <w:rPr>
          <w:rFonts w:ascii="Arial" w:cs="Arial" w:eastAsia="Arial" w:hAnsi="Arial"/>
          <w:sz w:val="22"/>
          <w:szCs w:val="22"/>
        </w:rPr>
        <w:t xml:space="preserve">During final exam week, an attacker launches an HTTP flood DDoS attack against the university's online exam platform using a botnet. The platform, lacking CDN protection or rate limiting, becomes unavailable within 3 minutes. Over 3,000 students are unable to submit their exams, causing significant academic disruption and potential legal liability for the institution.</w:t>
      </w:r>
    </w:p>
    <w:p>
      <w:pPr>
        <w:spacing w:after="100" w:before="100"/>
      </w:pPr>
    </w:p>
    <w:p>
      <w:pPr>
        <w:spacing w:after="100" w:before="200"/>
      </w:pPr>
      <w:r>
        <w:rPr>
          <w:rFonts w:ascii="Arial" w:cs="Arial" w:eastAsia="Arial" w:hAnsi="Arial"/>
          <w:b/>
          <w:bCs/>
          <w:color w:val="2E5C8E"/>
          <w:sz w:val="23"/>
          <w:szCs w:val="23"/>
        </w:rPr>
        <w:t xml:space="preserve">Recommended Controls</w:t>
      </w:r>
    </w:p>
    <w:p>
      <w:pPr>
        <w:pStyle w:val="ListParagraph"/>
        <w:numPr>
          <w:ilvl w:val="0"/>
          <w:numId w:val="2"/>
        </w:numPr>
        <w:spacing w:after="60" w:before="60"/>
      </w:pPr>
      <w:r>
        <w:rPr>
          <w:rFonts w:ascii="Arial" w:cs="Arial" w:eastAsia="Arial" w:hAnsi="Arial"/>
          <w:sz w:val="22"/>
          <w:szCs w:val="22"/>
        </w:rPr>
        <w:t xml:space="preserve">Deploy Content Delivery Network (CDN) with DDoS scrubbing capability (e.g., Cloudflare)</w:t>
      </w:r>
    </w:p>
    <w:p>
      <w:pPr>
        <w:pStyle w:val="ListParagraph"/>
        <w:numPr>
          <w:ilvl w:val="0"/>
          <w:numId w:val="2"/>
        </w:numPr>
        <w:spacing w:after="60" w:before="60"/>
      </w:pPr>
      <w:r>
        <w:rPr>
          <w:rFonts w:ascii="Arial" w:cs="Arial" w:eastAsia="Arial" w:hAnsi="Arial"/>
          <w:sz w:val="22"/>
          <w:szCs w:val="22"/>
        </w:rPr>
        <w:t xml:space="preserve">Implement rate limiting at the application and network layer</w:t>
      </w:r>
    </w:p>
    <w:p>
      <w:pPr>
        <w:pStyle w:val="ListParagraph"/>
        <w:numPr>
          <w:ilvl w:val="0"/>
          <w:numId w:val="2"/>
        </w:numPr>
        <w:spacing w:after="60" w:before="60"/>
      </w:pPr>
      <w:r>
        <w:rPr>
          <w:rFonts w:ascii="Arial" w:cs="Arial" w:eastAsia="Arial" w:hAnsi="Arial"/>
          <w:sz w:val="22"/>
          <w:szCs w:val="22"/>
        </w:rPr>
        <w:t xml:space="preserve">Establish an incident response plan specifically for exam-period DDoS scenarios</w:t>
      </w:r>
    </w:p>
    <w:p>
      <w:pPr>
        <w:pStyle w:val="ListParagraph"/>
        <w:numPr>
          <w:ilvl w:val="0"/>
          <w:numId w:val="2"/>
        </w:numPr>
        <w:spacing w:after="60" w:before="60"/>
      </w:pPr>
      <w:r>
        <w:rPr>
          <w:rFonts w:ascii="Arial" w:cs="Arial" w:eastAsia="Arial" w:hAnsi="Arial"/>
          <w:sz w:val="22"/>
          <w:szCs w:val="22"/>
        </w:rPr>
        <w:t xml:space="preserve">Use anycast routing to distribute traffic across multiple data centers</w:t>
      </w:r>
    </w:p>
    <w:p>
      <w:r>
        <w:br w:type="page"/>
      </w:r>
    </w:p>
    <w:p>
      <w:pPr>
        <w:pStyle w:val="Heading1"/>
        <w:spacing w:after="200" w:before="400"/>
      </w:pPr>
      <w:r>
        <w:rPr>
          <w:rFonts w:ascii="Arial" w:cs="Arial" w:eastAsia="Arial" w:hAnsi="Arial"/>
          <w:b/>
          <w:bCs/>
          <w:color w:val="1A3C5E"/>
          <w:sz w:val="34"/>
          <w:szCs w:val="34"/>
        </w:rPr>
        <w:t xml:space="preserve">6. Risk Register</w:t>
      </w:r>
    </w:p>
    <w:p>
      <w:pPr>
        <w:spacing w:after="80" w:before="80"/>
      </w:pPr>
      <w:r>
        <w:rPr>
          <w:rFonts w:ascii="Arial" w:cs="Arial" w:eastAsia="Arial" w:hAnsi="Arial"/>
          <w:sz w:val="22"/>
          <w:szCs w:val="22"/>
        </w:rPr>
        <w:t xml:space="preserve">The following risk register summarizes all 15 identified threats, their risk scores, current status, and assigned priority for remediation.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100"/>
        <w:gridCol w:w="1100"/>
        <w:gridCol w:w="1160"/>
        <w:gridCol w:w="1400"/>
        <w:gridCol w:w="1500"/>
      </w:tblGrid>
      <w:tr>
        <w:trPr>
          <w:tblHeader/>
        </w:trPr>
        <w:tc>
          <w:tcPr>
            <w:tcW w:type="dxa" w:w="7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3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w:t>
            </w:r>
          </w:p>
        </w:tc>
        <w:tc>
          <w:tcPr>
            <w:tcW w:type="dxa" w:w="11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1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1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Score</w:t>
            </w:r>
          </w:p>
        </w:tc>
        <w:tc>
          <w:tcPr>
            <w:tcW w:type="dxa" w:w="14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Level</w:t>
            </w:r>
          </w:p>
        </w:tc>
        <w:tc>
          <w:tcPr>
            <w:tcW w:type="dxa" w:w="15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T-01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Unauthorized Remote Access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Critical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20/25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IMMEDIATE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T-02</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SQL Injection on Student Portal</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Critical</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20/25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0000"/>
                <w:sz w:val="19"/>
                <w:szCs w:val="19"/>
              </w:rPr>
              <w:t xml:space="preserve">Critical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9"/>
                <w:szCs w:val="19"/>
              </w:rPr>
              <w:t xml:space="preserve">IMMEDIATE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T-05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Insider Threat — Data Exfiltration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Critical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20/25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IMMEDIATE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T-08</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Ransomware via Email</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Medium</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Critical</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18/25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0000"/>
                <w:sz w:val="19"/>
                <w:szCs w:val="19"/>
              </w:rPr>
              <w:t xml:space="preserve">Critical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9"/>
                <w:szCs w:val="19"/>
              </w:rPr>
              <w:t xml:space="preserve">IMMEDIATE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T-13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DDoS on Exam Platform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Critical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18/25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IMMEDIATE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T-03</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Credential Brute Force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16/25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9"/>
                <w:szCs w:val="19"/>
              </w:rPr>
              <w:t xml:space="preserve">HIGH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T-04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Phishing on Faculty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16/25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HIGH</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T-06</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XSS on Web Forms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16/25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9"/>
                <w:szCs w:val="19"/>
              </w:rPr>
              <w:t xml:space="preserve">HIGH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T-09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Exposed Admin Panel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16/25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HIGH</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T-11</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Unpatched CMS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16/25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9"/>
                <w:szCs w:val="19"/>
              </w:rPr>
              <w:t xml:space="preserve">HIGH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T-12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IDOR on Grade Portal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16/25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HIGH</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T-14</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Default Router Credentials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16/25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9"/>
                <w:szCs w:val="19"/>
              </w:rPr>
              <w:t xml:space="preserve">HIGH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T-07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MITM on Campus WiFi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12/25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HIGH</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T-10</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Session Hijacking</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Medium</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12/25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9"/>
                <w:szCs w:val="19"/>
              </w:rPr>
              <w:t xml:space="preserve">HIGH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T-15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Sensitive Data in Logs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Medium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860B"/>
                <w:sz w:val="19"/>
                <w:szCs w:val="19"/>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MEDIUM</w:t>
            </w:r>
          </w:p>
        </w:tc>
      </w:tr>
    </w:tbl>
    <w:p>
      <w:r>
        <w:br w:type="page"/>
      </w:r>
    </w:p>
    <w:p>
      <w:pPr>
        <w:pStyle w:val="Heading1"/>
        <w:spacing w:after="200" w:before="400"/>
      </w:pPr>
      <w:r>
        <w:rPr>
          <w:rFonts w:ascii="Arial" w:cs="Arial" w:eastAsia="Arial" w:hAnsi="Arial"/>
          <w:b/>
          <w:bCs/>
          <w:color w:val="1A3C5E"/>
          <w:sz w:val="34"/>
          <w:szCs w:val="34"/>
        </w:rPr>
        <w:t xml:space="preserve">7. MITRE ATT&amp;CK Mapping</w:t>
      </w:r>
    </w:p>
    <w:p>
      <w:pPr>
        <w:spacing w:after="80" w:before="80"/>
      </w:pPr>
      <w:r>
        <w:rPr>
          <w:rFonts w:ascii="Arial" w:cs="Arial" w:eastAsia="Arial" w:hAnsi="Arial"/>
          <w:sz w:val="22"/>
          <w:szCs w:val="22"/>
        </w:rPr>
        <w:t xml:space="preserve">The identified threats are mapped to the MITRE ATT&amp;CK Enterprise Framework to enable detection engineering and threat hunting based on known adversary tactics, techniques, and procedures (TTPs).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1800"/>
        <w:gridCol w:w="1800"/>
        <w:gridCol w:w="2960"/>
      </w:tblGrid>
      <w:tr>
        <w:trPr>
          <w:tblHeader/>
        </w:trPr>
        <w:tc>
          <w:tcPr>
            <w:tcW w:type="dxa" w:w="7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1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w:t>
            </w:r>
          </w:p>
        </w:tc>
        <w:tc>
          <w:tcPr>
            <w:tcW w:type="dxa" w:w="18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Tactic</w:t>
            </w:r>
          </w:p>
        </w:tc>
        <w:tc>
          <w:tcPr>
            <w:tcW w:type="dxa" w:w="18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 ID</w:t>
            </w:r>
          </w:p>
        </w:tc>
        <w:tc>
          <w:tcPr>
            <w:tcW w:type="dxa" w:w="29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 Method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Unauthorized Remote Access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Access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T1078</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failed logins — SIEM alert on 5+ failures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T-02</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SQL Injection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Execution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T1190</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WAF rules — alert on SQL keywords in request params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Brute Force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Credential Access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T1110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Rate-limit enforcement — IP block after threshold</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T-04</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Phishing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Initial Access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T1566.001</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Email sandbox + user reporting + domain monitoring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Insider Threat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Exfiltration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T1048</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DLP alerts + UEBA anomaly detection on large exports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T-06</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XSS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Execution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T1059.007</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CSP headers + WAF + output encoding validation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T-07</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MITM on WiFi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T1557</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802.1X enforcement + WIDS intrusion detection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T-08</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Ransomware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Impact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T1486</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EDR behavioral detection + backup integrity alerts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Exposed Admin Panel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Reconnaissance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T1592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Dorking monitoring + restrict admin paths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T-13</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DDoS on Exams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Impact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T1498</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CDN rate limiting + anomaly traffic detection</w:t>
            </w:r>
          </w:p>
        </w:tc>
      </w:tr>
    </w:tbl>
    <w:p>
      <w:r>
        <w:br w:type="page"/>
      </w:r>
    </w:p>
    <w:p>
      <w:pPr>
        <w:pStyle w:val="Heading1"/>
        <w:spacing w:after="200" w:before="400"/>
      </w:pPr>
      <w:r>
        <w:rPr>
          <w:rFonts w:ascii="Arial" w:cs="Arial" w:eastAsia="Arial" w:hAnsi="Arial"/>
          <w:b/>
          <w:bCs/>
          <w:color w:val="1A3C5E"/>
          <w:sz w:val="34"/>
          <w:szCs w:val="34"/>
        </w:rPr>
        <w:t xml:space="preserve">8. Recommendations &amp; Remediation Roadmap</w:t>
      </w:r>
    </w:p>
    <w:p>
      <w:pPr>
        <w:pStyle w:val="Heading2"/>
        <w:spacing w:after="160" w:before="280"/>
      </w:pPr>
      <w:r>
        <w:rPr>
          <w:rFonts w:ascii="Arial" w:cs="Arial" w:eastAsia="Arial" w:hAnsi="Arial"/>
          <w:b/>
          <w:bCs/>
          <w:color w:val="2E75B6"/>
          <w:sz w:val="26"/>
          <w:szCs w:val="26"/>
        </w:rPr>
        <w:t xml:space="preserve">8.1 Immediate Actions —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2300"/>
        <w:gridCol w:w="1860"/>
      </w:tblGrid>
      <w:tr>
        <w:trPr>
          <w:tblHeader/>
        </w:trPr>
        <w:tc>
          <w:tcPr>
            <w:tcW w:type="dxa" w:w="7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5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3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Addresses Threats</w:t>
            </w:r>
          </w:p>
        </w:tc>
        <w:tc>
          <w:tcPr>
            <w:tcW w:type="dxa" w:w="18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MFA on all student, faculty, and admin accounts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T-01, T-03, T-04</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Deploy WAF in front of all web-facing applications</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T-02, T-06, T-12</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Enforce VPN for all external access to internal systems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T-01, T-07</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Change all default credentials on network devices</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T-14</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 /admin paths — remove from public search index</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T-09</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bl>
    <w:p>
      <w:pPr>
        <w:spacing w:after="100" w:before="100"/>
      </w:pPr>
    </w:p>
    <w:p>
      <w:pPr>
        <w:pStyle w:val="Heading2"/>
        <w:spacing w:after="160" w:before="280"/>
      </w:pPr>
      <w:r>
        <w:rPr>
          <w:rFonts w:ascii="Arial" w:cs="Arial" w:eastAsia="Arial" w:hAnsi="Arial"/>
          <w:b/>
          <w:bCs/>
          <w:color w:val="2E75B6"/>
          <w:sz w:val="26"/>
          <w:szCs w:val="26"/>
        </w:rPr>
        <w:t xml:space="preserve">8.2 Short-Term Actions — Month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2300"/>
        <w:gridCol w:w="1860"/>
      </w:tblGrid>
      <w:tr>
        <w:trPr>
          <w:tblHeader/>
        </w:trPr>
        <w:tc>
          <w:tcPr>
            <w:tcW w:type="dxa" w:w="7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5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30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Addresses Threats</w:t>
            </w:r>
          </w:p>
        </w:tc>
        <w:tc>
          <w:tcPr>
            <w:tcW w:type="dxa" w:w="1860"/>
            <w:tcBorders>
              <w:top w:val="single" w:color="1A3C5E" w:sz="2"/>
              <w:left w:val="single" w:color="1A3C5E" w:sz="2"/>
              <w:bottom w:val="single" w:color="1A3C5E" w:sz="2"/>
              <w:right w:val="single" w:color="1A3C5E" w:sz="2"/>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parameterized queries in all DB interactions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Deploy EDR solution on all university endpoints</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T-08</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email sandbox scanning for all attachments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T-04, T-08</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Implement RBAC — minimum privilege for all roles</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T-05</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CDN with DDoS protection (e.g., Cloudflare)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Upgrade campus WiFi to WPA3-Enterprise with 802.1X</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T-07</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r>
    </w:tbl>
    <w:p>
      <w:pPr>
        <w:spacing w:after="100" w:before="100"/>
      </w:pPr>
    </w:p>
    <w:p>
      <w:pPr>
        <w:pStyle w:val="Heading2"/>
        <w:spacing w:after="160" w:before="280"/>
      </w:pPr>
      <w:r>
        <w:rPr>
          <w:rFonts w:ascii="Arial" w:cs="Arial" w:eastAsia="Arial" w:hAnsi="Arial"/>
          <w:b/>
          <w:bCs/>
          <w:color w:val="2E75B6"/>
          <w:sz w:val="26"/>
          <w:szCs w:val="26"/>
        </w:rPr>
        <w:t xml:space="preserve">8.3 Long-Term Actions — Month 3–12</w:t>
      </w:r>
    </w:p>
    <w:p>
      <w:pPr>
        <w:pStyle w:val="ListParagraph"/>
        <w:numPr>
          <w:ilvl w:val="0"/>
          <w:numId w:val="2"/>
        </w:numPr>
        <w:spacing w:after="60" w:before="60"/>
      </w:pPr>
      <w:r>
        <w:rPr>
          <w:rFonts w:ascii="Arial" w:cs="Arial" w:eastAsia="Arial" w:hAnsi="Arial"/>
          <w:sz w:val="22"/>
          <w:szCs w:val="22"/>
        </w:rPr>
        <w:t xml:space="preserve">Deploy SIEM solution for centralized logging and real-time threat detection</w:t>
      </w:r>
    </w:p>
    <w:p>
      <w:pPr>
        <w:pStyle w:val="ListParagraph"/>
        <w:numPr>
          <w:ilvl w:val="0"/>
          <w:numId w:val="2"/>
        </w:numPr>
        <w:spacing w:after="60" w:before="60"/>
      </w:pPr>
      <w:r>
        <w:rPr>
          <w:rFonts w:ascii="Arial" w:cs="Arial" w:eastAsia="Arial" w:hAnsi="Arial"/>
          <w:sz w:val="22"/>
          <w:szCs w:val="22"/>
        </w:rPr>
        <w:t xml:space="preserve">Implement User and Entity Behavior Analytics (UEBA) for insider threat detection</w:t>
      </w:r>
    </w:p>
    <w:p>
      <w:pPr>
        <w:pStyle w:val="ListParagraph"/>
        <w:numPr>
          <w:ilvl w:val="0"/>
          <w:numId w:val="2"/>
        </w:numPr>
        <w:spacing w:after="60" w:before="60"/>
      </w:pPr>
      <w:r>
        <w:rPr>
          <w:rFonts w:ascii="Arial" w:cs="Arial" w:eastAsia="Arial" w:hAnsi="Arial"/>
          <w:sz w:val="22"/>
          <w:szCs w:val="22"/>
        </w:rPr>
        <w:t xml:space="preserve">Establish quarterly penetration testing program across all university systems</w:t>
      </w:r>
    </w:p>
    <w:p>
      <w:pPr>
        <w:pStyle w:val="ListParagraph"/>
        <w:numPr>
          <w:ilvl w:val="0"/>
          <w:numId w:val="2"/>
        </w:numPr>
        <w:spacing w:after="60" w:before="60"/>
      </w:pPr>
      <w:r>
        <w:rPr>
          <w:rFonts w:ascii="Arial" w:cs="Arial" w:eastAsia="Arial" w:hAnsi="Arial"/>
          <w:sz w:val="22"/>
          <w:szCs w:val="22"/>
        </w:rPr>
        <w:t xml:space="preserve">Deploy Data Loss Prevention (DLP) to prevent unauthorized data exfiltration</w:t>
      </w:r>
    </w:p>
    <w:p>
      <w:pPr>
        <w:pStyle w:val="ListParagraph"/>
        <w:numPr>
          <w:ilvl w:val="0"/>
          <w:numId w:val="2"/>
        </w:numPr>
        <w:spacing w:after="60" w:before="60"/>
      </w:pPr>
      <w:r>
        <w:rPr>
          <w:rFonts w:ascii="Arial" w:cs="Arial" w:eastAsia="Arial" w:hAnsi="Arial"/>
          <w:sz w:val="22"/>
          <w:szCs w:val="22"/>
        </w:rPr>
        <w:t xml:space="preserve">Conduct mandatory cybersecurity awareness training for all staff and students annually</w:t>
      </w:r>
    </w:p>
    <w:p>
      <w:pPr>
        <w:pStyle w:val="ListParagraph"/>
        <w:numPr>
          <w:ilvl w:val="0"/>
          <w:numId w:val="2"/>
        </w:numPr>
        <w:spacing w:after="60" w:before="60"/>
      </w:pPr>
      <w:r>
        <w:rPr>
          <w:rFonts w:ascii="Arial" w:cs="Arial" w:eastAsia="Arial" w:hAnsi="Arial"/>
          <w:sz w:val="22"/>
          <w:szCs w:val="22"/>
        </w:rPr>
        <w:t xml:space="preserve">Implement automated patch management for all CMS platforms and OS updates</w:t>
      </w:r>
    </w:p>
    <w:p>
      <w:r>
        <w:br w:type="page"/>
      </w:r>
    </w:p>
    <w:p>
      <w:pPr>
        <w:pStyle w:val="Heading1"/>
        <w:spacing w:after="200" w:before="400"/>
      </w:pPr>
      <w:r>
        <w:rPr>
          <w:rFonts w:ascii="Arial" w:cs="Arial" w:eastAsia="Arial" w:hAnsi="Arial"/>
          <w:b/>
          <w:bCs/>
          <w:color w:val="1A3C5E"/>
          <w:sz w:val="34"/>
          <w:szCs w:val="34"/>
        </w:rPr>
        <w:t xml:space="preserve">9. Conclusion</w:t>
      </w:r>
    </w:p>
    <w:p>
      <w:pPr>
        <w:spacing w:after="80" w:before="80"/>
      </w:pPr>
      <w:r>
        <w:rPr>
          <w:rFonts w:ascii="Arial" w:cs="Arial" w:eastAsia="Arial" w:hAnsi="Arial"/>
          <w:sz w:val="22"/>
          <w:szCs w:val="22"/>
        </w:rPr>
        <w:t xml:space="preserve">The University Information Systems present a high-risk cybersecurity posture with 5 Critical and 8 High severity threats identified across 10 critical assets. The absence of fundamental security controls — including MFA, WAF, network segmentation, and endpoint protection — creates multiple exploitable attack paths that could result in mass student data exposure, academic disruption, and significant reputational damage to the institution.</w:t>
      </w:r>
    </w:p>
    <w:p>
      <w:pPr>
        <w:spacing w:after="100" w:before="100"/>
      </w:pPr>
    </w:p>
    <w:p>
      <w:pPr>
        <w:spacing w:after="80" w:before="80"/>
      </w:pPr>
      <w:r>
        <w:rPr>
          <w:rFonts w:ascii="Arial" w:cs="Arial" w:eastAsia="Arial" w:hAnsi="Arial"/>
          <w:sz w:val="22"/>
          <w:szCs w:val="22"/>
        </w:rPr>
        <w:t xml:space="preserve">The implementation of the recommended controls in the prioritized roadmap above would reduce the university's overall risk posture by an estimated 65%, bringing the majority of identified threats to an acceptable residual risk level. The most impactful single actions are MFA enforcement, WAF deployment, and VPN-only external access — all achievable within 2 weeks at low effort.</w:t>
      </w:r>
    </w:p>
    <w:p>
      <w:pPr>
        <w:spacing w:after="100" w:before="100"/>
      </w:pPr>
    </w:p>
    <w:p>
      <w:pPr>
        <w:spacing w:after="80" w:before="80"/>
      </w:pPr>
      <w:r>
        <w:rPr>
          <w:rFonts w:ascii="Arial" w:cs="Arial" w:eastAsia="Arial" w:hAnsi="Arial"/>
          <w:sz w:val="22"/>
          <w:szCs w:val="22"/>
        </w:rPr>
        <w:t xml:space="preserve">This assessment was conducted as part of CYBS 3306 Penetration Testing coursework using the STRIDE threat modeling framework, MITRE ATT&amp;CK for Enterprise, and NIST SP 800-30 risk assessment methodology. All scenarios are hypothetical and created for educational purposes.</w:t>
      </w:r>
    </w:p>
    <w:p>
      <w:r>
        <w:br w:type="page"/>
      </w:r>
    </w:p>
    <w:p>
      <w:pPr>
        <w:pStyle w:val="Heading1"/>
        <w:spacing w:after="200" w:before="400"/>
      </w:pPr>
      <w:r>
        <w:rPr>
          <w:rFonts w:ascii="Arial" w:cs="Arial" w:eastAsia="Arial" w:hAnsi="Arial"/>
          <w:b/>
          <w:bCs/>
          <w:color w:val="1A3C5E"/>
          <w:sz w:val="34"/>
          <w:szCs w:val="34"/>
        </w:rPr>
        <w:t xml:space="preserve">10. References</w:t>
      </w:r>
    </w:p>
    <w:p>
      <w:pPr>
        <w:pStyle w:val="ListParagraph"/>
        <w:numPr>
          <w:ilvl w:val="0"/>
          <w:numId w:val="2"/>
        </w:numPr>
        <w:spacing w:after="60" w:before="60"/>
      </w:pPr>
      <w:r>
        <w:rPr>
          <w:rFonts w:ascii="Arial" w:cs="Arial" w:eastAsia="Arial" w:hAnsi="Arial"/>
          <w:sz w:val="22"/>
          <w:szCs w:val="22"/>
        </w:rPr>
        <w:t xml:space="preserve">NIST SP 800-30 Rev. 1 — Guide for Conducting Risk Assessments</w:t>
      </w:r>
    </w:p>
    <w:p>
      <w:pPr>
        <w:pStyle w:val="ListParagraph"/>
        <w:numPr>
          <w:ilvl w:val="0"/>
          <w:numId w:val="2"/>
        </w:numPr>
        <w:spacing w:after="60" w:before="60"/>
      </w:pPr>
      <w:r>
        <w:rPr>
          <w:rFonts w:ascii="Arial" w:cs="Arial" w:eastAsia="Arial" w:hAnsi="Arial"/>
          <w:sz w:val="22"/>
          <w:szCs w:val="22"/>
        </w:rPr>
        <w:t xml:space="preserve">NIST SP 800-53 Rev. 5 — Security and Privacy Controls for Information Systems</w:t>
      </w:r>
    </w:p>
    <w:p>
      <w:pPr>
        <w:pStyle w:val="ListParagraph"/>
        <w:numPr>
          <w:ilvl w:val="0"/>
          <w:numId w:val="2"/>
        </w:numPr>
        <w:spacing w:after="60" w:before="60"/>
      </w:pPr>
      <w:r>
        <w:rPr>
          <w:rFonts w:ascii="Arial" w:cs="Arial" w:eastAsia="Arial" w:hAnsi="Arial"/>
          <w:sz w:val="22"/>
          <w:szCs w:val="22"/>
        </w:rPr>
        <w:t xml:space="preserve">MITRE ATT&amp;CK Enterprise Framework — attack.mitre.org</w:t>
      </w:r>
    </w:p>
    <w:p>
      <w:pPr>
        <w:pStyle w:val="ListParagraph"/>
        <w:numPr>
          <w:ilvl w:val="0"/>
          <w:numId w:val="2"/>
        </w:numPr>
        <w:spacing w:after="60" w:before="60"/>
      </w:pPr>
      <w:r>
        <w:rPr>
          <w:rFonts w:ascii="Arial" w:cs="Arial" w:eastAsia="Arial" w:hAnsi="Arial"/>
          <w:sz w:val="22"/>
          <w:szCs w:val="22"/>
        </w:rPr>
        <w:t xml:space="preserve">STRIDE Threat Modeling — Microsoft Security Development Lifecycle</w:t>
      </w:r>
    </w:p>
    <w:p>
      <w:pPr>
        <w:pStyle w:val="ListParagraph"/>
        <w:numPr>
          <w:ilvl w:val="0"/>
          <w:numId w:val="2"/>
        </w:numPr>
        <w:spacing w:after="60" w:before="60"/>
      </w:pPr>
      <w:r>
        <w:rPr>
          <w:rFonts w:ascii="Arial" w:cs="Arial" w:eastAsia="Arial" w:hAnsi="Arial"/>
          <w:sz w:val="22"/>
          <w:szCs w:val="22"/>
        </w:rPr>
        <w:t xml:space="preserve">OWASP Top 10 — 2021 Edition — owasp.org</w:t>
      </w:r>
    </w:p>
    <w:p>
      <w:pPr>
        <w:pStyle w:val="ListParagraph"/>
        <w:numPr>
          <w:ilvl w:val="0"/>
          <w:numId w:val="2"/>
        </w:numPr>
        <w:spacing w:after="60" w:before="60"/>
      </w:pPr>
      <w:r>
        <w:rPr>
          <w:rFonts w:ascii="Arial" w:cs="Arial" w:eastAsia="Arial" w:hAnsi="Arial"/>
          <w:sz w:val="22"/>
          <w:szCs w:val="22"/>
        </w:rPr>
        <w:t xml:space="preserve">OWASP Threat Modeling Cheat Sheet — cheatsheetseries.owasp.org</w:t>
      </w:r>
    </w:p>
    <w:p>
      <w:pPr>
        <w:pStyle w:val="ListParagraph"/>
        <w:numPr>
          <w:ilvl w:val="0"/>
          <w:numId w:val="2"/>
        </w:numPr>
        <w:spacing w:after="60" w:before="60"/>
      </w:pPr>
      <w:r>
        <w:rPr>
          <w:rFonts w:ascii="Arial" w:cs="Arial" w:eastAsia="Arial" w:hAnsi="Arial"/>
          <w:sz w:val="22"/>
          <w:szCs w:val="22"/>
        </w:rPr>
        <w:t xml:space="preserve">BSIMM — Building Security In Maturity Model — bsimm.com</w:t>
      </w:r>
    </w:p>
    <w:p>
      <w:pPr>
        <w:pStyle w:val="ListParagraph"/>
        <w:numPr>
          <w:ilvl w:val="0"/>
          <w:numId w:val="2"/>
        </w:numPr>
        <w:spacing w:after="60" w:before="60"/>
      </w:pPr>
      <w:r>
        <w:rPr>
          <w:rFonts w:ascii="Arial" w:cs="Arial" w:eastAsia="Arial" w:hAnsi="Arial"/>
          <w:sz w:val="22"/>
          <w:szCs w:val="22"/>
        </w:rPr>
        <w:t xml:space="preserve">Saudi Arabia NCA ECC-1:2018 — Essential Cybersecurity Controls</w:t>
      </w:r>
    </w:p>
    <w:p>
      <w:pPr>
        <w:pStyle w:val="ListParagraph"/>
        <w:numPr>
          <w:ilvl w:val="0"/>
          <w:numId w:val="2"/>
        </w:numPr>
        <w:spacing w:after="60" w:before="60"/>
      </w:pPr>
      <w:r>
        <w:rPr>
          <w:rFonts w:ascii="Arial" w:cs="Arial" w:eastAsia="Arial" w:hAnsi="Arial"/>
          <w:sz w:val="22"/>
          <w:szCs w:val="22"/>
        </w:rPr>
        <w:t xml:space="preserve">CYBS 3306 Chapter 7: Families of Attacks — University of Hafr Al-Batin</w:t>
      </w:r>
    </w:p>
    <w:p>
      <w:pPr>
        <w:pStyle w:val="ListParagraph"/>
        <w:numPr>
          <w:ilvl w:val="0"/>
          <w:numId w:val="2"/>
        </w:numPr>
        <w:spacing w:after="60" w:before="60"/>
      </w:pPr>
      <w:r>
        <w:rPr>
          <w:rFonts w:ascii="Arial" w:cs="Arial" w:eastAsia="Arial" w:hAnsi="Arial"/>
          <w:sz w:val="22"/>
          <w:szCs w:val="22"/>
        </w:rPr>
        <w:t xml:space="preserve">CYBS 3306 Chapter 9: Enumeration and Footprinting — University of Hafr Al-Batin</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5E"/>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2026-05-19T04:54:44.793Z</dcterms:created>
  <dcterms:modified xsi:type="dcterms:W3CDTF">2026-05-19T04:54:44.793Z</dcterms:modified>
</cp:coreProperties>
</file>

<file path=docProps/custom.xml><?xml version="1.0" encoding="utf-8"?>
<Properties xmlns="http://schemas.openxmlformats.org/officeDocument/2006/custom-properties" xmlns:vt="http://schemas.openxmlformats.org/officeDocument/2006/docPropsVTypes"/>
</file>