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6370" w:rsidRDefault="00726681">
      <w:pPr>
        <w:rPr>
          <w:rFonts w:ascii="Arial" w:hAnsi="Arial" w:cs="Arial"/>
          <w:color w:val="333333"/>
          <w:sz w:val="20"/>
          <w:szCs w:val="20"/>
          <w:shd w:val="clear" w:color="auto" w:fill="FFFFFF"/>
        </w:rPr>
      </w:pPr>
      <w:r>
        <w:rPr>
          <w:rFonts w:ascii="Arial" w:hAnsi="Arial" w:cs="Arial"/>
          <w:color w:val="333333"/>
          <w:sz w:val="20"/>
          <w:szCs w:val="20"/>
          <w:shd w:val="clear" w:color="auto" w:fill="FFFFFF"/>
        </w:rPr>
        <w:t>Les matériels de sonorisation professionnels représentent tout les dispositifs essentiels pour l’amélioration de la qualité du son et par la suite la réussite de vos conférences, vos présentations et vos congrès. Ils englobent plusieurs outils tels : les microphones avec ou sans fil, les pupitres, les tables de mixage... Les dispositifs de sonorisation sont dédiés aux théâtres, aux parlements, aux salles de cinéma, aux conseils nationaux, aux centres de conférence, aux universités, aux collectivités, aux maisons d’opéra et aux tribunaux.Les outils de sonorisation se distinguent par leur robustesse et leur grande résistance pour être utilisés quotidiennement et pour longtemps. Ils offrent une qualité de son irréprochables pour rendre vos réunions enrichissantes et productives.Ces solutions de sonorisation sont issues des meilleurs fabricants du marché, utilisent les derniers cris de technologie et affichent le meilleur rapport qualité/prix.</w:t>
      </w:r>
    </w:p>
    <w:p w:rsidR="00726681" w:rsidRDefault="00726681">
      <w:pPr>
        <w:rPr>
          <w:rFonts w:ascii="Arial" w:hAnsi="Arial" w:cs="Arial"/>
          <w:color w:val="333333"/>
          <w:sz w:val="20"/>
          <w:szCs w:val="20"/>
          <w:shd w:val="clear" w:color="auto" w:fill="FFFFFF"/>
        </w:rPr>
      </w:pPr>
    </w:p>
    <w:p w:rsidR="00726681" w:rsidRDefault="00726681">
      <w:bookmarkStart w:id="0" w:name="_GoBack"/>
      <w:bookmarkEnd w:id="0"/>
    </w:p>
    <w:sectPr w:rsidR="007266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815"/>
    <w:rsid w:val="00056370"/>
    <w:rsid w:val="00707815"/>
    <w:rsid w:val="007266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809</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2</cp:revision>
  <dcterms:created xsi:type="dcterms:W3CDTF">2019-02-01T11:48:00Z</dcterms:created>
  <dcterms:modified xsi:type="dcterms:W3CDTF">2019-02-01T11:48:00Z</dcterms:modified>
</cp:coreProperties>
</file>