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</w:rPr>
        <w:t>Asmahan Matooq S Al Safwan</w:t>
      </w:r>
    </w:p>
    <w:p>
      <w:pPr>
        <w:spacing w:after="20"/>
      </w:pPr>
      <w:r>
        <w:rPr>
          <w:rFonts w:ascii="Arial" w:hAnsi="Arial"/>
          <w:b/>
          <w:color w:val="222222"/>
          <w:sz w:val="21"/>
        </w:rPr>
        <w:t>Independent researcher  |  Early childhood educator and manager  |  Western Australia, Australia</w:t>
      </w:r>
    </w:p>
    <w:p>
      <w:pPr>
        <w:pStyle w:val="Smallmuted"/>
        <w:pBdr>
          <w:bottom w:val="single" w:sz="8" w:space="1" w:color="1F5E72"/>
        </w:pBdr>
      </w:pPr>
      <w:r>
        <w:rPr>
          <w:rFonts w:ascii="Arial" w:hAnsi="Arial"/>
          <w:sz w:val="17"/>
        </w:rPr>
        <w:t xml:space="preserve">Google Scholar: </w:t>
      </w:r>
      <w:r>
        <w:rPr>
          <w:rFonts w:ascii="Arial" w:hAnsi="Arial"/>
          <w:sz w:val="17"/>
        </w:rPr>
        <w:t>https://scholar.google.com/citations?user=uh-9dD4AAAAJ</w:t>
      </w:r>
    </w:p>
    <w:p>
      <w:pPr>
        <w:pStyle w:val="Heading1"/>
      </w:pPr>
      <w:r>
        <w:rPr>
          <w:rFonts w:ascii="Arial" w:hAnsi="Arial"/>
        </w:rPr>
        <w:t>Academic profile</w:t>
      </w:r>
    </w:p>
    <w:p>
      <w:r>
        <w:rPr>
          <w:rFonts w:ascii="Arial" w:hAnsi="Arial"/>
        </w:rPr>
        <w:t>Interdisciplinary educational researcher and early childhood educator/manager with a scholarly background spanning physics, nanotechnology and materials science, science education, conceptual change, and early childhood pedagogy. Academic research began at Curtin University in materials science and nanotechnology, followed by a transition into science education research focused on students’ and teachers’ understandings of thermal concepts, cross-cultural learning, language, curriculum and conceptual change. Current research develops The Guardian Pedagogy, a theoretical programme examining how stories may become enduring and renewable sources of learning through narrative inquiry, Story Affordances, Human Questions and the Guardian Inquiry Cycle.</w:t>
      </w:r>
    </w:p>
    <w:p>
      <w:pPr>
        <w:pStyle w:val="Heading1"/>
      </w:pPr>
      <w:r>
        <w:rPr>
          <w:rFonts w:ascii="Arial" w:hAnsi="Arial"/>
        </w:rPr>
        <w:t>Research interests</w:t>
      </w:r>
    </w:p>
    <w:p>
      <w:r>
        <w:rPr>
          <w:rFonts w:ascii="Arial" w:hAnsi="Arial"/>
        </w:rPr>
        <w:t>Early childhood education</w:t>
      </w:r>
      <w:r>
        <w:rPr>
          <w:rFonts w:ascii="Arial" w:hAnsi="Arial"/>
        </w:rPr>
        <w:t xml:space="preserve">  •  </w:t>
      </w:r>
      <w:r>
        <w:rPr>
          <w:rFonts w:ascii="Arial" w:hAnsi="Arial"/>
        </w:rPr>
        <w:t>Narrative pedagogy and story-based inquiry</w:t>
      </w:r>
      <w:r>
        <w:rPr>
          <w:rFonts w:ascii="Arial" w:hAnsi="Arial"/>
        </w:rPr>
        <w:t xml:space="preserve">  •  </w:t>
      </w:r>
      <w:r>
        <w:rPr>
          <w:rFonts w:ascii="Arial" w:hAnsi="Arial"/>
        </w:rPr>
        <w:t>Curriculum and inquiry</w:t>
      </w:r>
      <w:r>
        <w:rPr>
          <w:rFonts w:ascii="Arial" w:hAnsi="Arial"/>
        </w:rPr>
        <w:t xml:space="preserve">  •  </w:t>
      </w:r>
      <w:r>
        <w:rPr>
          <w:rFonts w:ascii="Arial" w:hAnsi="Arial"/>
        </w:rPr>
        <w:t>Conceptual change</w:t>
      </w:r>
      <w:r>
        <w:rPr>
          <w:rFonts w:ascii="Arial" w:hAnsi="Arial"/>
        </w:rPr>
        <w:t xml:space="preserve">  •  </w:t>
      </w:r>
      <w:r>
        <w:rPr>
          <w:rFonts w:ascii="Arial" w:hAnsi="Arial"/>
        </w:rPr>
        <w:t>Science education</w:t>
      </w:r>
      <w:r>
        <w:rPr>
          <w:rFonts w:ascii="Arial" w:hAnsi="Arial"/>
        </w:rPr>
        <w:t xml:space="preserve">  •  </w:t>
      </w:r>
      <w:r>
        <w:rPr>
          <w:rFonts w:ascii="Arial" w:hAnsi="Arial"/>
        </w:rPr>
        <w:t>Cross-cultural learning and language in science education</w:t>
      </w:r>
    </w:p>
    <w:p>
      <w:pPr>
        <w:pStyle w:val="Heading1"/>
      </w:pPr>
      <w:r>
        <w:rPr>
          <w:rFonts w:ascii="Arial" w:hAnsi="Arial"/>
        </w:rPr>
        <w:t>Education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080"/>
            <w:vAlign w:val="top"/>
            <w:tcBorders>
              <w:bottom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5E72"/>
              </w:rPr>
              <w:t>2019</w:t>
            </w:r>
          </w:p>
        </w:tc>
        <w:tc>
          <w:tcPr>
            <w:tcW w:type="dxa" w:w="9504"/>
            <w:vAlign w:val="top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Doctor of Philosophy (Applied Physics)</w:t>
            </w:r>
            <w:r>
              <w:rPr>
                <w:rFonts w:ascii="Arial" w:hAnsi="Arial"/>
              </w:rPr>
              <w:t xml:space="preserve"> — Curtin University, Australia</w:t>
            </w:r>
          </w:p>
          <w:p>
            <w:pPr>
              <w:pStyle w:val="Smallmuted"/>
              <w:spacing w:after="60"/>
            </w:pPr>
            <w:r>
              <w:rPr>
                <w:rFonts w:ascii="Arial" w:hAnsi="Arial"/>
              </w:rPr>
              <w:t>Thesis: Saudi Female High School Students’ and Teachers’ Understandings of Thermal Concepts. International examination outcomes B1 and A respectively; both examiners recommended passage with relatively minor revisions.</w:t>
            </w:r>
          </w:p>
        </w:tc>
      </w:tr>
      <w:tr>
        <w:tc>
          <w:tcPr>
            <w:tcW w:type="dxa" w:w="1080"/>
            <w:vAlign w:val="top"/>
            <w:tcBorders>
              <w:bottom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5E72"/>
              </w:rPr>
              <w:t>2013</w:t>
            </w:r>
          </w:p>
        </w:tc>
        <w:tc>
          <w:tcPr>
            <w:tcW w:type="dxa" w:w="9504"/>
            <w:vAlign w:val="top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Master of Science (Physics)</w:t>
            </w:r>
            <w:r>
              <w:rPr>
                <w:rFonts w:ascii="Arial" w:hAnsi="Arial"/>
              </w:rPr>
              <w:t xml:space="preserve"> — Curtin University of Technology, Australia</w:t>
            </w:r>
          </w:p>
          <w:p>
            <w:pPr>
              <w:pStyle w:val="Smallmuted"/>
              <w:spacing w:after="60"/>
            </w:pPr>
            <w:r>
              <w:rPr>
                <w:rFonts w:ascii="Arial" w:hAnsi="Arial"/>
              </w:rPr>
              <w:t>Degree awarded 11 January 2013.</w:t>
            </w:r>
          </w:p>
        </w:tc>
      </w:tr>
      <w:tr>
        <w:tc>
          <w:tcPr>
            <w:tcW w:type="dxa" w:w="1080"/>
            <w:vAlign w:val="top"/>
            <w:tcBorders>
              <w:bottom w:val="nil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F5E72"/>
              </w:rPr>
              <w:t>1990</w:t>
            </w:r>
          </w:p>
        </w:tc>
        <w:tc>
          <w:tcPr>
            <w:tcW w:type="dxa" w:w="9504"/>
            <w:vAlign w:val="top"/>
            <w:tcBorders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</w:rPr>
              <w:t>Bachelor of Science (Physics)</w:t>
            </w:r>
            <w:r>
              <w:rPr>
                <w:rFonts w:ascii="Arial" w:hAnsi="Arial"/>
              </w:rPr>
              <w:t xml:space="preserve"> — Dammam University, Saudi Arabia</w:t>
            </w:r>
          </w:p>
        </w:tc>
      </w:tr>
    </w:tbl>
    <w:p>
      <w:pPr>
        <w:pStyle w:val="Heading1"/>
      </w:pPr>
      <w:r>
        <w:rPr>
          <w:rFonts w:ascii="Arial" w:hAnsi="Arial"/>
        </w:rPr>
        <w:t>Additional qualifications</w:t>
      </w:r>
    </w:p>
    <w:p>
      <w:pPr>
        <w:spacing w:after="40"/>
        <w:ind w:left="144"/>
      </w:pPr>
      <w:r>
        <w:rPr>
          <w:rFonts w:ascii="Arial" w:hAnsi="Arial"/>
          <w:b/>
          <w:color w:val="1F5E72"/>
        </w:rPr>
        <w:t xml:space="preserve">2015  </w:t>
      </w:r>
      <w:r>
        <w:rPr>
          <w:rFonts w:ascii="Arial" w:hAnsi="Arial"/>
          <w:b/>
        </w:rPr>
        <w:t>Professional Trainer Licence</w:t>
      </w:r>
      <w:r>
        <w:rPr>
          <w:rFonts w:ascii="Arial" w:hAnsi="Arial"/>
        </w:rPr>
        <w:t xml:space="preserve"> — Academic Professional Training Association, Saudi Arabia</w:t>
      </w:r>
    </w:p>
    <w:p>
      <w:pPr>
        <w:spacing w:after="40"/>
        <w:ind w:left="144"/>
      </w:pPr>
      <w:r>
        <w:rPr>
          <w:rFonts w:ascii="Arial" w:hAnsi="Arial"/>
          <w:b/>
          <w:color w:val="1F5E72"/>
        </w:rPr>
        <w:t xml:space="preserve">2005  </w:t>
      </w:r>
      <w:r>
        <w:rPr>
          <w:rFonts w:ascii="Arial" w:hAnsi="Arial"/>
          <w:b/>
        </w:rPr>
        <w:t>NLP Diploma</w:t>
      </w:r>
      <w:r>
        <w:rPr>
          <w:rFonts w:ascii="Arial" w:hAnsi="Arial"/>
        </w:rPr>
        <w:t xml:space="preserve"> — INLPTA, Saudi Arabia</w:t>
      </w:r>
    </w:p>
    <w:p>
      <w:pPr>
        <w:pStyle w:val="Heading1"/>
      </w:pPr>
      <w:r>
        <w:rPr>
          <w:rFonts w:ascii="Arial" w:hAnsi="Arial"/>
        </w:rPr>
        <w:t>Current research programme</w:t>
      </w:r>
    </w:p>
    <w:p>
      <w:pPr>
        <w:pStyle w:val="Heading2"/>
      </w:pPr>
      <w:r>
        <w:rPr>
          <w:rFonts w:ascii="Arial" w:hAnsi="Arial"/>
        </w:rPr>
        <w:t>The Guardian Pedagogy (2026–present)</w:t>
      </w:r>
    </w:p>
    <w:p>
      <w:r>
        <w:rPr>
          <w:rFonts w:ascii="Arial" w:hAnsi="Arial"/>
        </w:rPr>
        <w:t>Theoretical programme in early childhood education and narrative pedagogy focused on stories as enduring and renewable sources of learning. Current conceptual work includes:</w:t>
      </w:r>
    </w:p>
    <w:p>
      <w:pPr>
        <w:pStyle w:val="ListBullet"/>
        <w:spacing w:after="20"/>
      </w:pPr>
      <w:r>
        <w:rPr>
          <w:rFonts w:ascii="Arial" w:hAnsi="Arial"/>
        </w:rPr>
        <w:t>Story Affordances and narrative renewability</w:t>
      </w:r>
    </w:p>
    <w:p>
      <w:pPr>
        <w:pStyle w:val="ListBullet"/>
        <w:spacing w:after="20"/>
      </w:pPr>
      <w:r>
        <w:rPr>
          <w:rFonts w:ascii="Arial" w:hAnsi="Arial"/>
        </w:rPr>
        <w:t>Human Questions as continuity-bearing structures in inquiry</w:t>
      </w:r>
    </w:p>
    <w:p>
      <w:pPr>
        <w:pStyle w:val="ListBullet"/>
        <w:spacing w:after="20"/>
      </w:pPr>
      <w:r>
        <w:rPr>
          <w:rFonts w:ascii="Arial" w:hAnsi="Arial"/>
        </w:rPr>
        <w:t>The Guardian Inquiry Cycle as a recursive process model</w:t>
      </w:r>
    </w:p>
    <w:p>
      <w:pPr>
        <w:pStyle w:val="ListBullet"/>
        <w:spacing w:after="20"/>
      </w:pPr>
      <w:r>
        <w:rPr>
          <w:rFonts w:ascii="Arial" w:hAnsi="Arial"/>
        </w:rPr>
        <w:t>Cultural, relational and ethical dimensions of story-based curriculum</w:t>
      </w:r>
    </w:p>
    <w:p>
      <w:pPr>
        <w:pStyle w:val="Heading1"/>
      </w:pPr>
      <w:r>
        <w:rPr>
          <w:rFonts w:ascii="Arial" w:hAnsi="Arial"/>
        </w:rPr>
        <w:t>Peer-reviewed and scholarly publications</w:t>
      </w:r>
    </w:p>
    <w:p>
      <w:pPr>
        <w:ind w:left="144" w:hanging="144"/>
      </w:pPr>
      <w:r>
        <w:rPr>
          <w:rFonts w:ascii="Arial" w:hAnsi="Arial"/>
          <w:b/>
        </w:rPr>
        <w:t xml:space="preserve">Albetran, H., Alsafwan, A., Haroosh, H., Dong, Y., &amp; Low, I. M. (2013). </w:t>
      </w:r>
      <w:r>
        <w:rPr>
          <w:rFonts w:ascii="Arial" w:hAnsi="Arial"/>
        </w:rPr>
        <w:t xml:space="preserve">X-Ray Diffraction Study on the In-Situ Crystallization Kinetics in Electrospun PVP/TiO₂ Nanofibers. </w:t>
      </w:r>
      <w:r>
        <w:rPr>
          <w:rFonts w:ascii="Arial" w:hAnsi="Arial"/>
          <w:i/>
        </w:rPr>
        <w:t>Nanostructured Materials and Nanotechnology VII</w:t>
      </w:r>
      <w:r>
        <w:rPr>
          <w:rFonts w:ascii="Arial" w:hAnsi="Arial"/>
        </w:rPr>
        <w:t xml:space="preserve">, 35–49. Wiley. DOI: </w:t>
      </w:r>
      <w:hyperlink r:id="rId10">
        <w:r>
          <w:rPr>
            <w:color w:val="1F5E72"/>
            <w:u w:val="single"/>
            <w:rFonts w:ascii="Arial" w:hAnsi="Arial" w:cs="Arial"/>
            <w:sz w:val="19"/>
          </w:rPr>
          <w:t>10.1002/9781118807828.ch4</w:t>
        </w:r>
      </w:hyperlink>
    </w:p>
    <w:p>
      <w:pPr>
        <w:pStyle w:val="Heading1"/>
      </w:pPr>
      <w:r>
        <w:rPr>
          <w:rFonts w:ascii="Arial" w:hAnsi="Arial"/>
        </w:rPr>
        <w:t>Doctoral thesis</w:t>
      </w:r>
    </w:p>
    <w:p>
      <w:r>
        <w:rPr>
          <w:rFonts w:ascii="Arial" w:hAnsi="Arial"/>
          <w:b/>
        </w:rPr>
        <w:t xml:space="preserve">Al Safwan, A. (2018). </w:t>
      </w:r>
      <w:r>
        <w:rPr>
          <w:rFonts w:ascii="Arial" w:hAnsi="Arial"/>
          <w:i/>
        </w:rPr>
        <w:t>Saudi Female High School Students’ and Teachers’ Understandings of Thermal Concepts</w:t>
      </w:r>
      <w:r>
        <w:rPr>
          <w:rFonts w:ascii="Arial" w:hAnsi="Arial"/>
        </w:rPr>
        <w:t>. Curtin University.</w:t>
      </w:r>
    </w:p>
    <w:p>
      <w:pPr>
        <w:pStyle w:val="Smallmuted"/>
      </w:pPr>
      <w:r>
        <w:rPr>
          <w:rFonts w:ascii="Arial" w:hAnsi="Arial"/>
        </w:rPr>
        <w:t>Examination: both international examiners recommended passage with relatively minor revisions; outcomes B1 and A respectively. Examiner 1 described the study as a noteworthy contribution and commended the literature review, methodology, data analysis, scholarship and research capacity.</w:t>
      </w:r>
    </w:p>
    <w:p>
      <w:pPr>
        <w:pStyle w:val="Heading1"/>
      </w:pPr>
      <w:r>
        <w:rPr>
          <w:rFonts w:ascii="Arial" w:hAnsi="Arial"/>
        </w:rPr>
        <w:t>Selected conference papers, presentations and peer-reviewed proposals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2019  An International Comparison of Students’ Understanding of Thermal Concepts prior to Instruction</w:t>
      </w:r>
      <w:r>
        <w:rPr>
          <w:rFonts w:ascii="Arial" w:hAnsi="Arial"/>
        </w:rPr>
        <w:t xml:space="preserve"> — American Educational Research Association (AERA) Annual Meeting, SIG–Science Teaching and Learning.</w:t>
      </w:r>
    </w:p>
    <w:p>
      <w:pPr>
        <w:pStyle w:val="Smallmuted"/>
        <w:spacing w:after="60"/>
        <w:ind w:left="173"/>
      </w:pPr>
      <w:r>
        <w:t>Peer-reviewed conference proposal, SIG–Science Teaching and Learning.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2018  An Arabic Culture Model of Conceptual Change</w:t>
      </w:r>
      <w:r>
        <w:rPr>
          <w:rFonts w:ascii="Arial" w:hAnsi="Arial"/>
        </w:rPr>
        <w:t xml:space="preserve"> — Second Inter-Regional Research Conference on Science and Mathematics Education: Interfacing Arab and Asia-Pacific Science and Mathematics Education Research.</w:t>
      </w:r>
    </w:p>
    <w:p>
      <w:pPr>
        <w:pStyle w:val="Smallmuted"/>
        <w:spacing w:after="60"/>
        <w:ind w:left="173"/>
      </w:pPr>
      <w:r>
        <w:rPr>
          <w:rFonts w:ascii="Arial" w:hAnsi="Arial"/>
        </w:rPr>
        <w:t>Paper Session IIIA: Science Learning in the Arab World. Co-authors: David F. Treagust and Marjan Zadnik.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2018  The Arab Culture model of Conceptual Change</w:t>
      </w:r>
      <w:r>
        <w:rPr>
          <w:rFonts w:ascii="Arial" w:hAnsi="Arial"/>
        </w:rPr>
        <w:t xml:space="preserve"> — ICSTEM2018.</w:t>
      </w:r>
    </w:p>
    <w:p>
      <w:pPr>
        <w:pStyle w:val="Smallmuted"/>
        <w:spacing w:after="60"/>
        <w:ind w:left="173"/>
      </w:pPr>
      <w:r>
        <w:rPr>
          <w:rFonts w:ascii="Arial" w:hAnsi="Arial"/>
        </w:rPr>
        <w:t>Poster presentation. Co-authors: David F. Treagust and Marjan Zadnik.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2018  Research paper accepted</w:t>
      </w:r>
      <w:r>
        <w:rPr>
          <w:rFonts w:ascii="Arial" w:hAnsi="Arial"/>
        </w:rPr>
        <w:t xml:space="preserve"> — Australasian Science Education Research Association (ASERA 49), Surfers Paradise, Australia.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2017  Do students in developing countries understand science differently?</w:t>
      </w:r>
      <w:r>
        <w:rPr>
          <w:rFonts w:ascii="Arial" w:hAnsi="Arial"/>
        </w:rPr>
        <w:t xml:space="preserve"> — 5th International Postgraduate Conference on Science and Mathematics / ICSTEM2017, Universiti Pendidikan Sultan Idris, Malaysia.</w:t>
      </w:r>
    </w:p>
    <w:p>
      <w:pPr>
        <w:pStyle w:val="Smallmuted"/>
        <w:spacing w:after="60"/>
        <w:ind w:left="173"/>
      </w:pPr>
      <w:r>
        <w:rPr>
          <w:rFonts w:ascii="Arial" w:hAnsi="Arial"/>
        </w:rPr>
        <w:t>Oral presentation, 7–9 October 2017.</w:t>
      </w:r>
    </w:p>
    <w:p>
      <w:pPr>
        <w:spacing w:after="20"/>
        <w:ind w:left="173" w:hanging="173"/>
      </w:pPr>
      <w:r>
        <w:rPr>
          <w:rFonts w:ascii="Arial" w:hAnsi="Arial"/>
          <w:b/>
        </w:rPr>
        <w:t>2015  Female High School Students Understanding Of Thermal Concepts</w:t>
      </w:r>
      <w:r>
        <w:rPr>
          <w:rFonts w:ascii="Arial" w:hAnsi="Arial"/>
        </w:rPr>
        <w:t xml:space="preserve"> — Australian Association for Research in Education (AARE).</w:t>
      </w:r>
    </w:p>
    <w:p>
      <w:pPr>
        <w:pStyle w:val="Smallmuted"/>
        <w:spacing w:after="60"/>
        <w:ind w:left="173"/>
      </w:pPr>
      <w:r>
        <w:rPr>
          <w:rFonts w:ascii="Arial" w:hAnsi="Arial"/>
        </w:rPr>
        <w:t>Abstract-refereed conference contribution.</w:t>
      </w:r>
    </w:p>
    <w:p>
      <w:pPr>
        <w:pStyle w:val="Heading1"/>
      </w:pPr>
      <w:r>
        <w:rPr>
          <w:rFonts w:ascii="Arial" w:hAnsi="Arial"/>
        </w:rPr>
        <w:t>Awards and scholarly recognition</w:t>
      </w:r>
    </w:p>
    <w:p>
      <w:pPr>
        <w:pStyle w:val="ListBullet"/>
        <w:spacing w:after="20"/>
      </w:pPr>
      <w:r>
        <w:rPr>
          <w:rFonts w:ascii="Arial" w:hAnsi="Arial"/>
          <w:b/>
        </w:rPr>
        <w:t xml:space="preserve">2017 — </w:t>
      </w:r>
      <w:r>
        <w:rPr>
          <w:rFonts w:ascii="Arial" w:hAnsi="Arial"/>
        </w:rPr>
        <w:t>Poster Award, IPCSM2017</w:t>
      </w:r>
    </w:p>
    <w:p>
      <w:pPr>
        <w:pStyle w:val="ListBullet"/>
        <w:spacing w:after="20"/>
      </w:pPr>
      <w:r>
        <w:rPr>
          <w:rFonts w:ascii="Arial" w:hAnsi="Arial"/>
          <w:b/>
        </w:rPr>
        <w:t xml:space="preserve">2019 — </w:t>
      </w:r>
      <w:r>
        <w:rPr>
          <w:rFonts w:ascii="Arial" w:hAnsi="Arial"/>
        </w:rPr>
        <w:t>Doctoral thesis examination: B1 and A respectively; both examiners recommended passage with relatively minor revisions</w:t>
      </w:r>
    </w:p>
    <w:p>
      <w:pPr>
        <w:pStyle w:val="Heading1"/>
      </w:pPr>
      <w:r>
        <w:rPr>
          <w:rFonts w:ascii="Arial" w:hAnsi="Arial"/>
        </w:rPr>
        <w:t>Professional experience</w:t>
      </w:r>
    </w:p>
    <w:p>
      <w:pPr>
        <w:pStyle w:val="Heading2"/>
      </w:pPr>
      <w:r>
        <w:rPr>
          <w:rFonts w:ascii="Arial" w:hAnsi="Arial"/>
        </w:rPr>
        <w:t>Early childhood educator / manager</w:t>
      </w:r>
    </w:p>
    <w:p>
      <w:pPr>
        <w:pStyle w:val="Smallmuted"/>
      </w:pPr>
      <w:r>
        <w:rPr>
          <w:rFonts w:ascii="Arial" w:hAnsi="Arial"/>
        </w:rPr>
        <w:t>Olive Grove Centre of Early Learning, Western Australia — Current</w:t>
      </w:r>
    </w:p>
    <w:p>
      <w:pPr>
        <w:pStyle w:val="ListBullet"/>
        <w:spacing w:after="20"/>
      </w:pPr>
      <w:r>
        <w:rPr>
          <w:rFonts w:ascii="Arial" w:hAnsi="Arial"/>
        </w:rPr>
        <w:t>Leadership and practice in early childhood curriculum, documentation, reflective practice and educator support.</w:t>
      </w:r>
    </w:p>
    <w:p>
      <w:pPr>
        <w:pStyle w:val="ListBullet"/>
        <w:spacing w:after="20"/>
      </w:pPr>
      <w:r>
        <w:rPr>
          <w:rFonts w:ascii="Arial" w:hAnsi="Arial"/>
        </w:rPr>
        <w:t>Professional practice aligned with the Early Years Learning Framework, National Quality Standard and Australian early childhood regulatory context.</w:t>
      </w:r>
    </w:p>
    <w:p>
      <w:pPr>
        <w:pStyle w:val="ListBullet"/>
        <w:spacing w:after="20"/>
      </w:pPr>
      <w:r>
        <w:rPr>
          <w:rFonts w:ascii="Arial" w:hAnsi="Arial"/>
        </w:rPr>
        <w:t>Focus on culturally responsive practice, family partnerships, inclusion and Aboriginal and Torres Strait Islander perspectives.</w:t>
      </w:r>
    </w:p>
    <w:p>
      <w:pPr>
        <w:pStyle w:val="Heading2"/>
      </w:pPr>
      <w:r>
        <w:rPr>
          <w:rFonts w:ascii="Arial" w:hAnsi="Arial"/>
        </w:rPr>
        <w:t>High school physics teacher</w:t>
      </w:r>
    </w:p>
    <w:p>
      <w:pPr>
        <w:pStyle w:val="Smallmuted"/>
      </w:pPr>
      <w:r>
        <w:rPr>
          <w:rFonts w:ascii="Arial" w:hAnsi="Arial"/>
        </w:rPr>
        <w:t>Saudi Department of Education — 1990–2008</w:t>
      </w:r>
    </w:p>
    <w:p>
      <w:r>
        <w:rPr>
          <w:rFonts w:ascii="Arial" w:hAnsi="Arial"/>
        </w:rPr>
        <w:t>Taught secondary physics across an 18-year education career while undertaking additional curriculum, laboratory, consultancy and school-safety responsibilities.</w:t>
      </w:r>
    </w:p>
    <w:p>
      <w:pPr>
        <w:pStyle w:val="Heading2"/>
      </w:pPr>
      <w:r>
        <w:rPr>
          <w:rFonts w:ascii="Arial" w:hAnsi="Arial"/>
        </w:rPr>
        <w:t>Concurrent education responsibilities</w:t>
      </w:r>
    </w:p>
    <w:p>
      <w:pPr>
        <w:spacing w:after="20"/>
        <w:ind w:left="144"/>
      </w:pPr>
      <w:r>
        <w:rPr>
          <w:rFonts w:ascii="Arial" w:hAnsi="Arial"/>
          <w:b/>
          <w:color w:val="1F5E72"/>
        </w:rPr>
        <w:t xml:space="preserve">2000–2008  </w:t>
      </w:r>
      <w:r>
        <w:rPr>
          <w:rFonts w:ascii="Arial" w:hAnsi="Arial"/>
          <w:b/>
        </w:rPr>
        <w:t>National curriculum exam marker</w:t>
      </w:r>
      <w:r>
        <w:rPr>
          <w:rFonts w:ascii="Arial" w:hAnsi="Arial"/>
        </w:rPr>
        <w:t xml:space="preserve"> — National Assignment Centre, Saudi Arabia</w:t>
      </w:r>
    </w:p>
    <w:p>
      <w:pPr>
        <w:spacing w:after="20"/>
        <w:ind w:left="144"/>
      </w:pPr>
      <w:r>
        <w:rPr>
          <w:rFonts w:ascii="Arial" w:hAnsi="Arial"/>
          <w:b/>
          <w:color w:val="1F5E72"/>
        </w:rPr>
        <w:t xml:space="preserve">2000–2008  </w:t>
      </w:r>
      <w:r>
        <w:rPr>
          <w:rFonts w:ascii="Arial" w:hAnsi="Arial"/>
          <w:b/>
        </w:rPr>
        <w:t>School emergency evacuation plans designer</w:t>
      </w:r>
      <w:r>
        <w:rPr>
          <w:rFonts w:ascii="Arial" w:hAnsi="Arial"/>
        </w:rPr>
        <w:t xml:space="preserve"> — Saudi Department of Education</w:t>
      </w:r>
    </w:p>
    <w:p>
      <w:pPr>
        <w:spacing w:after="20"/>
        <w:ind w:left="144"/>
      </w:pPr>
      <w:r>
        <w:rPr>
          <w:rFonts w:ascii="Arial" w:hAnsi="Arial"/>
          <w:b/>
          <w:color w:val="1F5E72"/>
        </w:rPr>
        <w:t xml:space="preserve">1994–1997  </w:t>
      </w:r>
      <w:r>
        <w:rPr>
          <w:rFonts w:ascii="Arial" w:hAnsi="Arial"/>
          <w:b/>
        </w:rPr>
        <w:t>School consultant</w:t>
      </w:r>
      <w:r>
        <w:rPr>
          <w:rFonts w:ascii="Arial" w:hAnsi="Arial"/>
        </w:rPr>
        <w:t xml:space="preserve"> — Saudi Department of Education</w:t>
      </w:r>
    </w:p>
    <w:p>
      <w:pPr>
        <w:spacing w:after="20"/>
        <w:ind w:left="144"/>
      </w:pPr>
      <w:r>
        <w:rPr>
          <w:rFonts w:ascii="Arial" w:hAnsi="Arial"/>
          <w:b/>
          <w:color w:val="1F5E72"/>
        </w:rPr>
        <w:t xml:space="preserve">1990–1999  </w:t>
      </w:r>
      <w:r>
        <w:rPr>
          <w:rFonts w:ascii="Arial" w:hAnsi="Arial"/>
          <w:b/>
        </w:rPr>
        <w:t>School laboratory operator</w:t>
      </w:r>
      <w:r>
        <w:rPr>
          <w:rFonts w:ascii="Arial" w:hAnsi="Arial"/>
        </w:rPr>
        <w:t xml:space="preserve"> — Saudi Department of Education</w:t>
      </w:r>
    </w:p>
    <w:p>
      <w:pPr>
        <w:pStyle w:val="Heading1"/>
      </w:pPr>
      <w:r>
        <w:rPr>
          <w:rFonts w:ascii="Arial" w:hAnsi="Arial"/>
        </w:rPr>
        <w:t>Research and professional expertise</w:t>
      </w:r>
    </w:p>
    <w:p>
      <w:pPr>
        <w:pStyle w:val="ListBullet"/>
        <w:spacing w:after="20"/>
      </w:pPr>
      <w:r>
        <w:rPr>
          <w:rFonts w:ascii="Arial" w:hAnsi="Arial"/>
        </w:rPr>
        <w:t>Conceptual and theoretical framework development</w:t>
      </w:r>
    </w:p>
    <w:p>
      <w:pPr>
        <w:pStyle w:val="ListBullet"/>
        <w:spacing w:after="20"/>
      </w:pPr>
      <w:r>
        <w:rPr>
          <w:rFonts w:ascii="Arial" w:hAnsi="Arial"/>
        </w:rPr>
        <w:t>Science education and conceptual change research</w:t>
      </w:r>
    </w:p>
    <w:p>
      <w:pPr>
        <w:pStyle w:val="ListBullet"/>
        <w:spacing w:after="20"/>
      </w:pPr>
      <w:r>
        <w:rPr>
          <w:rFonts w:ascii="Arial" w:hAnsi="Arial"/>
        </w:rPr>
        <w:t>Cross-cultural instrument adaptation and educational research</w:t>
      </w:r>
    </w:p>
    <w:p>
      <w:pPr>
        <w:pStyle w:val="ListBullet"/>
        <w:spacing w:after="20"/>
      </w:pPr>
      <w:r>
        <w:rPr>
          <w:rFonts w:ascii="Arial" w:hAnsi="Arial"/>
        </w:rPr>
        <w:t>Quantitative and qualitative data interpretation</w:t>
      </w:r>
    </w:p>
    <w:p>
      <w:pPr>
        <w:pStyle w:val="ListBullet"/>
        <w:spacing w:after="20"/>
      </w:pPr>
      <w:r>
        <w:rPr>
          <w:rFonts w:ascii="Arial" w:hAnsi="Arial"/>
        </w:rPr>
        <w:t>Narrative pedagogy, story-based inquiry and curriculum continuity</w:t>
      </w:r>
    </w:p>
    <w:p>
      <w:pPr>
        <w:pStyle w:val="ListBullet"/>
        <w:spacing w:after="20"/>
      </w:pPr>
      <w:r>
        <w:rPr>
          <w:rFonts w:ascii="Arial" w:hAnsi="Arial"/>
        </w:rPr>
        <w:t>Early childhood curriculum planning, documentation and reflective practice</w:t>
      </w:r>
    </w:p>
    <w:p>
      <w:pPr>
        <w:pStyle w:val="ListBullet"/>
        <w:spacing w:after="20"/>
      </w:pPr>
      <w:r>
        <w:rPr>
          <w:rFonts w:ascii="Arial" w:hAnsi="Arial"/>
        </w:rPr>
        <w:t>Academic writing, literature synthesis and peer-review response</w:t>
      </w:r>
    </w:p>
    <w:p>
      <w:pPr>
        <w:pStyle w:val="Heading1"/>
      </w:pPr>
      <w:r>
        <w:rPr>
          <w:rFonts w:ascii="Arial" w:hAnsi="Arial"/>
        </w:rPr>
        <w:t>Scholarly identity and name variants</w:t>
      </w:r>
    </w:p>
    <w:p>
      <w:r>
        <w:rPr>
          <w:rFonts w:ascii="Arial" w:hAnsi="Arial"/>
          <w:b/>
        </w:rPr>
        <w:t xml:space="preserve">Preferred scholarly name: </w:t>
      </w:r>
      <w:r>
        <w:rPr>
          <w:rFonts w:ascii="Arial" w:hAnsi="Arial"/>
        </w:rPr>
        <w:t>Asmahan Matooq S Al Safwan</w:t>
      </w:r>
    </w:p>
    <w:p>
      <w:r>
        <w:rPr>
          <w:rFonts w:ascii="Arial" w:hAnsi="Arial"/>
          <w:b/>
        </w:rPr>
        <w:t xml:space="preserve">Published / indexed variants: </w:t>
      </w:r>
      <w:r>
        <w:rPr>
          <w:rFonts w:ascii="Arial" w:hAnsi="Arial"/>
        </w:rPr>
        <w:t>A. Alsafwan; A. Al Safwan; Asmahan Al Safwan</w:t>
      </w:r>
    </w:p>
    <w:p>
      <w:pPr>
        <w:pStyle w:val="Smallmuted"/>
      </w:pPr>
      <w:r>
        <w:rPr>
          <w:rFonts w:ascii="Arial" w:hAnsi="Arial"/>
        </w:rPr>
        <w:t>These variants are retained in Google Scholar to connect earlier publications and conference records.</w:t>
      </w:r>
    </w:p>
    <w:sectPr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770"/>
        <w:sz w:val="16"/>
      </w:rPr>
      <w:t>Asmahan Matooq S Al Safwan — Academic CV v.1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5E72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5E7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40"/>
    </w:pPr>
    <w:rPr>
      <w:rFonts w:ascii="Arial" w:hAnsi="Arial"/>
      <w:color w:val="5C67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holar.google.com/citations?user=uh-9dD4AAAAJ" TargetMode="External"/><Relationship Id="rId10" Type="http://schemas.openxmlformats.org/officeDocument/2006/relationships/hyperlink" Target="https://doi.org/10.1002/9781118807828.ch4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