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5B634B" w:rsidRDefault="005B634B">
      <w:pPr>
        <w:rPr>
          <w:sz w:val="16"/>
          <w:szCs w:val="16"/>
        </w:rPr>
      </w:pPr>
      <w:bookmarkStart w:id="0" w:name="_GoBack"/>
      <w:r w:rsidRPr="005B634B">
        <w:rPr>
          <w:sz w:val="16"/>
          <w:szCs w:val="16"/>
        </w:rPr>
        <w:t xml:space="preserve">MARTA ZMUDA </w:t>
      </w:r>
    </w:p>
    <w:p w:rsidR="005B634B" w:rsidRPr="005B634B" w:rsidRDefault="005B634B">
      <w:pPr>
        <w:rPr>
          <w:sz w:val="16"/>
          <w:szCs w:val="16"/>
        </w:rPr>
      </w:pPr>
      <w:r w:rsidRPr="005B634B">
        <w:rPr>
          <w:sz w:val="16"/>
          <w:szCs w:val="16"/>
        </w:rPr>
        <w:t>14,05,2020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Zakres badania:  od szczytu głowy do 1/3 ud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Akwizycję przeprowadzono  po 64 min od podania 18F-FDG.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Glikemia: 102 mg%.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 xml:space="preserve">Problem kliniczny: </w:t>
      </w:r>
      <w:proofErr w:type="spellStart"/>
      <w:r w:rsidRPr="005B634B">
        <w:rPr>
          <w:rFonts w:ascii="Arial" w:hAnsi="Arial" w:cs="Arial"/>
          <w:color w:val="080000"/>
          <w:sz w:val="16"/>
          <w:szCs w:val="16"/>
        </w:rPr>
        <w:t>Chłoniak</w:t>
      </w:r>
      <w:proofErr w:type="spellEnd"/>
      <w:r w:rsidRPr="005B634B">
        <w:rPr>
          <w:rFonts w:ascii="Arial" w:hAnsi="Arial" w:cs="Arial"/>
          <w:color w:val="080000"/>
          <w:sz w:val="16"/>
          <w:szCs w:val="16"/>
        </w:rPr>
        <w:t xml:space="preserve"> </w:t>
      </w:r>
      <w:proofErr w:type="spellStart"/>
      <w:r w:rsidRPr="005B634B">
        <w:rPr>
          <w:rFonts w:ascii="Arial" w:hAnsi="Arial" w:cs="Arial"/>
          <w:color w:val="080000"/>
          <w:sz w:val="16"/>
          <w:szCs w:val="16"/>
        </w:rPr>
        <w:t>Hodgkina</w:t>
      </w:r>
      <w:proofErr w:type="spellEnd"/>
      <w:r w:rsidRPr="005B634B">
        <w:rPr>
          <w:rFonts w:ascii="Arial" w:hAnsi="Arial" w:cs="Arial"/>
          <w:color w:val="080000"/>
          <w:sz w:val="16"/>
          <w:szCs w:val="16"/>
        </w:rPr>
        <w:t xml:space="preserve"> typ klasyczny NS. Ocena zaawansowania.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 xml:space="preserve">Konsultujący specjalista radiologii i diagnostyki </w:t>
      </w:r>
      <w:r w:rsidRPr="005B634B">
        <w:rPr>
          <w:rFonts w:ascii="Arial" w:hAnsi="Arial" w:cs="Arial"/>
          <w:color w:val="000000"/>
          <w:sz w:val="16"/>
          <w:szCs w:val="16"/>
        </w:rPr>
        <w:t>obrazowej: A. Grochowska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Głowa i szyja: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 xml:space="preserve">Aktywny metabolicznie, pakiet węzłów chłonnych szyjnych grupy 4 po stronie lewej wielkości 30x18x33 mm wg PET SUV max 11,7  [Im </w:t>
      </w:r>
      <w:proofErr w:type="spellStart"/>
      <w:r w:rsidRPr="005B634B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5B634B">
        <w:rPr>
          <w:rFonts w:ascii="Arial" w:hAnsi="Arial" w:cs="Arial"/>
          <w:color w:val="080000"/>
          <w:sz w:val="16"/>
          <w:szCs w:val="16"/>
        </w:rPr>
        <w:t>. 83].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 xml:space="preserve">Aktywny metabolicznie węzeł chłonny nadobojczykowy lewy wielkości 10 mm SUV max 6,0 [Im </w:t>
      </w:r>
      <w:proofErr w:type="spellStart"/>
      <w:r w:rsidRPr="005B634B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5B634B">
        <w:rPr>
          <w:rFonts w:ascii="Arial" w:hAnsi="Arial" w:cs="Arial"/>
          <w:color w:val="080000"/>
          <w:sz w:val="16"/>
          <w:szCs w:val="16"/>
        </w:rPr>
        <w:t>. 88].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 xml:space="preserve">Aktywne metabolicznie pojedyncze i </w:t>
      </w:r>
      <w:proofErr w:type="spellStart"/>
      <w:r w:rsidRPr="005B634B">
        <w:rPr>
          <w:rFonts w:ascii="Arial" w:hAnsi="Arial" w:cs="Arial"/>
          <w:color w:val="080000"/>
          <w:sz w:val="16"/>
          <w:szCs w:val="16"/>
        </w:rPr>
        <w:t>spakietowane</w:t>
      </w:r>
      <w:proofErr w:type="spellEnd"/>
      <w:r w:rsidRPr="005B634B">
        <w:rPr>
          <w:rFonts w:ascii="Arial" w:hAnsi="Arial" w:cs="Arial"/>
          <w:color w:val="080000"/>
          <w:sz w:val="16"/>
          <w:szCs w:val="16"/>
        </w:rPr>
        <w:t xml:space="preserve"> węzły chłonne: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5B634B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5B634B">
        <w:rPr>
          <w:rFonts w:ascii="Arial" w:hAnsi="Arial" w:cs="Arial"/>
          <w:color w:val="080000"/>
          <w:sz w:val="16"/>
          <w:szCs w:val="16"/>
        </w:rPr>
        <w:t xml:space="preserve"> górne lewe wielkości 22x24x29 mm SUV max 10,1 [Im </w:t>
      </w:r>
      <w:proofErr w:type="spellStart"/>
      <w:r w:rsidRPr="005B634B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5B634B">
        <w:rPr>
          <w:rFonts w:ascii="Arial" w:hAnsi="Arial" w:cs="Arial"/>
          <w:color w:val="080000"/>
          <w:sz w:val="16"/>
          <w:szCs w:val="16"/>
        </w:rPr>
        <w:t>. 92]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5B634B">
        <w:rPr>
          <w:rFonts w:ascii="Arial" w:hAnsi="Arial" w:cs="Arial"/>
          <w:color w:val="080000"/>
          <w:sz w:val="16"/>
          <w:szCs w:val="16"/>
        </w:rPr>
        <w:t>śródpiersiowe</w:t>
      </w:r>
      <w:proofErr w:type="spellEnd"/>
      <w:r w:rsidRPr="005B634B">
        <w:rPr>
          <w:rFonts w:ascii="Arial" w:hAnsi="Arial" w:cs="Arial"/>
          <w:color w:val="080000"/>
          <w:sz w:val="16"/>
          <w:szCs w:val="16"/>
        </w:rPr>
        <w:t xml:space="preserve"> przednie lewe i lewobocznie od łuku aorty wielkości do 39x48x65 mm SUV max do 10,4 [Im CT 278]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5B634B">
        <w:rPr>
          <w:rFonts w:ascii="Arial" w:hAnsi="Arial" w:cs="Arial"/>
          <w:color w:val="080000"/>
          <w:sz w:val="16"/>
          <w:szCs w:val="16"/>
        </w:rPr>
        <w:t>śródpiersiowe</w:t>
      </w:r>
      <w:proofErr w:type="spellEnd"/>
      <w:r w:rsidRPr="005B634B">
        <w:rPr>
          <w:rFonts w:ascii="Arial" w:hAnsi="Arial" w:cs="Arial"/>
          <w:color w:val="080000"/>
          <w:sz w:val="16"/>
          <w:szCs w:val="16"/>
        </w:rPr>
        <w:t xml:space="preserve"> najwyższe wielkości 12 mm wg PET SUV max 7,6  [Im </w:t>
      </w:r>
      <w:proofErr w:type="spellStart"/>
      <w:r w:rsidRPr="005B634B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5B634B">
        <w:rPr>
          <w:rFonts w:ascii="Arial" w:hAnsi="Arial" w:cs="Arial"/>
          <w:color w:val="080000"/>
          <w:sz w:val="16"/>
          <w:szCs w:val="16"/>
        </w:rPr>
        <w:t>. 98]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Rozlanie wzmożony metabolizm FDG w żołądku, zwłaszcza w jego dnie SUV max do  6,4- w pierwszej kolejności o charakterze odczynowo- zapalnym.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Rozlanie wzmożony metabolizm FDG w śledzionie SUV max do 3,1.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Wzmożony metabolizm FDG w topografii obu przydatków SUV max do 7,0 oraz w endometrium macicy SUV max do 7,8- w pierwszej kolejności o charakterze czynnościowym (OM 04.05.2020)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Układ kostny: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Fizjologiczny metabolizm FDG w układzie kostnym objętym badaniem.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Dyskopatia L5/S1, niezrośnięte jądro kostnienia L5.</w:t>
      </w:r>
      <w:r w:rsidRPr="005B634B">
        <w:rPr>
          <w:rFonts w:ascii="Arial" w:hAnsi="Arial" w:cs="Arial"/>
          <w:color w:val="0000FF"/>
          <w:sz w:val="16"/>
          <w:szCs w:val="16"/>
        </w:rPr>
        <w:t xml:space="preserve"> 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Inne: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Pobudzenie metaboliczne w tkance brunatnej szyi i klatki piersiowej.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5B634B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5B634B">
        <w:rPr>
          <w:rFonts w:ascii="Arial" w:hAnsi="Arial" w:cs="Arial"/>
          <w:color w:val="080000"/>
          <w:sz w:val="16"/>
          <w:szCs w:val="16"/>
        </w:rPr>
        <w:t xml:space="preserve"> 1,4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5B634B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5B634B">
        <w:rPr>
          <w:rFonts w:ascii="Arial" w:hAnsi="Arial" w:cs="Arial"/>
          <w:color w:val="080000"/>
          <w:sz w:val="16"/>
          <w:szCs w:val="16"/>
        </w:rPr>
        <w:t xml:space="preserve"> do 2,8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Wnioski: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 xml:space="preserve">Badaniem PET/CT z 18 F-FDG uwidoczniono obecność aktywnej metabolicznie choroby </w:t>
      </w:r>
      <w:proofErr w:type="spellStart"/>
      <w:r w:rsidRPr="005B634B">
        <w:rPr>
          <w:rFonts w:ascii="Arial" w:hAnsi="Arial" w:cs="Arial"/>
          <w:color w:val="080000"/>
          <w:sz w:val="16"/>
          <w:szCs w:val="16"/>
        </w:rPr>
        <w:t>chłoniakowej</w:t>
      </w:r>
      <w:proofErr w:type="spellEnd"/>
      <w:r w:rsidRPr="005B634B">
        <w:rPr>
          <w:rFonts w:ascii="Arial" w:hAnsi="Arial" w:cs="Arial"/>
          <w:color w:val="080000"/>
          <w:sz w:val="16"/>
          <w:szCs w:val="16"/>
        </w:rPr>
        <w:t xml:space="preserve"> z zajęciem węzłów chłonnych szyi i śródpiersia- </w:t>
      </w:r>
      <w:proofErr w:type="spellStart"/>
      <w:r w:rsidRPr="005B634B">
        <w:rPr>
          <w:rFonts w:ascii="Arial" w:hAnsi="Arial" w:cs="Arial"/>
          <w:color w:val="080000"/>
          <w:sz w:val="16"/>
          <w:szCs w:val="16"/>
        </w:rPr>
        <w:t>AnnArbor</w:t>
      </w:r>
      <w:proofErr w:type="spellEnd"/>
      <w:r w:rsidRPr="005B634B">
        <w:rPr>
          <w:rFonts w:ascii="Arial" w:hAnsi="Arial" w:cs="Arial"/>
          <w:color w:val="080000"/>
          <w:sz w:val="16"/>
          <w:szCs w:val="16"/>
        </w:rPr>
        <w:t xml:space="preserve"> II.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634B" w:rsidRPr="005B634B" w:rsidRDefault="005B634B">
      <w:pPr>
        <w:rPr>
          <w:sz w:val="16"/>
          <w:szCs w:val="16"/>
        </w:rPr>
      </w:pPr>
      <w:r w:rsidRPr="005B634B">
        <w:rPr>
          <w:sz w:val="16"/>
          <w:szCs w:val="16"/>
        </w:rPr>
        <w:t>27,07,2020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Glikemia: 86mg%.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typ klasyczny NS. Ocena wczesnej odpowiedzi na stosowane leczenie.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Głowa i szyja: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Rozlana, symetryczna aktywność metaboliczna w topografii jamy nosowej oraz struktur pierścienia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>, SUV max do 5,9.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W prawej zatoce szczękowej pogrubienie śluzówki.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Mierne pobudzenie metaboliczne w węzłach chłonnych lewobocznie od łuku aorty wielkości do 27x43x56mm, SUV max do 2,5.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Rozlanie wzmożony metabolizm FDG w żołądku, zwłaszcza w jego dnie SUV max do 3,6 - w pierwszej kolejności o charakterze odczynowym.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Rozlanie wzmożony metabolizm FDG w esicy, SUV max do 6,3 - w pierwszej kolejności o charakterze czynnościowym.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Wzmożony metabolizm FDG w topografii  w endometrium macicy SUV max do 4,2 w pierwszej kolejności o charakterze czynnościowym.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W miednicy mniejszej do tyłu od przydatków lewych widoczny okrągły obszar płynowy - torbiel ? średnicy 19mm  - do oceny w USG - TV.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lastRenderedPageBreak/>
        <w:t xml:space="preserve">W  jamie Douglasa widoczna jest niewielka ilość płynu. 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Układ kostny: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Niejednorodny metabolizm FDG w układzie kostnym objętym badaniem - w pierwszej kolejności związany z prowadzonym leczeniem SUV max 3,3.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Dyskopatia L5/S1, niezrośnięte jądro kostnienia L5. 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2,0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do 2,7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Wnioski: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Badaniem PET/CT z 18 F-FDG uwidoczniono dobrą odpowiedź choroby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na zastosowanie leczenie. 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634B" w:rsidRPr="005B634B" w:rsidRDefault="005B634B">
      <w:pPr>
        <w:rPr>
          <w:sz w:val="16"/>
          <w:szCs w:val="16"/>
        </w:rPr>
      </w:pPr>
      <w:r w:rsidRPr="005B634B">
        <w:rPr>
          <w:sz w:val="16"/>
          <w:szCs w:val="16"/>
        </w:rPr>
        <w:t>10,12,2020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Akwizycję przeprowadzono  po 60 min od podania 18F-FDG.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Glikemia: 98 mg%.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typ klasyczny NS. Ocena remisji choroby po zakończeniu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ChTh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>. W planie ew. kwalifikacja do IFRT.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>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Głowa i szyja: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Aplazja zatok czołowych.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Nieaktywny metabolicznie pakiet węzłów chłonnych lewobocznie od łuku aorty wielkości ok 22x39x46 mm (SUV max 1,7).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W przyleganiu widoczne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sa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drobne węzły chłonne wielkości do 10mm.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Drobne zmiany włókniste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W grzbietowo-lewobocznej części miednicy, w topografii pętli jelitowych oraz nieco do tyłu od przydatków lewych widoczny owalny obszar płynowy -wielkości 17x25 mm [Im CT 635] -  torbiel ?  - do oceny w USG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t.v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>. i do kontroli ginekologicznej.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Układ kostny: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Rozlanie wzmożony metabolizm FDG w układzie kostnym objętym badaniem  SUV max do 4,9- w pierwszej kolejności związany z prowadzonym leczeniem.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Drobne zmiany zwyrodnieniowe kręgosłupa.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Dyskopatia na poziomie L5/S1. Odszczepione jądro kostnienia w przednio-górnej części trzonu L5. 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>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Inne: Wzmożony metabolizm FDG w tkance brunatnej szyi i klatki piersiowej.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1,6;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do 2,9.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Wnioski: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Badaniem PET/CT z 18 F-FDG nie uwidoczniono obecności aktywnej metabolicznie choroby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>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Nieaktywny metabolicznie pakiet węzłów chłonnych położony lewobocznie od łuku aorty- do dalszej kontroli.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5B634B" w:rsidRPr="005B634B" w:rsidRDefault="005B634B">
      <w:pPr>
        <w:rPr>
          <w:sz w:val="16"/>
          <w:szCs w:val="16"/>
        </w:rPr>
      </w:pPr>
      <w:r w:rsidRPr="005B634B">
        <w:rPr>
          <w:sz w:val="16"/>
          <w:szCs w:val="16"/>
        </w:rPr>
        <w:t>01,06,2021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Akwizycję przeprowadzono  po 61min od podania 18F-FDG.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Glikemia: 97mg%.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typ klasyczny NS. Ocena remisji choroby po zakończeniu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ChTh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i  IFRT.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Głowa i szyja: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Symetryczna aktywność metaboliczna w strukturach pierścienia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>, SUV max do 4,9.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Aplazja zatok czołowych.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lastRenderedPageBreak/>
        <w:t>Fizjologiczny metabolizm FDG w narządach klatki piersiowej i śródpiersia.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Nieaktywny metabolicznie pakiet węzłów chłonnych lewobocznie od łuku aorty wielkości ok 22x39mm - jak poprzednio.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Przytchawiczo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widoczny węzeł 16x19mm, kolejny 17x9mm lewobocznie od t. szyjnej wspólnej lewej  - jak poprzednio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W przyleganiu widoczne są drobne węzły chłonne wielkości do 8mm.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Drobne zmiany włókniste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Rozlana, mierna aktywność metaboliczna w topografii ścian żołądka, SUV max do 5,9 - w pierwszej kolejności czynnościowe.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W grzbietowo-lewobocznej części miednicy, w topografii pętli jelitowych oraz nieco do tyłu od przydatków lewych widoczny owalny obszar płynowy -wielkości 20x22mm [Im CT 656] -  torbiel ?  - do oceny w USG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t.v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>. i do kontroli ginekologicznej.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Układ kostny: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Fizjologiczny  metabolizm FDG w układzie kostnym objętym badaniem.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Drobne zmiany zwyrodnieniowe kręgosłupa.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Dyskopatia na poziomie L5/S1. Odszczepione jądro kostnienia w przednio-górnej części trzonu L5. Os sacrum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>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1,4;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 xml:space="preserve"> do 2,5.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Wnioski: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 xml:space="preserve">Badaniem PET/CT z 18 F-FDG nie uwidoczniono obecności aktywnej metabolicznie choroby </w:t>
      </w:r>
      <w:proofErr w:type="spellStart"/>
      <w:r w:rsidRPr="005B634B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5B634B">
        <w:rPr>
          <w:rFonts w:ascii="Arial" w:hAnsi="Arial" w:cs="Arial"/>
          <w:color w:val="000000"/>
          <w:sz w:val="16"/>
          <w:szCs w:val="16"/>
        </w:rPr>
        <w:t>.</w:t>
      </w:r>
    </w:p>
    <w:p w:rsidR="005B634B" w:rsidRPr="005B634B" w:rsidRDefault="005B634B" w:rsidP="005B63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5B634B">
        <w:rPr>
          <w:rFonts w:ascii="Arial" w:hAnsi="Arial" w:cs="Arial"/>
          <w:color w:val="000000"/>
          <w:sz w:val="16"/>
          <w:szCs w:val="16"/>
        </w:rPr>
        <w:t>Masa resztkowa - do dalszej kontroli.</w:t>
      </w:r>
    </w:p>
    <w:bookmarkEnd w:id="0"/>
    <w:p w:rsidR="005B634B" w:rsidRPr="005B634B" w:rsidRDefault="005B634B">
      <w:pPr>
        <w:rPr>
          <w:sz w:val="16"/>
          <w:szCs w:val="16"/>
        </w:rPr>
      </w:pPr>
    </w:p>
    <w:sectPr w:rsidR="005B634B" w:rsidRPr="005B63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34B"/>
    <w:rsid w:val="005B634B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BE55E"/>
  <w15:chartTrackingRefBased/>
  <w15:docId w15:val="{89C55806-1FE7-4565-924A-B8DDD8A6E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1080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2026-06-10T10:01:00Z</dcterms:created>
  <dcterms:modified xsi:type="dcterms:W3CDTF">2026-06-10T10:02:00Z</dcterms:modified>
</cp:coreProperties>
</file>