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303F48" w:rsidRDefault="00303F48">
      <w:pPr>
        <w:rPr>
          <w:sz w:val="16"/>
          <w:szCs w:val="16"/>
        </w:rPr>
      </w:pPr>
      <w:bookmarkStart w:id="0" w:name="_GoBack"/>
      <w:r w:rsidRPr="00303F48">
        <w:rPr>
          <w:sz w:val="16"/>
          <w:szCs w:val="16"/>
        </w:rPr>
        <w:t>MATYLDA MOROWIEC</w:t>
      </w:r>
    </w:p>
    <w:p w:rsidR="00303F48" w:rsidRPr="00303F48" w:rsidRDefault="00303F48">
      <w:pPr>
        <w:rPr>
          <w:sz w:val="16"/>
          <w:szCs w:val="16"/>
        </w:rPr>
      </w:pPr>
      <w:r w:rsidRPr="00303F48">
        <w:rPr>
          <w:sz w:val="16"/>
          <w:szCs w:val="16"/>
        </w:rPr>
        <w:t>07,07,2020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Akwizycję przeprowadzono  po  60 min od podania 18F-FDG.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Glikemia: 112mg%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- ocena zaawansowania.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Głowa i szyja: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Aktywne metabolicznie węzły chłonne przedziału III-V i nadobojczykowe po stronie lewej wielkości do 23x20x31mm wg PET, SUV max do 9,6.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Aktywne metabolicznie węzły chłonne przedziału IV po stronie prawej wielkości do 16x15mm wg PET, SUV max do 8,3.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Asymetryczne pobudzenie metaboliczne w migdałku gardłowym prawym (SUV max 5,2) i lewym (SUV max 5,3) - do kontroli.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Prawostronne skrzywienie przegrody nosa.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Aktywne metabolicznie węzły chłonne pojedyncze 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górne lewe wielkości do 14mm wg PET, SUV max 5,5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prawe wielkości do 14mm wg PET, SUV max do 4,8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- w śródpiersiu przednim po stronie lewej wielkości do 31x26mm wg PET, SUV max do 12,1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- w śródpiersiu przednim po stronie prawej wielkości do 21mm wg PET, SUV max do 5,6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- przy łuku aorty wielkości 10mm wg PET, SUV max 4,9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- przymostkowy po stronie lewej wielkości 16mm, SUV max 8,5.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Układ kostny: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2,0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Wnioski: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powyżej poziomu przepony.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>
      <w:pPr>
        <w:rPr>
          <w:sz w:val="16"/>
          <w:szCs w:val="16"/>
        </w:rPr>
      </w:pPr>
      <w:r w:rsidRPr="00303F48">
        <w:rPr>
          <w:sz w:val="16"/>
          <w:szCs w:val="16"/>
        </w:rPr>
        <w:t>14,09,2020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Glikemia: 88mg%.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- ocena wczesnej odpowiedzi na stosowane leczenie.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Głowa i szyja: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Miernie pobudzone metabolicznie węzły chłonne V i nadobojczykowe po stronie lewej średnicy do 13mm, SUV max do 2,6.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skierowaną na stronę prawą.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Aktywna metaboliczne niejednorodna zmiana guzkowa - obwodowo w segmencie 9 płuca prawego średnicy 20mm, SUV max 3,3 - zmiany naciekowo-zapalne? w przebiegu choroby podstawowej? - do weryfikacji/oceny klinicznej i kontroli po leczeniu p/zapalnym.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przednim wielkości 39x24mm.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węzły chłonne w śródpiersiu przednim i przy łuku aorty średnicy do 13mm.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Drobne zmiany włókniste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Układ kostny: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Rozlanie zwiększony metabolizm FDG w układzie kostnym - w pierwszej kolejności związany ze stosowanym leczeniem.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lędźwiowym.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zmiany zwyrodnieniowo-wytwórcze w stawach krzyżowo-biodrowych.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Nieliczne drobne guzki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lastRenderedPageBreak/>
        <w:t>Wartości referencyjne: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1,8;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Wnioski: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Badaniem PET/CT z 18F-FDG uwidoczniono obecność aktywnej metaboliczne zmiany w płucu prawym - zmiana naciekowo-zapalna? w przebiegu choroby podstawowej? - do weryfikacji/oceny klinicznej i kontroli po leczeniu p/zapalnym.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uwidoczniono dobrą odpowiedź metaboliczną zmian węzłowych na stosowane leczenie.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i węzły chłonne szyjne do kontroli.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>
      <w:pPr>
        <w:rPr>
          <w:sz w:val="16"/>
          <w:szCs w:val="16"/>
        </w:rPr>
      </w:pPr>
      <w:r w:rsidRPr="00303F48">
        <w:rPr>
          <w:sz w:val="16"/>
          <w:szCs w:val="16"/>
        </w:rPr>
        <w:t>30,11,2020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Akwizycję przeprowadzono  po  58min od podania 18F-FDG.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Glikemia:100mg%.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- ocena odpowiedzi na stosowane leczenie po 4 cyklach chemioterapii.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Głowa i szyja: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skierowaną na stronę prawą.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węzły szyjne średnicy do 10mm.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przednim wielkości 35x24mm.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Węzły chłonne w śródpiersiu wielkości do 12mm i przy łuku aorty średnicy do 15mm.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Układ kostny: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Rozlanie zwiększony metabolizm FDG w układzie kostnym - w pierwszej kolejności związany ze stosowanym leczeniem.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lędźwiowym.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zmiany zwyrodnieniowo-wytwórcze w stawach krzyżowo-biodrowych.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Nieliczne drobne guzki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Inne: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Zwiększona aktywność metaboliczna w tkance brunatnej szyi, karku i klatki piersiowej, SUV max do 9,2.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1,6;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2,1.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Wnioski: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Badaniem PET/CT z 18F-FDG uwidoczniono dobrą odpowiedź metaboliczną na stosowane leczenie.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do kontroli.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>
      <w:pPr>
        <w:rPr>
          <w:sz w:val="16"/>
          <w:szCs w:val="16"/>
        </w:rPr>
      </w:pPr>
      <w:r w:rsidRPr="00303F48">
        <w:rPr>
          <w:sz w:val="16"/>
          <w:szCs w:val="16"/>
        </w:rPr>
        <w:t>04,01,2021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Glikemia: 98mg%.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- ocena remisji choroby po zakończeniu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Brzozowska-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Głowa i szyja: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skierowaną na stronę prawą.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węzły szyjne średnicy do 10mm.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przednim wielkości 31x18mm.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Węzły chłonne w śródpiersiu wielkości do 12mm oraz przy łuku aorty śr. do 8mm.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Układ kostny: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Rozlanie zwiększony metabolizm FDG w układzie kostnym - w pierwszej kolejności związany ze stosowanym leczeniem.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lastRenderedPageBreak/>
        <w:t xml:space="preserve">Niewielka esowata skolioza kręgosłupa: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lędźwiowym.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zmiany zwyrodnieniowo-wytwórcze w stawach krzyżowo-biodrowych.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Nieliczne drobne guzki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Inne: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Zwiększona aktywność metaboliczna w tkance brunatnej szyi, karku i klatki piersiowej, SUV max do 5,2.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Wnioski: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Badaniem PET/CT z 18F-FDG nie uwidoczniono cech aktywnej metabolicznie choroby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do kontroli.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303F48" w:rsidRPr="00303F48" w:rsidRDefault="00303F48">
      <w:pPr>
        <w:rPr>
          <w:sz w:val="16"/>
          <w:szCs w:val="16"/>
        </w:rPr>
      </w:pPr>
      <w:r w:rsidRPr="00303F48">
        <w:rPr>
          <w:sz w:val="16"/>
          <w:szCs w:val="16"/>
        </w:rPr>
        <w:t>17,06,2021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Akwizycję przeprowadzono  po  62min od podania 18F-FDG.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Glikemia: 86mg%.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- ocena remisji choroby 3  miesiące po IFRT.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Głowa i szyja: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Symetryczna aktywność metaboliczna w strukturach pierścienia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, SUV max 4,8.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skrzywienie przegrody nosowej, z ostrogą kostną skierowaną na stronę prawą. 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Drobne węzły szyjne średnicy do 10mm.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przednim wielkości 28x20mm.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Węzły chłonne w śródpiersiu wielkości do 8mm.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Odcinkowa aktywność metaboliczna w topografii pętli jelit, SUV max do 3,7  - w pierwszej kolejności czynnościowa.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Układ kostny: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odcinku lędźwiowym. Drobne zmiany zwyrodnieniowo-wytwórcze w stawach krzyżowo-biodrowych.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Nieliczne drobne guzki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 Os sacrum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1,4;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>Wnioski: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Badaniem PET/CT z 18F-FDG nie uwidoczniono cech aktywnej metabolicznie choroby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>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303F48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303F48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303F48">
        <w:rPr>
          <w:rFonts w:ascii="Arial" w:hAnsi="Arial" w:cs="Arial"/>
          <w:color w:val="000000"/>
          <w:sz w:val="16"/>
          <w:szCs w:val="16"/>
        </w:rPr>
        <w:t xml:space="preserve"> w śródpiersiu do kontroli.</w:t>
      </w:r>
    </w:p>
    <w:p w:rsidR="00303F48" w:rsidRPr="00303F48" w:rsidRDefault="00303F48" w:rsidP="00303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 w:val="en-US"/>
        </w:rPr>
      </w:pPr>
    </w:p>
    <w:bookmarkEnd w:id="0"/>
    <w:p w:rsidR="00303F48" w:rsidRPr="00303F48" w:rsidRDefault="00303F48">
      <w:pPr>
        <w:rPr>
          <w:sz w:val="16"/>
          <w:szCs w:val="16"/>
        </w:rPr>
      </w:pPr>
    </w:p>
    <w:sectPr w:rsidR="00303F48" w:rsidRPr="00303F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F48"/>
    <w:rsid w:val="00303F48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B0E3"/>
  <w15:chartTrackingRefBased/>
  <w15:docId w15:val="{733D4167-AFE3-4531-940F-100A4961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1258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2026-06-10T09:45:00Z</dcterms:created>
  <dcterms:modified xsi:type="dcterms:W3CDTF">2026-06-10T09:51:00Z</dcterms:modified>
</cp:coreProperties>
</file>