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УТВЕРЖДАЮ</w:t>
            </w:r>
            <w:r>
              <w:br/>
            </w:r>
            <w:r>
              <w:t xml:space="preserve">Зав. кафедрой прикладной информатики и теории вероятностей</w:t>
            </w:r>
            <w:r>
              <w:br/>
            </w:r>
            <w:r>
              <w:t xml:space="preserve">_________________ проф. К. Е. Самуйлов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СОГЛАСОВАНО</w:t>
            </w:r>
            <w:r>
              <w:br/>
            </w:r>
            <w:r>
              <w:t xml:space="preserve">Зам. декана по учебной работе ф-та ФМиЕН</w:t>
            </w:r>
            <w:r>
              <w:br/>
            </w:r>
            <w:r>
              <w:t xml:space="preserve">_________________ В. И. Корольков</w:t>
            </w:r>
          </w:p>
        </w:tc>
      </w:tr>
    </w:tbl>
    <w:bookmarkStart w:id="26" w:name="Xe0b634e36657f6ad9d4e318af3f8c194c3834c5"/>
    <w:p>
      <w:pPr>
        <w:pStyle w:val="1"/>
      </w:pPr>
      <w:r>
        <w:t xml:space="preserve">Рейтинговая система оценки знаний студентов</w:t>
      </w:r>
    </w:p>
    <w:p>
      <w:pPr>
        <w:pStyle w:val="FirstParagraph"/>
      </w:pPr>
      <w:r>
        <w:t xml:space="preserve">по дисциплине «Операционные системы» (направление «Математика и компьютерные науки», курс 1, модуль 4)</w:t>
      </w:r>
    </w:p>
    <w:bookmarkStart w:id="23" w:name="сводная-оценочная-таблица-дисциплины"/>
    <w:p>
      <w:pPr>
        <w:pStyle w:val="2"/>
      </w:pPr>
      <w:r>
        <w:t xml:space="preserve">Сводная оценочная таблица дисциплины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"/>
        <w:gridCol w:w="39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Раздел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Тема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Баллы темы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Баллы раздела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Р1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Р1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Р1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Р1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Р2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Р2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Р2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Р2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Итого: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bookmarkStart w:id="20" w:name="разделы"/>
    <w:p>
      <w:pPr>
        <w:pStyle w:val="3"/>
      </w:pPr>
      <w:r>
        <w:t xml:space="preserve">Разделы:</w:t>
      </w:r>
    </w:p>
    <w:p>
      <w:pPr>
        <w:numPr>
          <w:ilvl w:val="0"/>
          <w:numId w:val="1001"/>
        </w:numPr>
        <w:pStyle w:val="Compact"/>
      </w:pPr>
      <w:r>
        <w:t xml:space="preserve">Р1: Общие принципы ОС UNIX</w:t>
      </w:r>
    </w:p>
    <w:p>
      <w:pPr>
        <w:numPr>
          <w:ilvl w:val="0"/>
          <w:numId w:val="1001"/>
        </w:numPr>
        <w:pStyle w:val="Compact"/>
      </w:pPr>
      <w:r>
        <w:t xml:space="preserve">Р2: Начала администрирования ОС UNIX</w:t>
      </w:r>
    </w:p>
    <w:bookmarkEnd w:id="20"/>
    <w:bookmarkStart w:id="21" w:name="темы"/>
    <w:p>
      <w:pPr>
        <w:pStyle w:val="3"/>
      </w:pPr>
      <w:r>
        <w:t xml:space="preserve">Темы</w:t>
      </w:r>
    </w:p>
    <w:p>
      <w:pPr>
        <w:numPr>
          <w:ilvl w:val="0"/>
          <w:numId w:val="1002"/>
        </w:numPr>
        <w:pStyle w:val="Compact"/>
      </w:pPr>
      <w:r>
        <w:t xml:space="preserve">Введение в операционную систему UNIX</w:t>
      </w:r>
    </w:p>
    <w:p>
      <w:pPr>
        <w:numPr>
          <w:ilvl w:val="0"/>
          <w:numId w:val="1002"/>
        </w:numPr>
        <w:pStyle w:val="Compact"/>
      </w:pPr>
      <w:r>
        <w:t xml:space="preserve">Архитектура UNIX. Файлы и устройства</w:t>
      </w:r>
    </w:p>
    <w:p>
      <w:pPr>
        <w:numPr>
          <w:ilvl w:val="0"/>
          <w:numId w:val="1002"/>
        </w:numPr>
        <w:pStyle w:val="Compact"/>
      </w:pPr>
      <w:r>
        <w:t xml:space="preserve">Архитектура UNIX. Процессы</w:t>
      </w:r>
    </w:p>
    <w:p>
      <w:pPr>
        <w:numPr>
          <w:ilvl w:val="0"/>
          <w:numId w:val="1002"/>
        </w:numPr>
        <w:pStyle w:val="Compact"/>
      </w:pPr>
      <w:r>
        <w:t xml:space="preserve">Терминал и командная строка</w:t>
      </w:r>
    </w:p>
    <w:p>
      <w:pPr>
        <w:numPr>
          <w:ilvl w:val="0"/>
          <w:numId w:val="1002"/>
        </w:numPr>
        <w:pStyle w:val="Compact"/>
      </w:pPr>
      <w:r>
        <w:t xml:space="preserve">Введение в безопасность UNIX</w:t>
      </w:r>
    </w:p>
    <w:p>
      <w:pPr>
        <w:numPr>
          <w:ilvl w:val="0"/>
          <w:numId w:val="1002"/>
        </w:numPr>
        <w:pStyle w:val="Compact"/>
      </w:pPr>
      <w:r>
        <w:t xml:space="preserve">Сеть в UNIX</w:t>
      </w:r>
    </w:p>
    <w:p>
      <w:pPr>
        <w:numPr>
          <w:ilvl w:val="0"/>
          <w:numId w:val="1002"/>
        </w:numPr>
        <w:pStyle w:val="Compact"/>
      </w:pPr>
      <w:r>
        <w:t xml:space="preserve">Управление службами</w:t>
      </w:r>
    </w:p>
    <w:p>
      <w:pPr>
        <w:numPr>
          <w:ilvl w:val="0"/>
          <w:numId w:val="1002"/>
        </w:numPr>
        <w:pStyle w:val="Compact"/>
      </w:pPr>
      <w:r>
        <w:t xml:space="preserve">Управление программным обеспечением</w:t>
      </w:r>
    </w:p>
    <w:bookmarkEnd w:id="21"/>
    <w:bookmarkStart w:id="22" w:name="активности"/>
    <w:p>
      <w:pPr>
        <w:pStyle w:val="3"/>
      </w:pPr>
      <w:r>
        <w:t xml:space="preserve">Активности</w:t>
      </w:r>
    </w:p>
    <w:p>
      <w:pPr>
        <w:numPr>
          <w:ilvl w:val="0"/>
          <w:numId w:val="1003"/>
        </w:numPr>
        <w:pStyle w:val="Compact"/>
      </w:pPr>
      <w:r>
        <w:t xml:space="preserve">А1.1: Лабораторные работы. Выполнение.</w:t>
      </w:r>
    </w:p>
    <w:p>
      <w:pPr>
        <w:numPr>
          <w:ilvl w:val="0"/>
          <w:numId w:val="1003"/>
        </w:numPr>
        <w:pStyle w:val="Compact"/>
      </w:pPr>
      <w:r>
        <w:t xml:space="preserve">А1.2: Лабораторные работы. Самопроверка и взаимопроверка.</w:t>
      </w:r>
    </w:p>
    <w:p>
      <w:pPr>
        <w:numPr>
          <w:ilvl w:val="0"/>
          <w:numId w:val="1003"/>
        </w:numPr>
        <w:pStyle w:val="Compact"/>
      </w:pPr>
      <w:r>
        <w:t xml:space="preserve">А2: Доклады по темам.</w:t>
      </w:r>
    </w:p>
    <w:p>
      <w:pPr>
        <w:numPr>
          <w:ilvl w:val="0"/>
          <w:numId w:val="1003"/>
        </w:numPr>
        <w:pStyle w:val="Compact"/>
      </w:pPr>
      <w:r>
        <w:t xml:space="preserve">А3: Тесты к лекциям.</w:t>
      </w:r>
    </w:p>
    <w:p>
      <w:pPr>
        <w:numPr>
          <w:ilvl w:val="0"/>
          <w:numId w:val="1003"/>
        </w:numPr>
        <w:pStyle w:val="Compact"/>
      </w:pPr>
      <w:r>
        <w:t xml:space="preserve">А4.1: Индивидуальный проект. Выполнение.</w:t>
      </w:r>
    </w:p>
    <w:p>
      <w:pPr>
        <w:numPr>
          <w:ilvl w:val="0"/>
          <w:numId w:val="1003"/>
        </w:numPr>
        <w:pStyle w:val="Compact"/>
      </w:pPr>
      <w:r>
        <w:t xml:space="preserve">А4.2: Индивидуальный проект. Самопроверка и взаимопроверка.</w:t>
      </w:r>
    </w:p>
    <w:p>
      <w:pPr>
        <w:numPr>
          <w:ilvl w:val="0"/>
          <w:numId w:val="1003"/>
        </w:numPr>
        <w:pStyle w:val="Compact"/>
      </w:pPr>
      <w:r>
        <w:t xml:space="preserve">A5. Итоговый контроль знаний (тест).</w:t>
      </w:r>
    </w:p>
    <w:bookmarkEnd w:id="22"/>
    <w:bookmarkEnd w:id="23"/>
    <w:bookmarkStart w:id="24" w:name="таблица-соответствия-баллов-и-оценок"/>
    <w:p>
      <w:pPr>
        <w:pStyle w:val="2"/>
      </w:pPr>
      <w:r>
        <w:t xml:space="preserve">Таблица соответствия баллов и оценок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Баллы БРС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Традиционные оценки в РФ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Баллы для перевода оценок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Оценки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Оценки 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86–100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95–100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86–94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69–85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69–85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51–68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61–68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51–60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0–50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31–50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FX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0–30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</w:tbl>
    <w:bookmarkEnd w:id="24"/>
    <w:bookmarkStart w:id="25" w:name="правила-применения-брс"/>
    <w:p>
      <w:pPr>
        <w:pStyle w:val="2"/>
      </w:pPr>
      <w:r>
        <w:t xml:space="preserve">Правила применения БРС</w:t>
      </w:r>
    </w:p>
    <w:p>
      <w:pPr>
        <w:numPr>
          <w:ilvl w:val="0"/>
          <w:numId w:val="1004"/>
        </w:numPr>
        <w:pStyle w:val="Compact"/>
      </w:pPr>
      <w:r>
        <w:t xml:space="preserve">Раздел (тема) учебной дисциплины считаются освоенными, если</w:t>
      </w:r>
      <w:r>
        <w:t xml:space="preserve"> </w:t>
      </w:r>
      <w:r>
        <w:t xml:space="preserve">студент набрал более 50% от возможного числа баллов по этому</w:t>
      </w:r>
      <w:r>
        <w:t xml:space="preserve"> </w:t>
      </w:r>
      <w:r>
        <w:t xml:space="preserve">разделу (теме).</w:t>
      </w:r>
    </w:p>
    <w:p>
      <w:pPr>
        <w:numPr>
          <w:ilvl w:val="0"/>
          <w:numId w:val="1004"/>
        </w:numPr>
        <w:pStyle w:val="Compact"/>
      </w:pPr>
      <w:r>
        <w:t xml:space="preserve">Студент не может быть аттестован по дисциплине, если он не</w:t>
      </w:r>
      <w:r>
        <w:t xml:space="preserve"> </w:t>
      </w:r>
      <w:r>
        <w:t xml:space="preserve">освоил все темы и разделы дисциплины, указанные в сводной оценочной</w:t>
      </w:r>
      <w:r>
        <w:t xml:space="preserve"> </w:t>
      </w:r>
      <w:r>
        <w:t xml:space="preserve">таблице дисциплины.</w:t>
      </w:r>
    </w:p>
    <w:p>
      <w:pPr>
        <w:numPr>
          <w:ilvl w:val="0"/>
          <w:numId w:val="1004"/>
        </w:numPr>
        <w:pStyle w:val="Compact"/>
      </w:pPr>
      <w:r>
        <w:t xml:space="preserve">По решению преподавателя и с согласия студентов, не освоивших</w:t>
      </w:r>
      <w:r>
        <w:t xml:space="preserve"> </w:t>
      </w:r>
      <w:r>
        <w:t xml:space="preserve">отдельные разделы (темы) изучаемой дисциплины, в течение учебного</w:t>
      </w:r>
      <w:r>
        <w:t xml:space="preserve"> </w:t>
      </w:r>
      <w:r>
        <w:t xml:space="preserve">семестра могут быть повторно проведены мероприятия текущего контроля</w:t>
      </w:r>
      <w:r>
        <w:t xml:space="preserve"> </w:t>
      </w:r>
      <w:r>
        <w:t xml:space="preserve">успеваемости или выданы дополнительные учебные задания по этим темам</w:t>
      </w:r>
      <w:r>
        <w:t xml:space="preserve"> </w:t>
      </w:r>
      <w:r>
        <w:t xml:space="preserve">или разделам. При этом студентам за данную работу засчитывается</w:t>
      </w:r>
      <w:r>
        <w:t xml:space="preserve"> </w:t>
      </w:r>
      <w:r>
        <w:t xml:space="preserve">минимально возможный положительный балл (51% от максимального</w:t>
      </w:r>
      <w:r>
        <w:t xml:space="preserve"> </w:t>
      </w:r>
      <w:r>
        <w:t xml:space="preserve">балла).</w:t>
      </w:r>
    </w:p>
    <w:p>
      <w:pPr>
        <w:numPr>
          <w:ilvl w:val="0"/>
          <w:numId w:val="1004"/>
        </w:numPr>
        <w:pStyle w:val="Compact"/>
      </w:pPr>
      <w:r>
        <w:t xml:space="preserve">При выполнении студентом дополнительных учебных заданий или</w:t>
      </w:r>
      <w:r>
        <w:t xml:space="preserve"> </w:t>
      </w:r>
      <w:r>
        <w:t xml:space="preserve">повторного прохождения мероприятий текущего контроля полученные им</w:t>
      </w:r>
      <w:r>
        <w:t xml:space="preserve"> </w:t>
      </w:r>
      <w:r>
        <w:t xml:space="preserve">баллы засчитываются за конкретные темы. Итоговая сумма баллов не</w:t>
      </w:r>
      <w:r>
        <w:t xml:space="preserve"> </w:t>
      </w:r>
      <w:r>
        <w:t xml:space="preserve">может превышать максимального количества баллов, установленного по</w:t>
      </w:r>
      <w:r>
        <w:t xml:space="preserve"> </w:t>
      </w:r>
      <w:r>
        <w:t xml:space="preserve">данным темам.</w:t>
      </w:r>
    </w:p>
    <w:p>
      <w:pPr>
        <w:numPr>
          <w:ilvl w:val="0"/>
          <w:numId w:val="1004"/>
        </w:numPr>
        <w:pStyle w:val="Compact"/>
      </w:pPr>
      <w:r>
        <w:t xml:space="preserve">График проведения мероприятий текущего контроля успеваемости</w:t>
      </w:r>
      <w:r>
        <w:t xml:space="preserve"> </w:t>
      </w:r>
      <w:r>
        <w:t xml:space="preserve">формируется в соответствии с календарным планом курса. Студенты</w:t>
      </w:r>
      <w:r>
        <w:t xml:space="preserve"> </w:t>
      </w:r>
      <w:r>
        <w:t xml:space="preserve">обязаны сдавать все задания в сроки, установленные преподавателем.</w:t>
      </w:r>
    </w:p>
    <w:p>
      <w:pPr>
        <w:numPr>
          <w:ilvl w:val="0"/>
          <w:numId w:val="1004"/>
        </w:numPr>
        <w:pStyle w:val="Compact"/>
      </w:pPr>
      <w:r>
        <w:t xml:space="preserve">Время, которое отводится студенту на выполнение мероприятий</w:t>
      </w:r>
      <w:r>
        <w:t xml:space="preserve"> </w:t>
      </w:r>
      <w:r>
        <w:t xml:space="preserve">текущего контроля успеваемости, устанавливается преподавателем. По</w:t>
      </w:r>
      <w:r>
        <w:t xml:space="preserve"> </w:t>
      </w:r>
      <w:r>
        <w:t xml:space="preserve">завершении отведённого времени студент должен сдать работу</w:t>
      </w:r>
      <w:r>
        <w:t xml:space="preserve"> </w:t>
      </w:r>
      <w:r>
        <w:t xml:space="preserve">преподавателю, вне зависимости от того, завершена она или нет.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источников (в том числе конспектов лекций и</w:t>
      </w:r>
      <w:r>
        <w:t xml:space="preserve"> </w:t>
      </w:r>
      <w:r>
        <w:t xml:space="preserve">лабораторных работ) во время выполнения контрольных мероприятий</w:t>
      </w:r>
      <w:r>
        <w:t xml:space="preserve"> </w:t>
      </w:r>
      <w:r>
        <w:t xml:space="preserve">возможно только с разрешения преподавателя.</w:t>
      </w:r>
    </w:p>
    <w:p>
      <w:pPr>
        <w:numPr>
          <w:ilvl w:val="0"/>
          <w:numId w:val="1004"/>
        </w:numPr>
        <w:pStyle w:val="Compact"/>
      </w:pPr>
      <w:r>
        <w:t xml:space="preserve">Отсрочка в прохождении мероприятий текущего контроля</w:t>
      </w:r>
      <w:r>
        <w:t xml:space="preserve"> </w:t>
      </w:r>
      <w:r>
        <w:t xml:space="preserve">успеваемости считается уважительной только в случае болезни</w:t>
      </w:r>
      <w:r>
        <w:t xml:space="preserve"> </w:t>
      </w:r>
      <w:r>
        <w:t xml:space="preserve">студента, что подтверждается наличием у него медицинской справки,</w:t>
      </w:r>
      <w:r>
        <w:t xml:space="preserve"> </w:t>
      </w:r>
      <w:r>
        <w:t xml:space="preserve">заверенной круглой печатью КДЦ РУДН, предоставляемой</w:t>
      </w:r>
      <w:r>
        <w:t xml:space="preserve"> </w:t>
      </w:r>
      <w:r>
        <w:t xml:space="preserve">преподавателю не позднее двух недель после выздоровления. В этом</w:t>
      </w:r>
      <w:r>
        <w:t xml:space="preserve"> </w:t>
      </w:r>
      <w:r>
        <w:t xml:space="preserve">случае выполнение контрольных мероприятий осуществляется после</w:t>
      </w:r>
      <w:r>
        <w:t xml:space="preserve"> </w:t>
      </w:r>
      <w:r>
        <w:t xml:space="preserve">выздоровления студента в срок, назначенный преподавателем. В</w:t>
      </w:r>
      <w:r>
        <w:t xml:space="preserve"> </w:t>
      </w:r>
      <w:r>
        <w:t xml:space="preserve">противном случае отсутствие студента на контрольном мероприятии</w:t>
      </w:r>
      <w:r>
        <w:t xml:space="preserve"> </w:t>
      </w:r>
      <w:r>
        <w:t xml:space="preserve">признается неуважительным.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numPr>
          <w:ilvl w:val="0"/>
          <w:numId w:val="1004"/>
        </w:numPr>
        <w:pStyle w:val="Compact"/>
      </w:pPr>
      <w:r>
        <w:t xml:space="preserve">Если в итоге за семестр студент получил</w:t>
      </w:r>
      <w:r>
        <w:t xml:space="preserve"> </w:t>
      </w:r>
      <w:r>
        <w:t xml:space="preserve">0–50 баллов, то студенту разрешается добор необходимого</w:t>
      </w:r>
      <w:r>
        <w:t xml:space="preserve"> </w:t>
      </w:r>
      <w:r>
        <w:t xml:space="preserve">(до 51) количества баллов путём повторного одноразового выполнения</w:t>
      </w:r>
      <w:r>
        <w:t xml:space="preserve"> </w:t>
      </w:r>
      <w:r>
        <w:t xml:space="preserve">предусмотренных контрольных мероприятий, при этом по усмотрению</w:t>
      </w:r>
      <w:r>
        <w:t xml:space="preserve"> </w:t>
      </w:r>
      <w:r>
        <w:t xml:space="preserve">преподавателя аннулируются соответствующие предыдущие</w:t>
      </w:r>
      <w:r>
        <w:t xml:space="preserve"> </w:t>
      </w:r>
      <w:r>
        <w:t xml:space="preserve">результаты. Ликвидация задолженностей проводится в сроки, согласованные с деканатом.</w:t>
      </w:r>
    </w:p>
    <w:p>
      <w:pPr>
        <w:numPr>
          <w:ilvl w:val="0"/>
          <w:numId w:val="1005"/>
        </w:numPr>
        <w:pStyle w:val="Compact"/>
      </w:pPr>
      <w:r>
        <w:t xml:space="preserve">Баллы за доклады по темам фиксируются только после доклада во время контактных часов.</w:t>
      </w:r>
    </w:p>
    <w:p>
      <w:pPr>
        <w:pStyle w:val="FirstParagraph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544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Разработчик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д.ф.-м.н., профессор кафедры прикладной информатики</w:t>
            </w:r>
            <w:r>
              <w:t xml:space="preserve"> </w:t>
            </w:r>
            <w:r>
              <w:t xml:space="preserve">и теории вероятностей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Д. С. Кулябов</w:t>
            </w:r>
          </w:p>
        </w:tc>
      </w:tr>
    </w:tbl>
    <w:bookmarkEnd w:id="25"/>
    <w:bookmarkEnd w:id="26"/>
    <w:sectPr>
      <w:footnotePr>
        <w:numFmt w:val="decimal"/>
      </w:footnotePr>
      <w:type w:val="nextPage"/>
      <w:pgSz w:h="16838" w:w="11906"/>
      <w:pgMar w:bottom="1134" w:footer="0" w:gutter="0" w:header="0" w:left="1701" w:right="567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ru-RU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false"/>
      <w:bidi w:val="0"/>
      <w:spacing w:after="0" w:before="0"/>
      <w:contextualSpacing/>
      <w:jc w:val="both"/>
    </w:pPr>
    <w:rPr>
      <w:rFonts w:ascii="Times New Roman" w:cs="" w:cstheme="minorBidi" w:eastAsia="Cambria" w:eastAsiaTheme="minorHAnsi" w:hAnsi="Times New Roman"/>
      <w:color w:val="auto"/>
      <w:kern w:val="0"/>
      <w:sz w:val="24"/>
      <w:szCs w:val="24"/>
      <w:lang w:bidi="ar-SA" w:eastAsia="en-US" w:val="ru-RU"/>
    </w:rPr>
  </w:style>
  <w:style w:styleId="1" w:type="paragraph">
    <w:name w:val="Heading 1"/>
    <w:basedOn w:val="Normal"/>
    <w:next w:val="Style11"/>
    <w:uiPriority w:val="9"/>
    <w:qFormat/>
    <w:pPr>
      <w:keepNext w:val="true"/>
      <w:keepLines/>
      <w:spacing w:after="0" w:before="480"/>
      <w:contextualSpacing/>
      <w:jc w:val="center"/>
      <w:outlineLvl w:val="0"/>
    </w:pPr>
    <w:rPr>
      <w:rFonts w:ascii="Times New Roman" w:cs="" w:cstheme="majorBidi" w:eastAsia="" w:eastAsiaTheme="majorEastAsia" w:hAnsi="Times New Roman"/>
      <w:b/>
      <w:bCs/>
      <w:i w:val="false"/>
      <w:color w:val="auto"/>
      <w:sz w:val="32"/>
      <w:szCs w:val="32"/>
    </w:rPr>
  </w:style>
  <w:style w:styleId="2" w:type="paragraph">
    <w:name w:val="Heading 2"/>
    <w:basedOn w:val="Normal"/>
    <w:next w:val="Style11"/>
    <w:uiPriority w:val="9"/>
    <w:unhideWhenUsed/>
    <w:qFormat/>
    <w:pPr>
      <w:keepNext w:val="true"/>
      <w:keepLines/>
      <w:spacing w:after="0" w:before="200"/>
      <w:contextualSpacing/>
      <w:outlineLvl w:val="1"/>
    </w:pPr>
    <w:rPr>
      <w:rFonts w:ascii="Times New Roman" w:cs="" w:cstheme="majorBidi" w:eastAsia="" w:eastAsiaTheme="majorEastAsia" w:hAnsi="Times New Roman"/>
      <w:b/>
      <w:bCs/>
      <w:color w:val="auto"/>
      <w:sz w:val="28"/>
      <w:szCs w:val="28"/>
    </w:rPr>
  </w:style>
  <w:style w:styleId="3" w:type="paragraph">
    <w:name w:val="Heading 3"/>
    <w:basedOn w:val="Normal"/>
    <w:next w:val="Style11"/>
    <w:uiPriority w:val="9"/>
    <w:unhideWhenUsed/>
    <w:qFormat/>
    <w:pPr>
      <w:keepNext w:val="true"/>
      <w:keepLines/>
      <w:spacing w:after="0" w:before="200"/>
      <w:contextualSpacing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4" w:type="paragraph">
    <w:name w:val="Heading 4"/>
    <w:basedOn w:val="Normal"/>
    <w:next w:val="Style11"/>
    <w:uiPriority w:val="9"/>
    <w:unhideWhenUsed/>
    <w:qFormat/>
    <w:pPr>
      <w:keepNext w:val="true"/>
      <w:keepLines/>
      <w:spacing w:after="0" w:before="200"/>
      <w:contextualSpacing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5" w:type="paragraph">
    <w:name w:val="Heading 5"/>
    <w:basedOn w:val="Normal"/>
    <w:next w:val="Style11"/>
    <w:uiPriority w:val="9"/>
    <w:unhideWhenUsed/>
    <w:qFormat/>
    <w:pPr>
      <w:keepNext w:val="true"/>
      <w:keepLines/>
      <w:spacing w:after="0" w:before="200"/>
      <w:contextualSpacing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6" w:type="paragraph">
    <w:name w:val="Heading 6"/>
    <w:basedOn w:val="Normal"/>
    <w:next w:val="Style11"/>
    <w:uiPriority w:val="9"/>
    <w:unhideWhenUsed/>
    <w:qFormat/>
    <w:pPr>
      <w:keepNext w:val="true"/>
      <w:keepLines/>
      <w:spacing w:after="0" w:before="200"/>
      <w:contextualSpacing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7" w:type="paragraph">
    <w:name w:val="Heading 7"/>
    <w:basedOn w:val="Normal"/>
    <w:next w:val="Style11"/>
    <w:uiPriority w:val="9"/>
    <w:unhideWhenUsed/>
    <w:qFormat/>
    <w:pPr>
      <w:keepNext w:val="true"/>
      <w:keepLines/>
      <w:spacing w:after="0" w:before="200"/>
      <w:contextualSpacing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8" w:type="paragraph">
    <w:name w:val="Heading 8"/>
    <w:basedOn w:val="Normal"/>
    <w:next w:val="Style11"/>
    <w:uiPriority w:val="9"/>
    <w:unhideWhenUsed/>
    <w:qFormat/>
    <w:pPr>
      <w:keepNext w:val="true"/>
      <w:keepLines/>
      <w:spacing w:after="0" w:before="200"/>
      <w:contextualSpacing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9" w:type="paragraph">
    <w:name w:val="Heading 9"/>
    <w:basedOn w:val="Normal"/>
    <w:next w:val="Style11"/>
    <w:uiPriority w:val="9"/>
    <w:unhideWhenUsed/>
    <w:qFormat/>
    <w:pPr>
      <w:keepNext w:val="true"/>
      <w:keepLines/>
      <w:spacing w:after="0" w:before="200"/>
      <w:contextualSpacing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styleId="Style5" w:type="character">
    <w:name w:val="Привязка сноски"/>
    <w:rPr>
      <w:vertAlign w:val="superscript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Style6" w:type="character">
    <w:name w:val="Интернет-ссылка"/>
    <w:basedOn w:val="BodyTextChar"/>
    <w:rPr>
      <w:color w:themeColor="accent1" w:val="4F81BD"/>
    </w:rPr>
  </w:style>
  <w:style w:styleId="Style7" w:type="character">
    <w:name w:val="Символ сноски"/>
    <w:qFormat/>
    <w:rPr/>
  </w:style>
  <w:style w:styleId="Style8" w:type="character">
    <w:name w:val="Привязка концевой сноски"/>
    <w:rPr>
      <w:vertAlign w:val="superscript"/>
    </w:rPr>
  </w:style>
  <w:style w:styleId="Style9" w:type="character">
    <w:name w:val="Символ концевой сноски"/>
    <w:qFormat/>
    <w:rPr/>
  </w:style>
  <w:style w:styleId="Style10" w:type="paragraph">
    <w:name w:val="Заголовок"/>
    <w:basedOn w:val="Normal"/>
    <w:next w:val="Style11"/>
    <w:qFormat/>
    <w:pPr>
      <w:keepNext w:val="true"/>
      <w:spacing w:after="120" w:before="240"/>
      <w:contextualSpacing/>
    </w:pPr>
    <w:rPr>
      <w:rFonts w:ascii="Times New Roman" w:cs="FreeSans" w:eastAsia="Tahoma" w:hAnsi="Times New Roman"/>
      <w:sz w:val="28"/>
      <w:szCs w:val="28"/>
    </w:rPr>
  </w:style>
  <w:style w:styleId="Style11" w:type="paragraph">
    <w:name w:val="Body Text"/>
    <w:basedOn w:val="Normal"/>
    <w:link w:val="BodyTextChar"/>
    <w:qFormat/>
    <w:pPr>
      <w:suppressAutoHyphens w:val="false"/>
      <w:spacing w:after="0" w:before="0"/>
      <w:ind w:firstLine="709" w:left="0" w:right="0"/>
      <w:contextualSpacing/>
      <w:jc w:val="both"/>
    </w:pPr>
    <w:rPr/>
  </w:style>
  <w:style w:styleId="Style12" w:type="paragraph">
    <w:name w:val="List"/>
    <w:basedOn w:val="Style11"/>
    <w:pPr/>
    <w:rPr>
      <w:rFonts w:cs="FreeSans"/>
    </w:rPr>
  </w:style>
  <w:style w:styleId="Style13" w:type="paragraph">
    <w:name w:val="Caption"/>
    <w:basedOn w:val="Normal"/>
    <w:link w:val="BodyTextChar"/>
    <w:qFormat/>
    <w:pPr>
      <w:spacing w:after="120" w:before="0"/>
      <w:contextualSpacing/>
    </w:pPr>
    <w:rPr>
      <w:i/>
    </w:rPr>
  </w:style>
  <w:style w:styleId="Style14" w:type="paragraph">
    <w:name w:val="Указатель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Style11"/>
    <w:next w:val="Style11"/>
    <w:qFormat/>
    <w:pPr>
      <w:spacing w:after="0" w:before="0"/>
      <w:ind w:firstLine="709" w:left="0" w:right="0"/>
      <w:contextualSpacing/>
    </w:pPr>
    <w:rPr/>
  </w:style>
  <w:style w:customStyle="1" w:styleId="Compact" w:type="paragraph">
    <w:name w:val="Compact"/>
    <w:basedOn w:val="Style11"/>
    <w:qFormat/>
    <w:pPr>
      <w:suppressAutoHyphens w:val="false"/>
      <w:spacing w:after="0" w:before="0"/>
      <w:ind w:hanging="0" w:left="0" w:right="0"/>
      <w:contextualSpacing/>
      <w:jc w:val="left"/>
    </w:pPr>
    <w:rPr/>
  </w:style>
  <w:style w:styleId="Style15" w:type="paragraph">
    <w:name w:val="Title"/>
    <w:basedOn w:val="Normal"/>
    <w:next w:val="Style11"/>
    <w:qFormat/>
    <w:pPr>
      <w:keepNext w:val="true"/>
      <w:keepLines/>
      <w:spacing w:after="240" w:before="480"/>
      <w:contextualSpacing/>
      <w:jc w:val="center"/>
    </w:pPr>
    <w:rPr>
      <w:rFonts w:ascii="Times New Roman" w:cs="" w:cstheme="majorBidi" w:eastAsia="" w:eastAsiaTheme="majorEastAsia" w:hAnsi="Times New Roman"/>
      <w:b/>
      <w:bCs/>
      <w:i w:val="false"/>
      <w:color w:themeShade="b5" w:val="auto"/>
      <w:sz w:val="36"/>
      <w:szCs w:val="36"/>
    </w:rPr>
  </w:style>
  <w:style w:styleId="Style16" w:type="paragraph">
    <w:name w:val="Subtitle"/>
    <w:basedOn w:val="Style15"/>
    <w:next w:val="Style11"/>
    <w:qFormat/>
    <w:pPr>
      <w:keepNext w:val="true"/>
      <w:keepLines/>
      <w:spacing w:after="240" w:before="240"/>
      <w:contextualSpacing/>
      <w:jc w:val="center"/>
    </w:pPr>
    <w:rPr>
      <w:sz w:val="30"/>
      <w:szCs w:val="30"/>
    </w:rPr>
  </w:style>
  <w:style w:customStyle="1" w:styleId="Author" w:type="paragraph">
    <w:name w:val="Author"/>
    <w:next w:val="Style11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ru-RU"/>
    </w:rPr>
  </w:style>
  <w:style w:styleId="Date" w:type="paragraph">
    <w:name w:val="Date"/>
    <w:next w:val="Style11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ru-RU"/>
    </w:rPr>
  </w:style>
  <w:style w:customStyle="1" w:styleId="Abstract" w:type="paragraph">
    <w:name w:val="Abstract"/>
    <w:basedOn w:val="Normal"/>
    <w:next w:val="Style11"/>
    <w:qFormat/>
    <w:pPr>
      <w:keepNext w:val="true"/>
      <w:keepLines/>
      <w:spacing w:after="300" w:before="300"/>
      <w:contextualSpacing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Style11"/>
    <w:next w:val="Style11"/>
    <w:uiPriority w:val="9"/>
    <w:unhideWhenUsed/>
    <w:qFormat/>
    <w:pPr>
      <w:spacing w:after="100" w:before="100"/>
      <w:ind w:hanging="0" w:left="480" w:right="480"/>
      <w:contextualSpacing/>
    </w:pPr>
    <w:rPr/>
  </w:style>
  <w:style w:styleId="Style17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  <w:contextualSpacing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Style13"/>
    <w:qFormat/>
    <w:pPr>
      <w:keepNext w:val="true"/>
    </w:pPr>
    <w:rPr/>
  </w:style>
  <w:style w:customStyle="1" w:styleId="ImageCaption" w:type="paragraph">
    <w:name w:val="Image Caption"/>
    <w:basedOn w:val="Style13"/>
    <w:qFormat/>
    <w:pPr/>
    <w:rPr/>
  </w:style>
  <w:style w:customStyle="1" w:styleId="Style18" w:type="paragraph">
    <w:name w:val="Фигура"/>
    <w:basedOn w:val="Normal"/>
    <w:qFormat/>
    <w:pPr/>
    <w:rPr/>
  </w:style>
  <w:style w:customStyle="1" w:styleId="CaptionedFigure" w:type="paragraph">
    <w:name w:val="Captioned Figure"/>
    <w:basedOn w:val="Style18"/>
    <w:qFormat/>
    <w:pPr>
      <w:keepNext w:val="true"/>
    </w:pPr>
    <w:rPr/>
  </w:style>
  <w:style w:styleId="TOCHeading" w:type="paragraph">
    <w:name w:val="TOC Heading"/>
    <w:basedOn w:val="1"/>
    <w:next w:val="Style11"/>
    <w:uiPriority w:val="39"/>
    <w:unhideWhenUsed/>
    <w:qFormat/>
    <w:pPr>
      <w:spacing w:after="0" w:before="240" w:line="259" w:lineRule="auto"/>
      <w:contextualSpacing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Center" w:type="paragraph">
    <w:name w:val="center"/>
    <w:basedOn w:val="Normal"/>
    <w:qFormat/>
    <w:pPr>
      <w:suppressAutoHyphens w:val="false"/>
      <w:spacing w:after="0" w:before="0"/>
      <w:contextualSpacing/>
      <w:jc w:val="center"/>
    </w:pPr>
    <w:rPr/>
  </w:style>
  <w:style w:styleId="Centersmall" w:type="paragraph">
    <w:name w:val="center-small"/>
    <w:basedOn w:val="Center"/>
    <w:qFormat/>
    <w:pPr/>
    <w:rPr>
      <w:sz w:val="22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LibreOffice/7.0.4.2$Linux_X86_64 LibreOffice_project/00$Build-2</Application>
  <AppVersion>15.0000</AppVersion>
  <Pages>1</Pages>
  <Words>58</Words>
  <Characters>306</Characters>
  <CharactersWithSpaces>398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2022-04-17T17:52:07Z</dcterms:created>
  <dcterms:modified xsi:type="dcterms:W3CDTF">2022-04-17T17:52:07Z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ustache">
    <vt:lpwstr/>
  </property>
</Properties>
</file>