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60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58.png" ContentType="image/png"/>
  <Override PartName="/word/media/rId6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чи-лабораторной-работы"/>
    <w:p>
      <w:pPr>
        <w:pStyle w:val="Heading1"/>
      </w:pPr>
      <w:r>
        <w:t xml:space="preserve">Задачи лабораторной работы</w:t>
      </w:r>
    </w:p>
    <w:p>
      <w:pPr>
        <w:pStyle w:val="FirstParagraph"/>
      </w:pPr>
      <w:r>
        <w:t xml:space="preserve">Задачи: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операционной системой Linux.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Изучить основные команды редактора Emacs.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bookmarkEnd w:id="21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Откроем редактор Emacs с помощью команды «emacs&amp;» (рис. 1).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Figure 1: Открываем редактор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Открываем редактор</w:t>
      </w:r>
    </w:p>
    <w:p>
      <w:pPr>
        <w:numPr>
          <w:ilvl w:val="0"/>
          <w:numId w:val="1003"/>
        </w:numPr>
        <w:pStyle w:val="Compact"/>
      </w:pPr>
      <w:r>
        <w:t xml:space="preserve">Создадим файл lab07.sh с помощью комбинации «Ctrl-x»«Ctrl-f» (рис. 2).</w:t>
      </w:r>
    </w:p>
    <w:p>
      <w:pPr>
        <w:pStyle w:val="CaptionedFigure"/>
      </w:pPr>
      <w:bookmarkStart w:id="25" w:name="fig:002"/>
      <w:r>
        <w:drawing>
          <wp:inline>
            <wp:extent cx="5334000" cy="2817018"/>
            <wp:effectExtent b="0" l="0" r="0" t="0"/>
            <wp:docPr descr="Figure 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Создание файла</w:t>
      </w:r>
    </w:p>
    <w:p>
      <w:pPr>
        <w:numPr>
          <w:ilvl w:val="0"/>
          <w:numId w:val="1004"/>
        </w:numPr>
        <w:pStyle w:val="Compact"/>
      </w:pPr>
      <w:r>
        <w:t xml:space="preserve">В открывшемся буфере наберем необходимый текст (рис. 3).</w:t>
      </w:r>
    </w:p>
    <w:p>
      <w:pPr>
        <w:pStyle w:val="CaptionedFigure"/>
      </w:pPr>
      <w:bookmarkStart w:id="27" w:name="fig:003"/>
      <w:r>
        <w:drawing>
          <wp:inline>
            <wp:extent cx="3467100" cy="2838450"/>
            <wp:effectExtent b="0" l="0" r="0" t="0"/>
            <wp:docPr descr="Figure 3: Набираем текст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Набираем текст</w:t>
      </w:r>
    </w:p>
    <w:p>
      <w:pPr>
        <w:numPr>
          <w:ilvl w:val="0"/>
          <w:numId w:val="1005"/>
        </w:numPr>
      </w:pPr>
      <w:r>
        <w:t xml:space="preserve">Сохраним файл с помощью комбинации «Ctrl-x»«Ctrl-s».</w:t>
      </w:r>
    </w:p>
    <w:p>
      <w:pPr>
        <w:numPr>
          <w:ilvl w:val="0"/>
          <w:numId w:val="1006"/>
        </w:numPr>
        <w:pStyle w:val="Compact"/>
      </w:pPr>
      <w:r>
        <w:t xml:space="preserve">Вырежем одной командой целую строку («Сtrl-k») (рис. 4).</w:t>
      </w:r>
    </w:p>
    <w:p>
      <w:pPr>
        <w:pStyle w:val="CaptionedFigure"/>
      </w:pPr>
      <w:bookmarkStart w:id="29" w:name="fig:004"/>
      <w:r>
        <w:drawing>
          <wp:inline>
            <wp:extent cx="3438525" cy="2466975"/>
            <wp:effectExtent b="0" l="0" r="0" t="0"/>
            <wp:docPr descr="Figure 4: Вырезаем строку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Вырезаем строку</w:t>
      </w:r>
    </w:p>
    <w:p>
      <w:pPr>
        <w:numPr>
          <w:ilvl w:val="0"/>
          <w:numId w:val="1007"/>
        </w:numPr>
        <w:pStyle w:val="Compact"/>
      </w:pPr>
      <w:r>
        <w:t xml:space="preserve">Вставим эту строку в конец файла («Ctrl-y») (рис. 5).</w:t>
      </w:r>
    </w:p>
    <w:p>
      <w:pPr>
        <w:pStyle w:val="CaptionedFigure"/>
      </w:pPr>
      <w:bookmarkStart w:id="31" w:name="fig:005"/>
      <w:r>
        <w:drawing>
          <wp:inline>
            <wp:extent cx="3467100" cy="3200400"/>
            <wp:effectExtent b="0" l="0" r="0" t="0"/>
            <wp:docPr descr="Figure 5: Вставляем строку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Вставляем строку</w:t>
      </w:r>
    </w:p>
    <w:p>
      <w:pPr>
        <w:numPr>
          <w:ilvl w:val="0"/>
          <w:numId w:val="1008"/>
        </w:numPr>
        <w:pStyle w:val="Compact"/>
      </w:pPr>
      <w:r>
        <w:t xml:space="preserve">Выделим область текста («Ctrl-space») (рис. 6).</w:t>
      </w:r>
    </w:p>
    <w:p>
      <w:pPr>
        <w:pStyle w:val="CaptionedFigure"/>
      </w:pPr>
      <w:bookmarkStart w:id="33" w:name="fig:006"/>
      <w:r>
        <w:drawing>
          <wp:inline>
            <wp:extent cx="3524250" cy="3009900"/>
            <wp:effectExtent b="0" l="0" r="0" t="0"/>
            <wp:docPr descr="Figure 6: Выделяем текст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Выделяем текст</w:t>
      </w:r>
    </w:p>
    <w:p>
      <w:pPr>
        <w:numPr>
          <w:ilvl w:val="0"/>
          <w:numId w:val="1009"/>
        </w:numPr>
      </w:pPr>
      <w:r>
        <w:t xml:space="preserve">Скопируем область в буфер обмена («Alt-w»).</w:t>
      </w:r>
    </w:p>
    <w:p>
      <w:pPr>
        <w:numPr>
          <w:ilvl w:val="0"/>
          <w:numId w:val="1009"/>
        </w:numPr>
      </w:pPr>
      <w:r>
        <w:t xml:space="preserve">Вставим область в конец файла («Ctrl-y») (рис. 7).</w:t>
      </w:r>
    </w:p>
    <w:p>
      <w:pPr>
        <w:pStyle w:val="CaptionedFigure"/>
      </w:pPr>
      <w:bookmarkStart w:id="35" w:name="fig:007"/>
      <w:r>
        <w:drawing>
          <wp:inline>
            <wp:extent cx="3476625" cy="2781300"/>
            <wp:effectExtent b="0" l="0" r="0" t="0"/>
            <wp:docPr descr="Figure 7: Вставляем текст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Вставляем текст</w:t>
      </w:r>
    </w:p>
    <w:p>
      <w:pPr>
        <w:numPr>
          <w:ilvl w:val="0"/>
          <w:numId w:val="1010"/>
        </w:numPr>
        <w:pStyle w:val="Compact"/>
      </w:pPr>
      <w:r>
        <w:t xml:space="preserve">Вновь выделим эту область(«Ctrl-space») и на этот раз вырежем её («Ctrl-w») (рис. 8, 9).</w:t>
      </w:r>
    </w:p>
    <w:p>
      <w:pPr>
        <w:pStyle w:val="CaptionedFigure"/>
      </w:pPr>
      <w:bookmarkStart w:id="37" w:name="fig:008"/>
      <w:r>
        <w:drawing>
          <wp:inline>
            <wp:extent cx="3476625" cy="3286125"/>
            <wp:effectExtent b="0" l="0" r="0" t="0"/>
            <wp:docPr descr="Figure 8: Выделяем область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Выделяем область</w:t>
      </w:r>
    </w:p>
    <w:p>
      <w:pPr>
        <w:pStyle w:val="CaptionedFigure"/>
      </w:pPr>
      <w:bookmarkStart w:id="39" w:name="fig:009"/>
      <w:r>
        <w:drawing>
          <wp:inline>
            <wp:extent cx="3495675" cy="3038475"/>
            <wp:effectExtent b="0" l="0" r="0" t="0"/>
            <wp:docPr descr="Figure 9: Вырезаем данную область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Вырезаем данную область</w:t>
      </w:r>
    </w:p>
    <w:p>
      <w:pPr>
        <w:numPr>
          <w:ilvl w:val="0"/>
          <w:numId w:val="1011"/>
        </w:numPr>
        <w:pStyle w:val="Compact"/>
      </w:pPr>
      <w:r>
        <w:t xml:space="preserve">Отменим последнее действие («Ctrl-/») (рис. 10).</w:t>
      </w:r>
    </w:p>
    <w:p>
      <w:pPr>
        <w:pStyle w:val="CaptionedFigure"/>
      </w:pPr>
      <w:bookmarkStart w:id="41" w:name="fig:010"/>
      <w:r>
        <w:drawing>
          <wp:inline>
            <wp:extent cx="3505200" cy="2914650"/>
            <wp:effectExtent b="0" l="0" r="0" t="0"/>
            <wp:docPr descr="Figure 10: отменяем последнее действ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отменяем последнее действие</w:t>
      </w:r>
    </w:p>
    <w:p>
      <w:pPr>
        <w:numPr>
          <w:ilvl w:val="0"/>
          <w:numId w:val="1013"/>
        </w:numPr>
        <w:pStyle w:val="Compact"/>
      </w:pPr>
      <w:r>
        <w:t xml:space="preserve">Переместим курсор в начало строки («Ctrl-a») (рис. 11, 12).</w:t>
      </w:r>
    </w:p>
    <w:p>
      <w:pPr>
        <w:pStyle w:val="CaptionedFigure"/>
      </w:pPr>
      <w:bookmarkStart w:id="43" w:name="fig:011"/>
      <w:r>
        <w:drawing>
          <wp:inline>
            <wp:extent cx="3429000" cy="2990850"/>
            <wp:effectExtent b="0" l="0" r="0" t="0"/>
            <wp:docPr descr="Figure 11: Перемещаем курсор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Перемещаем курсор в начало строки</w:t>
      </w:r>
    </w:p>
    <w:p>
      <w:pPr>
        <w:pStyle w:val="CaptionedFigure"/>
      </w:pPr>
      <w:bookmarkStart w:id="45" w:name="fig:012"/>
      <w:r>
        <w:drawing>
          <wp:inline>
            <wp:extent cx="3505200" cy="2971800"/>
            <wp:effectExtent b="0" l="0" r="0" t="0"/>
            <wp:docPr descr="Figure 12: Перемещаем курсор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Перемещаем курсор в начало строки</w:t>
      </w:r>
    </w:p>
    <w:p>
      <w:pPr>
        <w:numPr>
          <w:ilvl w:val="0"/>
          <w:numId w:val="1014"/>
        </w:numPr>
        <w:pStyle w:val="Compact"/>
      </w:pPr>
      <w:r>
        <w:t xml:space="preserve">Переместим курсор в конец строки («Ctrl-e») (рис. 13).</w:t>
      </w:r>
    </w:p>
    <w:p>
      <w:pPr>
        <w:pStyle w:val="CaptionedFigure"/>
      </w:pPr>
      <w:bookmarkStart w:id="47" w:name="fig:013"/>
      <w:r>
        <w:drawing>
          <wp:inline>
            <wp:extent cx="3438525" cy="3019425"/>
            <wp:effectExtent b="0" l="0" r="0" t="0"/>
            <wp:docPr descr="Figure 13: Перемещаем курсор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Перемещаем курсор в конец строки</w:t>
      </w:r>
    </w:p>
    <w:p>
      <w:pPr>
        <w:numPr>
          <w:ilvl w:val="0"/>
          <w:numId w:val="1015"/>
        </w:numPr>
        <w:pStyle w:val="Compact"/>
      </w:pPr>
      <w:r>
        <w:t xml:space="preserve">Переместим курсор в начало буфера («М-&lt;») (рис. 14).</w:t>
      </w:r>
    </w:p>
    <w:p>
      <w:pPr>
        <w:pStyle w:val="CaptionedFigure"/>
      </w:pPr>
      <w:bookmarkStart w:id="49" w:name="fig:014"/>
      <w:r>
        <w:drawing>
          <wp:inline>
            <wp:extent cx="3381375" cy="2771775"/>
            <wp:effectExtent b="0" l="0" r="0" t="0"/>
            <wp:docPr descr="Figure 14: Перемещаем курсор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Перемещаем курсор в начало буфера</w:t>
      </w:r>
    </w:p>
    <w:p>
      <w:pPr>
        <w:numPr>
          <w:ilvl w:val="0"/>
          <w:numId w:val="1016"/>
        </w:numPr>
        <w:pStyle w:val="Compact"/>
      </w:pPr>
      <w:r>
        <w:t xml:space="preserve">Переместим курсор в конец буфера («М-&gt;») (рис. 15).</w:t>
      </w:r>
    </w:p>
    <w:p>
      <w:pPr>
        <w:pStyle w:val="CaptionedFigure"/>
      </w:pPr>
      <w:bookmarkStart w:id="51" w:name="fig:015"/>
      <w:r>
        <w:drawing>
          <wp:inline>
            <wp:extent cx="3457575" cy="2857500"/>
            <wp:effectExtent b="0" l="0" r="0" t="0"/>
            <wp:docPr descr="Figure 15: Перемещаем курсор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Перемещаем курсор в конец буфера</w:t>
      </w:r>
    </w:p>
    <w:p>
      <w:pPr>
        <w:numPr>
          <w:ilvl w:val="0"/>
          <w:numId w:val="1018"/>
        </w:numPr>
        <w:pStyle w:val="Compact"/>
      </w:pPr>
      <w:r>
        <w:t xml:space="preserve">Выведем список активных буферов на экран («Ctrl-x»«Ctrl-b») (рис. 16).</w:t>
      </w:r>
    </w:p>
    <w:p>
      <w:pPr>
        <w:pStyle w:val="CaptionedFigure"/>
      </w:pPr>
      <w:bookmarkStart w:id="53" w:name="fig:016"/>
      <w:r>
        <w:drawing>
          <wp:inline>
            <wp:extent cx="5334000" cy="2755900"/>
            <wp:effectExtent b="0" l="0" r="0" t="0"/>
            <wp:docPr descr="Figure 16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Список активных буферов</w:t>
      </w:r>
    </w:p>
    <w:p>
      <w:pPr>
        <w:numPr>
          <w:ilvl w:val="0"/>
          <w:numId w:val="1019"/>
        </w:numPr>
        <w:pStyle w:val="Compact"/>
      </w:pPr>
      <w:r>
        <w:t xml:space="preserve">Переместимся во вновь открытое окно («Ctrl-x o») со списком открытых буферов и переключимся на другой буфер (для этого необходимо нажать на «enter» после выбора необходимого буфера) (рис. 17).</w:t>
      </w:r>
    </w:p>
    <w:p>
      <w:pPr>
        <w:pStyle w:val="CaptionedFigure"/>
      </w:pPr>
      <w:bookmarkStart w:id="55" w:name="fig:017"/>
      <w:r>
        <w:drawing>
          <wp:inline>
            <wp:extent cx="5334000" cy="2708628"/>
            <wp:effectExtent b="0" l="0" r="0" t="0"/>
            <wp:docPr descr="Figure 17: Переключаемся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Переключаемся на другой буфер</w:t>
      </w:r>
    </w:p>
    <w:p>
      <w:pPr>
        <w:numPr>
          <w:ilvl w:val="0"/>
          <w:numId w:val="1020"/>
        </w:numPr>
        <w:pStyle w:val="Compact"/>
      </w:pPr>
      <w:r>
        <w:t xml:space="preserve">Закроем это окно («Ctrl-x0») (рис. 18).</w:t>
      </w:r>
    </w:p>
    <w:p>
      <w:pPr>
        <w:pStyle w:val="CaptionedFigure"/>
      </w:pPr>
      <w:bookmarkStart w:id="57" w:name="fig:018"/>
      <w:r>
        <w:drawing>
          <wp:inline>
            <wp:extent cx="5334000" cy="2817018"/>
            <wp:effectExtent b="0" l="0" r="0" t="0"/>
            <wp:docPr descr="Figure 18: Закрываем окно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Закрываем окно</w:t>
      </w:r>
    </w:p>
    <w:p>
      <w:pPr>
        <w:numPr>
          <w:ilvl w:val="0"/>
          <w:numId w:val="1021"/>
        </w:numPr>
        <w:pStyle w:val="Compact"/>
      </w:pPr>
      <w:r>
        <w:t xml:space="preserve">Теперь вновь переключимся между буферами, но уже без вывода их списка на экран («Ctrl-x b») (рис.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</w:t>
      </w:r>
      <w:r>
        <w:t xml:space="preserve"> </w:t>
      </w:r>
      <w:r>
        <w:t xml:space="preserve">.</w:t>
      </w:r>
      <w:r>
        <w:t xml:space="preserve"> </w:t>
      </w:r>
      <w:bookmarkStart w:id="59" w:name="fig:019"/>
      <w:r>
        <w:drawing>
          <wp:inline>
            <wp:extent cx="4924425" cy="828675"/>
            <wp:effectExtent b="0" l="0" r="0" t="0"/>
            <wp:docPr descr="Переключаемся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23"/>
        </w:numPr>
        <w:pStyle w:val="Compact"/>
      </w:pPr>
      <w:r>
        <w:t xml:space="preserve">Поделим фрейм на 4 части: разделим фрейм на два окна по вертикали («Ctrl-x 3»), а затем каждое из этих окон на две части по горизонтали («Ctrl-x 2») (рис. 19).</w:t>
      </w:r>
    </w:p>
    <w:p>
      <w:pPr>
        <w:pStyle w:val="CaptionedFigure"/>
      </w:pPr>
      <w:bookmarkStart w:id="61" w:name="fig:020"/>
      <w:r>
        <w:drawing>
          <wp:inline>
            <wp:extent cx="5334000" cy="2817018"/>
            <wp:effectExtent b="0" l="0" r="0" t="0"/>
            <wp:docPr descr="Figure 19: Разделяем фрейм на 4 част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19: Разделяем фрейм на 4 части</w:t>
      </w:r>
    </w:p>
    <w:p>
      <w:pPr>
        <w:numPr>
          <w:ilvl w:val="0"/>
          <w:numId w:val="1024"/>
        </w:numPr>
        <w:pStyle w:val="Compact"/>
      </w:pPr>
      <w:r>
        <w:t xml:space="preserve">В каждом из четырёх созданных окон откроем новый буфер и введем несколько строк текста (рис. 20).</w:t>
      </w:r>
    </w:p>
    <w:p>
      <w:pPr>
        <w:pStyle w:val="CaptionedFigure"/>
      </w:pPr>
      <w:bookmarkStart w:id="63" w:name="fig:021"/>
      <w:r>
        <w:drawing>
          <wp:inline>
            <wp:extent cx="5334000" cy="2469134"/>
            <wp:effectExtent b="0" l="0" r="0" t="0"/>
            <wp:docPr descr="Figure 20: Вводим текст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20: Вводим текст</w:t>
      </w:r>
    </w:p>
    <w:p>
      <w:pPr>
        <w:numPr>
          <w:ilvl w:val="0"/>
          <w:numId w:val="1026"/>
        </w:numPr>
        <w:pStyle w:val="Compact"/>
      </w:pPr>
      <w:r>
        <w:t xml:space="preserve">Переключимся в режим поиска («Ctrl-s») и найдем несколько слов, присутствующих в тексте (рис. 21, 22).</w:t>
      </w:r>
    </w:p>
    <w:p>
      <w:pPr>
        <w:pStyle w:val="CaptionedFigure"/>
      </w:pPr>
      <w:bookmarkStart w:id="64" w:name="fig:022"/>
      <w:r>
        <w:drawing>
          <wp:inline>
            <wp:extent cx="5334000" cy="2817018"/>
            <wp:effectExtent b="0" l="0" r="0" t="0"/>
            <wp:docPr descr="Figure 21: Ищем слов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Ищем слова</w:t>
      </w:r>
    </w:p>
    <w:p>
      <w:pPr>
        <w:pStyle w:val="CaptionedFigure"/>
      </w:pPr>
      <w:bookmarkStart w:id="66" w:name="fig:023"/>
      <w:r>
        <w:drawing>
          <wp:inline>
            <wp:extent cx="5334000" cy="2817018"/>
            <wp:effectExtent b="0" l="0" r="0" t="0"/>
            <wp:docPr descr="Figure 22: Ищем слов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Ищем слова</w:t>
      </w:r>
    </w:p>
    <w:p>
      <w:pPr>
        <w:numPr>
          <w:ilvl w:val="0"/>
          <w:numId w:val="1027"/>
        </w:numPr>
        <w:pStyle w:val="Compact"/>
      </w:pPr>
      <w:r>
        <w:t xml:space="preserve">Переключимся между результатами поиска, нажимая «Ctrl-s» (рис. 23).</w:t>
      </w:r>
    </w:p>
    <w:p>
      <w:pPr>
        <w:pStyle w:val="CaptionedFigure"/>
      </w:pPr>
      <w:bookmarkStart w:id="68" w:name="fig:024"/>
      <w:r>
        <w:drawing>
          <wp:inline>
            <wp:extent cx="5334000" cy="2817018"/>
            <wp:effectExtent b="0" l="0" r="0" t="0"/>
            <wp:docPr descr="Figure 23: Переключаемся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Переключаемся между результатами поиска</w:t>
      </w:r>
    </w:p>
    <w:p>
      <w:pPr>
        <w:numPr>
          <w:ilvl w:val="0"/>
          <w:numId w:val="1028"/>
        </w:numPr>
        <w:pStyle w:val="Compact"/>
      </w:pPr>
      <w:r>
        <w:t xml:space="preserve">Выйдем из режима поиска, нажав «Ctrl-g» (рис. 24).</w:t>
      </w:r>
    </w:p>
    <w:p>
      <w:pPr>
        <w:pStyle w:val="CaptionedFigure"/>
      </w:pPr>
      <w:bookmarkStart w:id="70" w:name="fig:025"/>
      <w:r>
        <w:drawing>
          <wp:inline>
            <wp:extent cx="5334000" cy="2817018"/>
            <wp:effectExtent b="0" l="0" r="0" t="0"/>
            <wp:docPr descr="Figure 24: Выходим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Выходим из режима поиска</w:t>
      </w:r>
    </w:p>
    <w:p>
      <w:pPr>
        <w:numPr>
          <w:ilvl w:val="0"/>
          <w:numId w:val="1029"/>
        </w:numPr>
        <w:pStyle w:val="Compact"/>
      </w:pPr>
      <w:r>
        <w:t xml:space="preserve">Перейдем в режим поиска и замены («М-%»),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 (рис. 25, 26, 27).</w:t>
      </w:r>
    </w:p>
    <w:p>
      <w:pPr>
        <w:pStyle w:val="CaptionedFigure"/>
      </w:pPr>
      <w:bookmarkStart w:id="72" w:name="fig:026"/>
      <w:r>
        <w:drawing>
          <wp:inline>
            <wp:extent cx="5334000" cy="2817018"/>
            <wp:effectExtent b="0" l="0" r="0" t="0"/>
            <wp:docPr descr="Figure 25: Заменяем слово в тексте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Заменяем слово в тексте</w:t>
      </w:r>
    </w:p>
    <w:p>
      <w:pPr>
        <w:pStyle w:val="CaptionedFigure"/>
      </w:pPr>
      <w:bookmarkStart w:id="74" w:name="fig:027"/>
      <w:r>
        <w:drawing>
          <wp:inline>
            <wp:extent cx="5334000" cy="2817018"/>
            <wp:effectExtent b="0" l="0" r="0" t="0"/>
            <wp:docPr descr="Figure 26: Заменяем слово в тексте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26: Заменяем слово в тексте</w:t>
      </w:r>
    </w:p>
    <w:p>
      <w:pPr>
        <w:pStyle w:val="CaptionedFigure"/>
      </w:pPr>
      <w:bookmarkStart w:id="76" w:name="fig:028"/>
      <w:r>
        <w:drawing>
          <wp:inline>
            <wp:extent cx="5334000" cy="2817018"/>
            <wp:effectExtent b="0" l="0" r="0" t="0"/>
            <wp:docPr descr="Figure 27: Заменяем слово в тексте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27: Заменяем слово в тексте</w:t>
      </w:r>
    </w:p>
    <w:p>
      <w:pPr>
        <w:numPr>
          <w:ilvl w:val="0"/>
          <w:numId w:val="1030"/>
        </w:numPr>
        <w:pStyle w:val="Compact"/>
      </w:pPr>
      <w:r>
        <w:t xml:space="preserve">К сожалению, на данном компьютере не удалось с помощью команды («М-s o») испробовать другой режим поиска, поэтому на предыдущем этапе была завершена лабораторная работа. Однако 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познакомилась с операционной системой Linuxи получила практические навыки работы с редактором Emacs.</w:t>
      </w:r>
    </w:p>
    <w:bookmarkEnd w:id="78"/>
    <w:bookmarkStart w:id="79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31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32"/>
        </w:numPr>
      </w:pPr>
      <w:r>
        <w:t xml:space="preserve">текстовым редактором;</w:t>
      </w:r>
    </w:p>
    <w:p>
      <w:pPr>
        <w:numPr>
          <w:ilvl w:val="0"/>
          <w:numId w:val="1032"/>
        </w:numPr>
      </w:pPr>
      <w:r>
        <w:t xml:space="preserve">программой для чтения почты и новостей Usenet;</w:t>
      </w:r>
    </w:p>
    <w:p>
      <w:pPr>
        <w:numPr>
          <w:ilvl w:val="0"/>
          <w:numId w:val="1032"/>
        </w:numPr>
      </w:pPr>
      <w:r>
        <w:t xml:space="preserve">интегрированной средой разработки (IDE);</w:t>
      </w:r>
    </w:p>
    <w:p>
      <w:pPr>
        <w:numPr>
          <w:ilvl w:val="0"/>
          <w:numId w:val="1032"/>
        </w:numPr>
      </w:pPr>
      <w:r>
        <w:t xml:space="preserve">операционной системой и т.д.</w:t>
      </w:r>
    </w:p>
    <w:p>
      <w:pPr>
        <w:pStyle w:val="FirstParagraph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>
      <w:pPr>
        <w:numPr>
          <w:ilvl w:val="0"/>
          <w:numId w:val="1033"/>
        </w:numPr>
      </w:pPr>
      <w:r>
        <w:t xml:space="preserve">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поэтому придется часто обращаться к справочным материалам.</w:t>
      </w:r>
    </w:p>
    <w:p>
      <w:pPr>
        <w:numPr>
          <w:ilvl w:val="0"/>
          <w:numId w:val="1033"/>
        </w:numPr>
      </w:pPr>
      <w:r>
        <w:t xml:space="preserve">Буфер –это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XWindow–разные вещи. Одно окно XWindow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33"/>
        </w:numPr>
      </w:pPr>
      <w:r>
        <w:t xml:space="preserve">Да, можно.</w:t>
      </w:r>
    </w:p>
    <w:p>
      <w:pPr>
        <w:numPr>
          <w:ilvl w:val="0"/>
          <w:numId w:val="1033"/>
        </w:numPr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34"/>
        </w:numPr>
      </w:pPr>
      <w:r>
        <w:t xml:space="preserve">«scratch»(буфер для несохраненного текста)</w:t>
      </w:r>
    </w:p>
    <w:p>
      <w:pPr>
        <w:numPr>
          <w:ilvl w:val="0"/>
          <w:numId w:val="1034"/>
        </w:numPr>
      </w:pPr>
      <w:r>
        <w:t xml:space="preserve">«Messages»(журнал ошибок, включающий также информацию, которая появляется в области EchoArea)</w:t>
      </w:r>
    </w:p>
    <w:p>
      <w:pPr>
        <w:numPr>
          <w:ilvl w:val="0"/>
          <w:numId w:val="1034"/>
        </w:numPr>
      </w:pPr>
      <w:r>
        <w:t xml:space="preserve">«GNUEmacs»(справочный буфер о редакторе)</w:t>
      </w:r>
    </w:p>
    <w:p>
      <w:pPr>
        <w:numPr>
          <w:ilvl w:val="0"/>
          <w:numId w:val="1035"/>
        </w:numPr>
      </w:pPr>
      <w:r>
        <w:t xml:space="preserve">C-c |сначала, удерживая «ctrl»,нажимаю «c»,после –отпускаю обе клавишии нажимаю «|»</w:t>
      </w:r>
      <w:r>
        <w:t xml:space="preserve"> </w:t>
      </w:r>
      <w:r>
        <w:t xml:space="preserve">C-cC-|сначала, удерживая «ctrl»,нажимаю «с», после –отпускаю обе клавиши и, удерживая «ctrl», нажимаю «|»</w:t>
      </w:r>
    </w:p>
    <w:p>
      <w:pPr>
        <w:numPr>
          <w:ilvl w:val="0"/>
          <w:numId w:val="1035"/>
        </w:numPr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35"/>
        </w:numPr>
      </w:pPr>
      <w:r>
        <w:t xml:space="preserve">Настройки Emacs сохранятся в файле .emacs.</w:t>
      </w:r>
    </w:p>
    <w:p>
      <w:pPr>
        <w:numPr>
          <w:ilvl w:val="0"/>
          <w:numId w:val="1035"/>
        </w:numPr>
      </w:pPr>
      <w:r>
        <w:t xml:space="preserve">По умолчанию клавиша «←» удаляет символ перед курсором, нов редакторе её можно переназначить. Для этого необхдимоизменить конфигурацию файла .emacs.</w:t>
      </w:r>
    </w:p>
    <w:p>
      <w:pPr>
        <w:numPr>
          <w:ilvl w:val="0"/>
          <w:numId w:val="1035"/>
        </w:numPr>
      </w:pPr>
      <w:r>
        <w:t xml:space="preserve"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21">
    <w:nsid w:val="4fbe019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91a27d85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615f1ed2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238d817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6">
    <w:nsid w:val="41f388d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da4300bd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6">
    <w:nsid w:val="8c1c03f9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5504a01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5a538d8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8a296d9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25">
    <w:nsid w:val="87b17300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1">
    <w:nsid w:val="7b86e438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4">
    <w:abstractNumId w:val="991"/>
  </w:num>
  <w:num w:numId="103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Матвеева Анастасия Сергеевна</dc:creator>
  <dc:language>ru-RU</dc:language>
  <cp:keywords/>
  <dcterms:created xsi:type="dcterms:W3CDTF">2021-05-19T09:04:11Z</dcterms:created>
  <dcterms:modified xsi:type="dcterms:W3CDTF">2021-05-19T09:04:11Z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;lot">
    <vt:lpwstr>True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Текстовый редактор Emacs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