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8F4BB" w14:textId="77777777" w:rsidR="009C0E76" w:rsidRDefault="00000000" w:rsidP="00CE639A">
      <w:pPr>
        <w:spacing w:after="80"/>
        <w:jc w:val="both"/>
      </w:pPr>
      <w:r>
        <w:rPr>
          <w:b/>
          <w:bCs/>
          <w:color w:val="5B2D82"/>
          <w:sz w:val="34"/>
          <w:szCs w:val="34"/>
        </w:rPr>
        <w:t>Assistant MCP local sur données Open DAMIR</w:t>
      </w:r>
    </w:p>
    <w:p w14:paraId="77A182CC" w14:textId="77777777" w:rsidR="009C0E76" w:rsidRDefault="00000000" w:rsidP="00CE639A">
      <w:pPr>
        <w:pBdr>
          <w:bottom w:val="single" w:sz="6" w:space="4" w:color="00857C"/>
        </w:pBdr>
        <w:spacing w:after="240"/>
        <w:jc w:val="both"/>
      </w:pPr>
      <w:r>
        <w:rPr>
          <w:i/>
          <w:iCs/>
          <w:color w:val="595959"/>
        </w:rPr>
        <w:t>Note de synthèse technique — preuve de concept (MVP)</w:t>
      </w:r>
    </w:p>
    <w:p w14:paraId="0A23B649" w14:textId="77777777" w:rsidR="009C0E76" w:rsidRDefault="00000000" w:rsidP="00CE639A">
      <w:pPr>
        <w:pStyle w:val="Titre1"/>
        <w:jc w:val="both"/>
      </w:pPr>
      <w:r>
        <w:t>1. Objectif et principe</w:t>
      </w:r>
    </w:p>
    <w:p w14:paraId="1714D0D5" w14:textId="77777777" w:rsidR="009C0E76" w:rsidRDefault="00000000" w:rsidP="00CE639A">
      <w:pPr>
        <w:spacing w:after="120"/>
        <w:jc w:val="both"/>
      </w:pPr>
      <w:r>
        <w:t>L'objectif est de démontrer qu'un assistant conversationnel peut interroger en langage naturel les données de dépenses de l'Assurance Maladie, tout en restant entièrement souverain : modèle et données hébergés localement, sans appel à un service externe.</w:t>
      </w:r>
    </w:p>
    <w:p w14:paraId="149C4BB4" w14:textId="77777777" w:rsidR="009C0E76" w:rsidRDefault="00000000" w:rsidP="00CE639A">
      <w:pPr>
        <w:spacing w:after="120"/>
        <w:jc w:val="both"/>
      </w:pPr>
      <w:r>
        <w:rPr>
          <w:b/>
          <w:bCs/>
        </w:rPr>
        <w:t>Le principe directeur garantit la fiabilité des réponses :</w:t>
      </w:r>
    </w:p>
    <w:p w14:paraId="4B110771" w14:textId="77777777" w:rsidR="009C0E76" w:rsidRDefault="00000000" w:rsidP="00CE639A">
      <w:pPr>
        <w:pStyle w:val="Paragraphedeliste"/>
        <w:numPr>
          <w:ilvl w:val="0"/>
          <w:numId w:val="2"/>
        </w:numPr>
        <w:spacing w:after="70"/>
        <w:jc w:val="both"/>
      </w:pPr>
      <w:proofErr w:type="gramStart"/>
      <w:r>
        <w:t>le</w:t>
      </w:r>
      <w:proofErr w:type="gramEnd"/>
      <w:r>
        <w:t xml:space="preserve"> modèle de langage ne fait que </w:t>
      </w:r>
      <w:r>
        <w:rPr>
          <w:i/>
          <w:iCs/>
        </w:rPr>
        <w:t>router</w:t>
      </w:r>
      <w:r>
        <w:t xml:space="preserve"> la question : il choisit l'outil pertinent et en extrait les paramètres (poste, année, mesure) ;</w:t>
      </w:r>
    </w:p>
    <w:p w14:paraId="675745BA" w14:textId="77777777" w:rsidR="009C0E76" w:rsidRDefault="00000000" w:rsidP="00CE639A">
      <w:pPr>
        <w:pStyle w:val="Paragraphedeliste"/>
        <w:numPr>
          <w:ilvl w:val="0"/>
          <w:numId w:val="2"/>
        </w:numPr>
        <w:spacing w:after="70"/>
        <w:jc w:val="both"/>
      </w:pPr>
      <w:proofErr w:type="gramStart"/>
      <w:r>
        <w:t>le</w:t>
      </w:r>
      <w:proofErr w:type="gramEnd"/>
      <w:r>
        <w:t xml:space="preserve"> calcul est réalisé par du code Python et des requêtes </w:t>
      </w:r>
      <w:proofErr w:type="spellStart"/>
      <w:r>
        <w:t>DuckDB</w:t>
      </w:r>
      <w:proofErr w:type="spellEnd"/>
      <w:r>
        <w:t xml:space="preserve">, </w:t>
      </w:r>
      <w:r>
        <w:rPr>
          <w:b/>
          <w:bCs/>
        </w:rPr>
        <w:t>déterministes et vérifiables</w:t>
      </w:r>
      <w:r>
        <w:t>.</w:t>
      </w:r>
    </w:p>
    <w:p w14:paraId="1A1ADBF2" w14:textId="77777777" w:rsidR="009C0E76" w:rsidRDefault="00000000" w:rsidP="00CE639A">
      <w:pPr>
        <w:spacing w:after="120"/>
        <w:jc w:val="both"/>
      </w:pPr>
      <w:r>
        <w:t>Formulé autrement : le modèle propose, le code valide et ne ment jamais. Les chiffres ne sont jamais « inventés » par le modèle ; ils proviennent toujours d'une requête réelle sur la base.</w:t>
      </w:r>
    </w:p>
    <w:p w14:paraId="1374918F" w14:textId="77777777" w:rsidR="009C0E76" w:rsidRDefault="00000000" w:rsidP="00CE639A">
      <w:pPr>
        <w:pStyle w:val="Titre1"/>
        <w:jc w:val="both"/>
      </w:pPr>
      <w:r>
        <w:t>2. Architecture technique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C0E76" w14:paraId="2048A9E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5B2D82"/>
            <w:tcMar>
              <w:top w:w="70" w:type="dxa"/>
              <w:left w:w="110" w:type="dxa"/>
              <w:bottom w:w="70" w:type="dxa"/>
              <w:right w:w="110" w:type="dxa"/>
            </w:tcMar>
          </w:tcPr>
          <w:p w14:paraId="7A00C8BA" w14:textId="77777777" w:rsidR="009C0E76" w:rsidRDefault="00000000" w:rsidP="00CE639A">
            <w:pPr>
              <w:jc w:val="both"/>
            </w:pPr>
            <w:r>
              <w:rPr>
                <w:b/>
                <w:bCs/>
                <w:color w:val="FFFFFF"/>
                <w:sz w:val="19"/>
                <w:szCs w:val="19"/>
              </w:rPr>
              <w:t>Composant</w:t>
            </w:r>
          </w:p>
        </w:tc>
        <w:tc>
          <w:tcPr>
            <w:tcW w:w="6760" w:type="dxa"/>
            <w:tcBorders>
              <w:top w:val="single" w:sz="1" w:space="0" w:color="CCCCCC"/>
              <w:left w:val="single" w:sz="1" w:space="0" w:color="CCCCCC"/>
              <w:bottom w:val="single" w:sz="1" w:space="0" w:color="CCCCCC"/>
              <w:right w:val="single" w:sz="1" w:space="0" w:color="CCCCCC"/>
            </w:tcBorders>
            <w:shd w:val="clear" w:color="auto" w:fill="5B2D82"/>
            <w:tcMar>
              <w:top w:w="70" w:type="dxa"/>
              <w:left w:w="110" w:type="dxa"/>
              <w:bottom w:w="70" w:type="dxa"/>
              <w:right w:w="110" w:type="dxa"/>
            </w:tcMar>
          </w:tcPr>
          <w:p w14:paraId="0B21871A" w14:textId="77777777" w:rsidR="009C0E76" w:rsidRDefault="00000000" w:rsidP="00CE639A">
            <w:pPr>
              <w:jc w:val="both"/>
            </w:pPr>
            <w:r>
              <w:rPr>
                <w:b/>
                <w:bCs/>
                <w:color w:val="FFFFFF"/>
                <w:sz w:val="19"/>
                <w:szCs w:val="19"/>
              </w:rPr>
              <w:t>Choix et rôle</w:t>
            </w:r>
          </w:p>
        </w:tc>
      </w:tr>
      <w:tr w:rsidR="009C0E76" w14:paraId="6B05DF6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ECF7"/>
            <w:tcMar>
              <w:top w:w="70" w:type="dxa"/>
              <w:left w:w="110" w:type="dxa"/>
              <w:bottom w:w="70" w:type="dxa"/>
              <w:right w:w="110" w:type="dxa"/>
            </w:tcMar>
          </w:tcPr>
          <w:p w14:paraId="1EAB5C10" w14:textId="77777777" w:rsidR="009C0E76" w:rsidRDefault="00000000" w:rsidP="00CE639A">
            <w:pPr>
              <w:jc w:val="both"/>
            </w:pPr>
            <w:r>
              <w:rPr>
                <w:b/>
                <w:bCs/>
                <w:sz w:val="19"/>
                <w:szCs w:val="19"/>
              </w:rPr>
              <w:t>Modèle de langage</w:t>
            </w:r>
          </w:p>
        </w:tc>
        <w:tc>
          <w:tcPr>
            <w:tcW w:w="6760" w:type="dxa"/>
            <w:tcBorders>
              <w:top w:val="single" w:sz="1" w:space="0" w:color="CCCCCC"/>
              <w:left w:val="single" w:sz="1" w:space="0" w:color="CCCCCC"/>
              <w:bottom w:val="single" w:sz="1" w:space="0" w:color="CCCCCC"/>
              <w:right w:val="single" w:sz="1" w:space="0" w:color="CCCCCC"/>
            </w:tcBorders>
            <w:shd w:val="clear" w:color="auto" w:fill="F2ECF7"/>
            <w:tcMar>
              <w:top w:w="70" w:type="dxa"/>
              <w:left w:w="110" w:type="dxa"/>
              <w:bottom w:w="70" w:type="dxa"/>
              <w:right w:w="110" w:type="dxa"/>
            </w:tcMar>
          </w:tcPr>
          <w:p w14:paraId="2EF7946D" w14:textId="77777777" w:rsidR="009C0E76" w:rsidRDefault="00000000" w:rsidP="00CE639A">
            <w:pPr>
              <w:jc w:val="both"/>
            </w:pPr>
            <w:proofErr w:type="gramStart"/>
            <w:r>
              <w:rPr>
                <w:sz w:val="19"/>
                <w:szCs w:val="19"/>
              </w:rPr>
              <w:t>qwen</w:t>
            </w:r>
            <w:proofErr w:type="gramEnd"/>
            <w:r>
              <w:rPr>
                <w:sz w:val="19"/>
                <w:szCs w:val="19"/>
              </w:rPr>
              <w:t>2.</w:t>
            </w:r>
            <w:proofErr w:type="gramStart"/>
            <w:r>
              <w:rPr>
                <w:sz w:val="19"/>
                <w:szCs w:val="19"/>
              </w:rPr>
              <w:t>5:</w:t>
            </w:r>
            <w:proofErr w:type="gramEnd"/>
            <w:r>
              <w:rPr>
                <w:sz w:val="19"/>
                <w:szCs w:val="19"/>
              </w:rPr>
              <w:t xml:space="preserve">7b servi en local par </w:t>
            </w:r>
            <w:proofErr w:type="spellStart"/>
            <w:r>
              <w:rPr>
                <w:sz w:val="19"/>
                <w:szCs w:val="19"/>
              </w:rPr>
              <w:t>Ollama</w:t>
            </w:r>
            <w:proofErr w:type="spellEnd"/>
            <w:r>
              <w:rPr>
                <w:sz w:val="19"/>
                <w:szCs w:val="19"/>
              </w:rPr>
              <w:t>. Aucune donnée ne sort du poste.</w:t>
            </w:r>
          </w:p>
        </w:tc>
      </w:tr>
      <w:tr w:rsidR="009C0E76" w14:paraId="0835B68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B5963E3" w14:textId="77777777" w:rsidR="009C0E76" w:rsidRDefault="00000000" w:rsidP="00CE639A">
            <w:pPr>
              <w:jc w:val="both"/>
            </w:pPr>
            <w:r>
              <w:rPr>
                <w:b/>
                <w:bCs/>
                <w:sz w:val="19"/>
                <w:szCs w:val="19"/>
              </w:rPr>
              <w:t>Orchestration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F59EF15" w14:textId="77777777" w:rsidR="009C0E76" w:rsidRDefault="00000000" w:rsidP="00CE639A">
            <w:pPr>
              <w:jc w:val="both"/>
            </w:pPr>
            <w:r>
              <w:rPr>
                <w:sz w:val="19"/>
                <w:szCs w:val="19"/>
              </w:rPr>
              <w:t xml:space="preserve">Client Python maison faisant le pont entre </w:t>
            </w:r>
            <w:proofErr w:type="spellStart"/>
            <w:r>
              <w:rPr>
                <w:sz w:val="19"/>
                <w:szCs w:val="19"/>
              </w:rPr>
              <w:t>Ollama</w:t>
            </w:r>
            <w:proofErr w:type="spellEnd"/>
            <w:r>
              <w:rPr>
                <w:sz w:val="19"/>
                <w:szCs w:val="19"/>
              </w:rPr>
              <w:t xml:space="preserve"> et les outils (</w:t>
            </w:r>
            <w:proofErr w:type="spellStart"/>
            <w:r>
              <w:rPr>
                <w:sz w:val="19"/>
                <w:szCs w:val="19"/>
              </w:rPr>
              <w:t>Ollama</w:t>
            </w:r>
            <w:proofErr w:type="spellEnd"/>
            <w:r>
              <w:rPr>
                <w:sz w:val="19"/>
                <w:szCs w:val="19"/>
              </w:rPr>
              <w:t xml:space="preserve"> ne gère pas nativement le protocole MCP).</w:t>
            </w:r>
          </w:p>
        </w:tc>
      </w:tr>
      <w:tr w:rsidR="009C0E76" w14:paraId="565F3C5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ECF7"/>
            <w:tcMar>
              <w:top w:w="70" w:type="dxa"/>
              <w:left w:w="110" w:type="dxa"/>
              <w:bottom w:w="70" w:type="dxa"/>
              <w:right w:w="110" w:type="dxa"/>
            </w:tcMar>
          </w:tcPr>
          <w:p w14:paraId="0FA7E782" w14:textId="77777777" w:rsidR="009C0E76" w:rsidRDefault="00000000" w:rsidP="00CE639A">
            <w:pPr>
              <w:jc w:val="both"/>
            </w:pPr>
            <w:r>
              <w:rPr>
                <w:b/>
                <w:bCs/>
                <w:sz w:val="19"/>
                <w:szCs w:val="19"/>
              </w:rPr>
              <w:t>Moteur de données</w:t>
            </w:r>
          </w:p>
        </w:tc>
        <w:tc>
          <w:tcPr>
            <w:tcW w:w="6760" w:type="dxa"/>
            <w:tcBorders>
              <w:top w:val="single" w:sz="1" w:space="0" w:color="CCCCCC"/>
              <w:left w:val="single" w:sz="1" w:space="0" w:color="CCCCCC"/>
              <w:bottom w:val="single" w:sz="1" w:space="0" w:color="CCCCCC"/>
              <w:right w:val="single" w:sz="1" w:space="0" w:color="CCCCCC"/>
            </w:tcBorders>
            <w:shd w:val="clear" w:color="auto" w:fill="F2ECF7"/>
            <w:tcMar>
              <w:top w:w="70" w:type="dxa"/>
              <w:left w:w="110" w:type="dxa"/>
              <w:bottom w:w="70" w:type="dxa"/>
              <w:right w:w="110" w:type="dxa"/>
            </w:tcMar>
          </w:tcPr>
          <w:p w14:paraId="37691BE0" w14:textId="77777777" w:rsidR="009C0E76" w:rsidRDefault="00000000" w:rsidP="00CE639A">
            <w:pPr>
              <w:jc w:val="both"/>
            </w:pPr>
            <w:proofErr w:type="spellStart"/>
            <w:r>
              <w:rPr>
                <w:sz w:val="19"/>
                <w:szCs w:val="19"/>
              </w:rPr>
              <w:t>DuckDB</w:t>
            </w:r>
            <w:proofErr w:type="spellEnd"/>
            <w:r>
              <w:rPr>
                <w:sz w:val="19"/>
                <w:szCs w:val="19"/>
              </w:rPr>
              <w:t xml:space="preserve"> en local, interrogeant les données Open DAMIR (faits + classification des prestations).</w:t>
            </w:r>
          </w:p>
        </w:tc>
      </w:tr>
      <w:tr w:rsidR="009C0E76" w14:paraId="57321C5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E999E09" w14:textId="77777777" w:rsidR="009C0E76" w:rsidRDefault="00000000" w:rsidP="00CE639A">
            <w:pPr>
              <w:jc w:val="both"/>
            </w:pPr>
            <w:r>
              <w:rPr>
                <w:b/>
                <w:bCs/>
                <w:sz w:val="19"/>
                <w:szCs w:val="19"/>
              </w:rPr>
              <w:t>Dictionnaire sémantique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6507200" w14:textId="77777777" w:rsidR="009C0E76" w:rsidRDefault="00000000" w:rsidP="00CE639A">
            <w:pPr>
              <w:jc w:val="both"/>
            </w:pPr>
            <w:r>
              <w:rPr>
                <w:sz w:val="19"/>
                <w:szCs w:val="19"/>
              </w:rPr>
              <w:t>Référentiel structuré reliant le langage métier aux données (mesures, dimensions, postes, garde-fous). Pièce centrale du dispositif (cf. section 3).</w:t>
            </w:r>
          </w:p>
        </w:tc>
      </w:tr>
      <w:tr w:rsidR="009C0E76" w14:paraId="03446BF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ECF7"/>
            <w:tcMar>
              <w:top w:w="70" w:type="dxa"/>
              <w:left w:w="110" w:type="dxa"/>
              <w:bottom w:w="70" w:type="dxa"/>
              <w:right w:w="110" w:type="dxa"/>
            </w:tcMar>
          </w:tcPr>
          <w:p w14:paraId="387684EF" w14:textId="77777777" w:rsidR="009C0E76" w:rsidRDefault="00000000" w:rsidP="00CE639A">
            <w:pPr>
              <w:jc w:val="both"/>
            </w:pPr>
            <w:r>
              <w:rPr>
                <w:b/>
                <w:bCs/>
                <w:sz w:val="19"/>
                <w:szCs w:val="19"/>
              </w:rPr>
              <w:t>Protocole</w:t>
            </w:r>
          </w:p>
        </w:tc>
        <w:tc>
          <w:tcPr>
            <w:tcW w:w="6760" w:type="dxa"/>
            <w:tcBorders>
              <w:top w:val="single" w:sz="1" w:space="0" w:color="CCCCCC"/>
              <w:left w:val="single" w:sz="1" w:space="0" w:color="CCCCCC"/>
              <w:bottom w:val="single" w:sz="1" w:space="0" w:color="CCCCCC"/>
              <w:right w:val="single" w:sz="1" w:space="0" w:color="CCCCCC"/>
            </w:tcBorders>
            <w:shd w:val="clear" w:color="auto" w:fill="F2ECF7"/>
            <w:tcMar>
              <w:top w:w="70" w:type="dxa"/>
              <w:left w:w="110" w:type="dxa"/>
              <w:bottom w:w="70" w:type="dxa"/>
              <w:right w:w="110" w:type="dxa"/>
            </w:tcMar>
          </w:tcPr>
          <w:p w14:paraId="35D68F4E" w14:textId="77777777" w:rsidR="009C0E76" w:rsidRDefault="00000000" w:rsidP="00CE639A">
            <w:pPr>
              <w:jc w:val="both"/>
            </w:pPr>
            <w:r>
              <w:rPr>
                <w:sz w:val="19"/>
                <w:szCs w:val="19"/>
              </w:rPr>
              <w:t xml:space="preserve">MCP (Model </w:t>
            </w:r>
            <w:proofErr w:type="spellStart"/>
            <w:r>
              <w:rPr>
                <w:sz w:val="19"/>
                <w:szCs w:val="19"/>
              </w:rPr>
              <w:t>Context</w:t>
            </w:r>
            <w:proofErr w:type="spellEnd"/>
            <w:r>
              <w:rPr>
                <w:sz w:val="19"/>
                <w:szCs w:val="19"/>
              </w:rPr>
              <w:t xml:space="preserve"> Protocol) : expose les outils de requête de façon standardisée, réutilisable par d'autres clients.</w:t>
            </w:r>
          </w:p>
        </w:tc>
      </w:tr>
      <w:tr w:rsidR="009C0E76" w14:paraId="39D5DDD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2EDD6C3" w14:textId="77777777" w:rsidR="009C0E76" w:rsidRDefault="00000000" w:rsidP="00CE639A">
            <w:pPr>
              <w:jc w:val="both"/>
            </w:pPr>
            <w:r>
              <w:rPr>
                <w:b/>
                <w:bCs/>
                <w:sz w:val="19"/>
                <w:szCs w:val="19"/>
              </w:rPr>
              <w:t>Périmètre données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954EB5B" w14:textId="77777777" w:rsidR="009C0E76" w:rsidRDefault="00000000" w:rsidP="00CE639A">
            <w:pPr>
              <w:jc w:val="both"/>
            </w:pPr>
            <w:r>
              <w:rPr>
                <w:sz w:val="19"/>
                <w:szCs w:val="19"/>
              </w:rPr>
              <w:t>Open DAMIR 2022-2025 (volontairement réduit pour la démonstration ; distinct du périmètre 2015-2025 du tableau de bord).</w:t>
            </w:r>
          </w:p>
        </w:tc>
      </w:tr>
    </w:tbl>
    <w:p w14:paraId="5CAC94DD" w14:textId="77777777" w:rsidR="009C0E76" w:rsidRDefault="009C0E76" w:rsidP="00CE639A">
      <w:pPr>
        <w:spacing w:after="100"/>
        <w:jc w:val="both"/>
      </w:pPr>
    </w:p>
    <w:p w14:paraId="63D7C39D" w14:textId="048CFDF4" w:rsidR="009C0E76" w:rsidRDefault="00000000" w:rsidP="00CE639A">
      <w:pPr>
        <w:spacing w:after="120"/>
        <w:jc w:val="both"/>
      </w:pPr>
      <w:r>
        <w:rPr>
          <w:color w:val="595959"/>
        </w:rPr>
        <w:t xml:space="preserve">La chaîne complète : la question en français est transmise à </w:t>
      </w:r>
      <w:proofErr w:type="spellStart"/>
      <w:r>
        <w:rPr>
          <w:color w:val="595959"/>
        </w:rPr>
        <w:t>Ollama</w:t>
      </w:r>
      <w:proofErr w:type="spellEnd"/>
      <w:r>
        <w:rPr>
          <w:color w:val="595959"/>
        </w:rPr>
        <w:t xml:space="preserve">, qui sélectionne un outil et ses paramètres ; le client Python exécute l'outil correspondant (requête </w:t>
      </w:r>
      <w:proofErr w:type="spellStart"/>
      <w:r>
        <w:rPr>
          <w:color w:val="595959"/>
        </w:rPr>
        <w:t>DuckDB</w:t>
      </w:r>
      <w:proofErr w:type="spellEnd"/>
      <w:r>
        <w:rPr>
          <w:color w:val="595959"/>
        </w:rPr>
        <w:t xml:space="preserve">) ; le résultat chiffré est reformulé en réponse lisible. </w:t>
      </w:r>
    </w:p>
    <w:p w14:paraId="67785C5D" w14:textId="2FF723C0" w:rsidR="009C0E76" w:rsidRDefault="00000000" w:rsidP="00CE639A">
      <w:pPr>
        <w:pStyle w:val="Titre1"/>
        <w:jc w:val="both"/>
      </w:pPr>
      <w:r>
        <w:t xml:space="preserve">3. Le dictionnaire sémantique </w:t>
      </w:r>
    </w:p>
    <w:p w14:paraId="0F7C3F12" w14:textId="027E0D12" w:rsidR="009C0E76" w:rsidRDefault="00000000" w:rsidP="00CE639A">
      <w:pPr>
        <w:spacing w:after="120"/>
        <w:jc w:val="both"/>
      </w:pPr>
      <w:r>
        <w:t>Au cœur du dispositif se trouve un dictionnaire sémantique (fichier structuré) qui constitue le référentiel partagé entre le langage métier et les données. C'est lui qui donne au système sa fiabilité et son intelligence métier</w:t>
      </w:r>
      <w:r w:rsidR="00CE639A">
        <w:t xml:space="preserve"> </w:t>
      </w:r>
      <w:r>
        <w:t>; il ne s'agit pas d'un simple lexique de correspondances. Il regroupe :</w:t>
      </w:r>
    </w:p>
    <w:p w14:paraId="2C8C3C81" w14:textId="77777777" w:rsidR="009C0E76" w:rsidRDefault="00000000" w:rsidP="00CE639A">
      <w:pPr>
        <w:pStyle w:val="Paragraphedeliste"/>
        <w:numPr>
          <w:ilvl w:val="0"/>
          <w:numId w:val="2"/>
        </w:numPr>
        <w:spacing w:after="70"/>
        <w:jc w:val="both"/>
      </w:pPr>
      <w:r>
        <w:t>Les mesures : définition métier, colonne source, formule de calcul, synonymes et points de vigilance (ex. distinction taux de couverture / taux de remboursement).</w:t>
      </w:r>
    </w:p>
    <w:p w14:paraId="1AF9E5BA" w14:textId="77777777" w:rsidR="009C0E76" w:rsidRDefault="00000000" w:rsidP="00CE639A">
      <w:pPr>
        <w:pStyle w:val="Paragraphedeliste"/>
        <w:numPr>
          <w:ilvl w:val="0"/>
          <w:numId w:val="2"/>
        </w:numPr>
        <w:spacing w:after="70"/>
        <w:jc w:val="both"/>
      </w:pPr>
      <w:r>
        <w:t>Les dimensions : codes et libellés officiels (régions, tranches d'âge, sexe) avec leurs notes d'interprétation.</w:t>
      </w:r>
    </w:p>
    <w:p w14:paraId="7FEEC145" w14:textId="77777777" w:rsidR="009C0E76" w:rsidRDefault="00000000" w:rsidP="00CE639A">
      <w:pPr>
        <w:pStyle w:val="Paragraphedeliste"/>
        <w:numPr>
          <w:ilvl w:val="0"/>
          <w:numId w:val="2"/>
        </w:numPr>
        <w:spacing w:after="70"/>
        <w:jc w:val="both"/>
      </w:pPr>
      <w:r>
        <w:lastRenderedPageBreak/>
        <w:t>Les postes de soins : classification métier en 18 macro-catégories et sous-catégories, couverture AMO typique, et traçabilité des reclassements effectués.</w:t>
      </w:r>
    </w:p>
    <w:p w14:paraId="057976D2" w14:textId="77777777" w:rsidR="009C0E76" w:rsidRDefault="00000000" w:rsidP="00CE639A">
      <w:pPr>
        <w:pStyle w:val="Paragraphedeliste"/>
        <w:numPr>
          <w:ilvl w:val="0"/>
          <w:numId w:val="2"/>
        </w:numPr>
        <w:spacing w:after="70"/>
        <w:jc w:val="both"/>
      </w:pPr>
      <w:r>
        <w:t>Les ordres de grandeur : plages de plausibilité par poste, qui alimentent directement les garde-fous anti-hallucination.</w:t>
      </w:r>
    </w:p>
    <w:p w14:paraId="1FD0086B" w14:textId="77777777" w:rsidR="009C0E76" w:rsidRDefault="00000000" w:rsidP="00CE639A">
      <w:pPr>
        <w:pStyle w:val="Paragraphedeliste"/>
        <w:numPr>
          <w:ilvl w:val="0"/>
          <w:numId w:val="2"/>
        </w:numPr>
        <w:spacing w:after="70"/>
        <w:jc w:val="both"/>
      </w:pPr>
      <w:r>
        <w:t>Le hors-périmètre : ce que le système doit refuser explicitement, avec une réponse-type.</w:t>
      </w:r>
    </w:p>
    <w:p w14:paraId="0ADFB835" w14:textId="6F12FCDE" w:rsidR="009C0E76" w:rsidRDefault="00000000" w:rsidP="00CE639A">
      <w:pPr>
        <w:spacing w:after="120"/>
        <w:jc w:val="both"/>
      </w:pPr>
      <w:r>
        <w:rPr>
          <w:b/>
          <w:bCs/>
        </w:rPr>
        <w:t xml:space="preserve">Ce dictionnaire est ce qui permet au modèle de comprendre une question métier et de la traduire en requête juste. </w:t>
      </w:r>
    </w:p>
    <w:p w14:paraId="43AA79BC" w14:textId="77777777" w:rsidR="009C0E76" w:rsidRDefault="00000000" w:rsidP="00CE639A">
      <w:pPr>
        <w:pStyle w:val="Titre1"/>
        <w:jc w:val="both"/>
      </w:pPr>
      <w:r>
        <w:t>4. Ce que fait le MVP aujourd'hui</w:t>
      </w:r>
    </w:p>
    <w:p w14:paraId="7E0CE8C6" w14:textId="77777777" w:rsidR="009C0E76" w:rsidRDefault="00000000" w:rsidP="00CE639A">
      <w:pPr>
        <w:spacing w:after="120"/>
        <w:jc w:val="both"/>
      </w:pPr>
      <w:r>
        <w:t>Quatre familles de requêtes sont opérationnelles et validées :</w:t>
      </w:r>
    </w:p>
    <w:p w14:paraId="504AFF12" w14:textId="77777777" w:rsidR="009C0E76" w:rsidRDefault="00000000" w:rsidP="00CE639A">
      <w:pPr>
        <w:pStyle w:val="Paragraphedeliste"/>
        <w:numPr>
          <w:ilvl w:val="0"/>
          <w:numId w:val="2"/>
        </w:numPr>
        <w:spacing w:after="70"/>
        <w:jc w:val="both"/>
      </w:pPr>
      <w:r>
        <w:t>Montant global sur une année (ex. remboursements de l'Assurance Maladie en 2023).</w:t>
      </w:r>
    </w:p>
    <w:p w14:paraId="68283B37" w14:textId="77777777" w:rsidR="009C0E76" w:rsidRDefault="00000000" w:rsidP="00CE639A">
      <w:pPr>
        <w:pStyle w:val="Paragraphedeliste"/>
        <w:numPr>
          <w:ilvl w:val="0"/>
          <w:numId w:val="2"/>
        </w:numPr>
        <w:spacing w:after="70"/>
        <w:jc w:val="both"/>
      </w:pPr>
      <w:r>
        <w:t>Montant par poste de soins (ex. optique, dentaire, audioprothèse, pharmacie) pour une année donnée.</w:t>
      </w:r>
    </w:p>
    <w:p w14:paraId="6A749979" w14:textId="77777777" w:rsidR="009C0E76" w:rsidRDefault="00000000" w:rsidP="00CE639A">
      <w:pPr>
        <w:pStyle w:val="Paragraphedeliste"/>
        <w:numPr>
          <w:ilvl w:val="0"/>
          <w:numId w:val="2"/>
        </w:numPr>
        <w:spacing w:after="70"/>
        <w:jc w:val="both"/>
      </w:pPr>
      <w:r>
        <w:t>Comparaison entre deux années avec calcul de l'évolution en pourcentage.</w:t>
      </w:r>
    </w:p>
    <w:p w14:paraId="1630B7C3" w14:textId="77777777" w:rsidR="009C0E76" w:rsidRDefault="00000000" w:rsidP="00CE639A">
      <w:pPr>
        <w:pStyle w:val="Paragraphedeliste"/>
        <w:numPr>
          <w:ilvl w:val="0"/>
          <w:numId w:val="2"/>
        </w:numPr>
        <w:spacing w:after="70"/>
        <w:jc w:val="both"/>
      </w:pPr>
      <w:r>
        <w:t>Refus explicite lorsqu'une demande sort du périmètre (ex. un poste non remboursé), sans produire de chiffre erroné.</w:t>
      </w:r>
    </w:p>
    <w:p w14:paraId="66067088" w14:textId="77777777" w:rsidR="009C0E76" w:rsidRDefault="00000000" w:rsidP="00CE639A">
      <w:pPr>
        <w:spacing w:after="120"/>
        <w:jc w:val="both"/>
      </w:pPr>
      <w:r>
        <w:rPr>
          <w:b/>
          <w:bCs/>
        </w:rPr>
        <w:t>Point de validation important : les montants par poste retournés par l'assistant correspondent exactement à ceux du tableau de bord Power BI. Les deux outils sont donc cohérents entre eux.</w:t>
      </w:r>
    </w:p>
    <w:p w14:paraId="2017F031" w14:textId="77777777" w:rsidR="009C0E76" w:rsidRDefault="00000000" w:rsidP="00CE639A">
      <w:pPr>
        <w:pStyle w:val="Titre1"/>
        <w:jc w:val="both"/>
      </w:pPr>
      <w:r>
        <w:t>5. Fiabilité et garde-fous</w:t>
      </w:r>
    </w:p>
    <w:p w14:paraId="51665906" w14:textId="77777777" w:rsidR="009C0E76" w:rsidRDefault="00000000" w:rsidP="00CE639A">
      <w:pPr>
        <w:spacing w:after="120"/>
        <w:jc w:val="both"/>
      </w:pPr>
      <w:r>
        <w:t>La démonstration a permis d'identifier et de traiter les comportements typiques d'un petit modèle local : variations orthographiques (accents, pluriels), traduction spontanée de termes en anglais, formulations imprévues. La robustesse repose sur le code, qui interprète avec souplesse les paramètres proposés par le modèle.</w:t>
      </w:r>
    </w:p>
    <w:p w14:paraId="5E72111F" w14:textId="77777777" w:rsidR="009C0E76" w:rsidRDefault="00000000" w:rsidP="00CE639A">
      <w:pPr>
        <w:spacing w:after="120"/>
        <w:jc w:val="both"/>
      </w:pPr>
      <w:r>
        <w:t>Un garde-fou anti-hallucination a été ajouté : si le poste demandé n'est pas reconnu avec certitude dans le périmètre, le système refuse de répondre plutôt que de rapprocher la demande d'un poste approchant. Cela évite, par exemple, qu'une demande hors périmètre se voie attribuer par erreur un montant existant.</w:t>
      </w:r>
    </w:p>
    <w:p w14:paraId="5907B936" w14:textId="77777777" w:rsidR="009C0E76" w:rsidRDefault="00000000" w:rsidP="00CE639A">
      <w:pPr>
        <w:pStyle w:val="Titre1"/>
        <w:jc w:val="both"/>
      </w:pPr>
      <w:r>
        <w:t>6. Trajectoire vers une V1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7"/>
        <w:gridCol w:w="6237"/>
        <w:gridCol w:w="1706"/>
      </w:tblGrid>
      <w:tr w:rsidR="009C0E76" w14:paraId="6E097F7F" w14:textId="77777777" w:rsidTr="00CE639A">
        <w:tblPrEx>
          <w:tblCellMar>
            <w:top w:w="0" w:type="dxa"/>
            <w:bottom w:w="0" w:type="dxa"/>
          </w:tblCellMar>
        </w:tblPrEx>
        <w:tc>
          <w:tcPr>
            <w:tcW w:w="1417" w:type="dxa"/>
            <w:tcBorders>
              <w:top w:val="single" w:sz="1" w:space="0" w:color="CCCCCC"/>
              <w:left w:val="single" w:sz="1" w:space="0" w:color="CCCCCC"/>
              <w:bottom w:val="single" w:sz="1" w:space="0" w:color="CCCCCC"/>
              <w:right w:val="single" w:sz="1" w:space="0" w:color="CCCCCC"/>
            </w:tcBorders>
            <w:shd w:val="clear" w:color="auto" w:fill="1E3A6E"/>
            <w:tcMar>
              <w:top w:w="70" w:type="dxa"/>
              <w:left w:w="110" w:type="dxa"/>
              <w:bottom w:w="70" w:type="dxa"/>
              <w:right w:w="110" w:type="dxa"/>
            </w:tcMar>
          </w:tcPr>
          <w:p w14:paraId="18593C7D" w14:textId="77777777" w:rsidR="009C0E76" w:rsidRDefault="00000000" w:rsidP="00CE639A">
            <w:pPr>
              <w:jc w:val="both"/>
            </w:pPr>
            <w:r>
              <w:rPr>
                <w:b/>
                <w:bCs/>
                <w:color w:val="FFFFFF"/>
                <w:sz w:val="19"/>
                <w:szCs w:val="19"/>
              </w:rPr>
              <w:t>Étape</w:t>
            </w:r>
          </w:p>
        </w:tc>
        <w:tc>
          <w:tcPr>
            <w:tcW w:w="6237" w:type="dxa"/>
            <w:tcBorders>
              <w:top w:val="single" w:sz="1" w:space="0" w:color="CCCCCC"/>
              <w:left w:val="single" w:sz="1" w:space="0" w:color="CCCCCC"/>
              <w:bottom w:val="single" w:sz="1" w:space="0" w:color="CCCCCC"/>
              <w:right w:val="single" w:sz="1" w:space="0" w:color="CCCCCC"/>
            </w:tcBorders>
            <w:shd w:val="clear" w:color="auto" w:fill="1E3A6E"/>
            <w:tcMar>
              <w:top w:w="70" w:type="dxa"/>
              <w:left w:w="110" w:type="dxa"/>
              <w:bottom w:w="70" w:type="dxa"/>
              <w:right w:w="110" w:type="dxa"/>
            </w:tcMar>
          </w:tcPr>
          <w:p w14:paraId="32724228" w14:textId="77777777" w:rsidR="009C0E76" w:rsidRDefault="00000000" w:rsidP="00CE639A">
            <w:pPr>
              <w:jc w:val="both"/>
            </w:pPr>
            <w:r>
              <w:rPr>
                <w:b/>
                <w:bCs/>
                <w:color w:val="FFFFFF"/>
                <w:sz w:val="19"/>
                <w:szCs w:val="19"/>
              </w:rPr>
              <w:t>Contenu</w:t>
            </w:r>
          </w:p>
        </w:tc>
        <w:tc>
          <w:tcPr>
            <w:tcW w:w="1706" w:type="dxa"/>
            <w:tcBorders>
              <w:top w:val="single" w:sz="1" w:space="0" w:color="CCCCCC"/>
              <w:left w:val="single" w:sz="1" w:space="0" w:color="CCCCCC"/>
              <w:bottom w:val="single" w:sz="1" w:space="0" w:color="CCCCCC"/>
              <w:right w:val="single" w:sz="1" w:space="0" w:color="CCCCCC"/>
            </w:tcBorders>
            <w:shd w:val="clear" w:color="auto" w:fill="1E3A6E"/>
            <w:tcMar>
              <w:top w:w="70" w:type="dxa"/>
              <w:left w:w="110" w:type="dxa"/>
              <w:bottom w:w="70" w:type="dxa"/>
              <w:right w:w="110" w:type="dxa"/>
            </w:tcMar>
          </w:tcPr>
          <w:p w14:paraId="6460BB97" w14:textId="77777777" w:rsidR="009C0E76" w:rsidRDefault="00000000" w:rsidP="00CE639A">
            <w:pPr>
              <w:jc w:val="both"/>
            </w:pPr>
            <w:r>
              <w:rPr>
                <w:b/>
                <w:bCs/>
                <w:color w:val="FFFFFF"/>
                <w:sz w:val="19"/>
                <w:szCs w:val="19"/>
              </w:rPr>
              <w:t>Horizon</w:t>
            </w:r>
          </w:p>
        </w:tc>
      </w:tr>
      <w:tr w:rsidR="009C0E76" w14:paraId="75E85127" w14:textId="77777777" w:rsidTr="00CE639A">
        <w:tblPrEx>
          <w:tblCellMar>
            <w:top w:w="0" w:type="dxa"/>
            <w:bottom w:w="0" w:type="dxa"/>
          </w:tblCellMar>
        </w:tblPrEx>
        <w:tc>
          <w:tcPr>
            <w:tcW w:w="1417" w:type="dxa"/>
            <w:tcBorders>
              <w:top w:val="single" w:sz="1" w:space="0" w:color="CCCCCC"/>
              <w:left w:val="single" w:sz="1" w:space="0" w:color="CCCCCC"/>
              <w:bottom w:val="single" w:sz="1" w:space="0" w:color="CCCCCC"/>
              <w:right w:val="single" w:sz="1" w:space="0" w:color="CCCCCC"/>
            </w:tcBorders>
            <w:shd w:val="clear" w:color="auto" w:fill="EAF3F2"/>
            <w:tcMar>
              <w:top w:w="70" w:type="dxa"/>
              <w:left w:w="110" w:type="dxa"/>
              <w:bottom w:w="70" w:type="dxa"/>
              <w:right w:w="110" w:type="dxa"/>
            </w:tcMar>
          </w:tcPr>
          <w:p w14:paraId="7D6D1DB3" w14:textId="77777777" w:rsidR="009C0E76" w:rsidRDefault="00000000" w:rsidP="00CE639A">
            <w:pPr>
              <w:jc w:val="both"/>
            </w:pPr>
            <w:r>
              <w:rPr>
                <w:b/>
                <w:bCs/>
                <w:sz w:val="19"/>
                <w:szCs w:val="19"/>
              </w:rPr>
              <w:t>MVP (actuel)</w:t>
            </w:r>
          </w:p>
        </w:tc>
        <w:tc>
          <w:tcPr>
            <w:tcW w:w="6237" w:type="dxa"/>
            <w:tcBorders>
              <w:top w:val="single" w:sz="1" w:space="0" w:color="CCCCCC"/>
              <w:left w:val="single" w:sz="1" w:space="0" w:color="CCCCCC"/>
              <w:bottom w:val="single" w:sz="1" w:space="0" w:color="CCCCCC"/>
              <w:right w:val="single" w:sz="1" w:space="0" w:color="CCCCCC"/>
            </w:tcBorders>
            <w:shd w:val="clear" w:color="auto" w:fill="EAF3F2"/>
            <w:tcMar>
              <w:top w:w="70" w:type="dxa"/>
              <w:left w:w="110" w:type="dxa"/>
              <w:bottom w:w="70" w:type="dxa"/>
              <w:right w:w="110" w:type="dxa"/>
            </w:tcMar>
          </w:tcPr>
          <w:p w14:paraId="5E1951E3" w14:textId="77777777" w:rsidR="009C0E76" w:rsidRDefault="00000000" w:rsidP="00CE639A">
            <w:pPr>
              <w:jc w:val="both"/>
            </w:pPr>
            <w:r>
              <w:rPr>
                <w:sz w:val="19"/>
                <w:szCs w:val="19"/>
              </w:rPr>
              <w:t>4 types de questions opérationnels, chiffres validés contre le tableau de bord, garde-fou anti-hallucination.</w:t>
            </w:r>
          </w:p>
        </w:tc>
        <w:tc>
          <w:tcPr>
            <w:tcW w:w="1706" w:type="dxa"/>
            <w:tcBorders>
              <w:top w:val="single" w:sz="1" w:space="0" w:color="CCCCCC"/>
              <w:left w:val="single" w:sz="1" w:space="0" w:color="CCCCCC"/>
              <w:bottom w:val="single" w:sz="1" w:space="0" w:color="CCCCCC"/>
              <w:right w:val="single" w:sz="1" w:space="0" w:color="CCCCCC"/>
            </w:tcBorders>
            <w:shd w:val="clear" w:color="auto" w:fill="EAF3F2"/>
            <w:tcMar>
              <w:top w:w="70" w:type="dxa"/>
              <w:left w:w="110" w:type="dxa"/>
              <w:bottom w:w="70" w:type="dxa"/>
              <w:right w:w="110" w:type="dxa"/>
            </w:tcMar>
          </w:tcPr>
          <w:p w14:paraId="0C676708" w14:textId="77777777" w:rsidR="009C0E76" w:rsidRDefault="00000000" w:rsidP="00CE639A">
            <w:pPr>
              <w:jc w:val="both"/>
            </w:pPr>
            <w:r>
              <w:rPr>
                <w:sz w:val="19"/>
                <w:szCs w:val="19"/>
              </w:rPr>
              <w:t>Réalisé</w:t>
            </w:r>
          </w:p>
        </w:tc>
      </w:tr>
      <w:tr w:rsidR="009C0E76" w14:paraId="4363F15C" w14:textId="77777777" w:rsidTr="00CE639A">
        <w:tblPrEx>
          <w:tblCellMar>
            <w:top w:w="0" w:type="dxa"/>
            <w:bottom w:w="0" w:type="dxa"/>
          </w:tblCellMar>
        </w:tblPrEx>
        <w:trPr>
          <w:trHeight w:val="824"/>
        </w:trPr>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C7E4EA9" w14:textId="77777777" w:rsidR="009C0E76" w:rsidRDefault="00000000" w:rsidP="00CE639A">
            <w:pPr>
              <w:jc w:val="both"/>
            </w:pPr>
            <w:r>
              <w:rPr>
                <w:b/>
                <w:bCs/>
                <w:sz w:val="19"/>
                <w:szCs w:val="19"/>
              </w:rPr>
              <w:t>V1</w:t>
            </w:r>
          </w:p>
        </w:tc>
        <w:tc>
          <w:tcPr>
            <w:tcW w:w="623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49C8F39" w14:textId="77777777" w:rsidR="009C0E76" w:rsidRDefault="00000000" w:rsidP="00CE639A">
            <w:pPr>
              <w:jc w:val="both"/>
            </w:pPr>
            <w:r>
              <w:rPr>
                <w:sz w:val="19"/>
                <w:szCs w:val="19"/>
              </w:rPr>
              <w:t>Enrichissement du dictionnaire sémantique (chantier principal), élargissement du périmètre temporel, enrichissement des outils (dimensions géo/âge/sexe).</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52F51DA" w14:textId="77777777" w:rsidR="009C0E76" w:rsidRDefault="00000000" w:rsidP="00CE639A">
            <w:pPr>
              <w:jc w:val="both"/>
            </w:pPr>
            <w:r>
              <w:rPr>
                <w:sz w:val="19"/>
                <w:szCs w:val="19"/>
              </w:rPr>
              <w:t>Horizon à cadrer</w:t>
            </w:r>
          </w:p>
        </w:tc>
      </w:tr>
    </w:tbl>
    <w:p w14:paraId="6627492D" w14:textId="77777777" w:rsidR="009C0E76" w:rsidRDefault="009C0E76" w:rsidP="00CE639A">
      <w:pPr>
        <w:spacing w:after="100"/>
        <w:jc w:val="both"/>
      </w:pPr>
    </w:p>
    <w:p w14:paraId="0C2F39BD" w14:textId="1C699BC4" w:rsidR="009C0E76" w:rsidRDefault="00000000" w:rsidP="00CE639A">
      <w:pPr>
        <w:spacing w:after="120"/>
        <w:jc w:val="both"/>
      </w:pPr>
      <w:r>
        <w:rPr>
          <w:color w:val="595959"/>
        </w:rPr>
        <w:t>Le MVP est fonctionnellement complet pour la démonstration. Le passage à une V1 reposera avant tout sur l'enrichissement du dictionnaire sémantique. S'y ajoutent l'élargissement du périmètre couvert et l'enrichissement des outils de requête. Ces évolutions s'appuient sur l'architecture déjà en place, sans refonte. Aucune échéance n'est arrêtée à ce stade ; l'effort dépendra surtout de l'ampleur donnée à l'enrichissement du dictionnaire.</w:t>
      </w:r>
    </w:p>
    <w:p w14:paraId="0AC6BAD7" w14:textId="77777777" w:rsidR="009C0E76" w:rsidRDefault="00000000" w:rsidP="00CE639A">
      <w:pPr>
        <w:pStyle w:val="Titre1"/>
        <w:jc w:val="both"/>
      </w:pPr>
      <w:r>
        <w:lastRenderedPageBreak/>
        <w:t>7. Points d'attention</w:t>
      </w:r>
    </w:p>
    <w:p w14:paraId="04FA7FE8" w14:textId="77777777" w:rsidR="009C0E76" w:rsidRDefault="00000000" w:rsidP="00CE639A">
      <w:pPr>
        <w:pStyle w:val="Paragraphedeliste"/>
        <w:numPr>
          <w:ilvl w:val="0"/>
          <w:numId w:val="2"/>
        </w:numPr>
        <w:spacing w:after="70"/>
        <w:jc w:val="both"/>
      </w:pPr>
      <w:r>
        <w:t>Ressources : le modèle local est exigeant en mémoire ; un poste correctement dimensionné est nécessaire pour un temps de réponse confortable.</w:t>
      </w:r>
    </w:p>
    <w:p w14:paraId="053ACDCD" w14:textId="5D2D9C1D" w:rsidR="009C0E76" w:rsidRDefault="00000000" w:rsidP="00CE639A">
      <w:pPr>
        <w:pStyle w:val="Paragraphedeliste"/>
        <w:numPr>
          <w:ilvl w:val="0"/>
          <w:numId w:val="2"/>
        </w:numPr>
        <w:spacing w:after="70"/>
        <w:jc w:val="both"/>
      </w:pPr>
      <w:r>
        <w:t>Périmètre : le MVP est volontairement limité à 2022-2025, distinct du périmètre du tableau de bord ; à aligner selon les besoins.</w:t>
      </w:r>
    </w:p>
    <w:sectPr w:rsidR="009C0E7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0524B"/>
    <w:multiLevelType w:val="hybridMultilevel"/>
    <w:tmpl w:val="8510449E"/>
    <w:lvl w:ilvl="0" w:tplc="C5A4D1B2">
      <w:start w:val="1"/>
      <w:numFmt w:val="bullet"/>
      <w:lvlText w:val="●"/>
      <w:lvlJc w:val="left"/>
      <w:pPr>
        <w:ind w:left="720" w:hanging="360"/>
      </w:pPr>
    </w:lvl>
    <w:lvl w:ilvl="1" w:tplc="0F9C1284">
      <w:start w:val="1"/>
      <w:numFmt w:val="bullet"/>
      <w:lvlText w:val="○"/>
      <w:lvlJc w:val="left"/>
      <w:pPr>
        <w:ind w:left="1440" w:hanging="360"/>
      </w:pPr>
    </w:lvl>
    <w:lvl w:ilvl="2" w:tplc="D180A3D4">
      <w:start w:val="1"/>
      <w:numFmt w:val="bullet"/>
      <w:lvlText w:val="■"/>
      <w:lvlJc w:val="left"/>
      <w:pPr>
        <w:ind w:left="2160" w:hanging="360"/>
      </w:pPr>
    </w:lvl>
    <w:lvl w:ilvl="3" w:tplc="6FF482EC">
      <w:start w:val="1"/>
      <w:numFmt w:val="bullet"/>
      <w:lvlText w:val="●"/>
      <w:lvlJc w:val="left"/>
      <w:pPr>
        <w:ind w:left="2880" w:hanging="360"/>
      </w:pPr>
    </w:lvl>
    <w:lvl w:ilvl="4" w:tplc="107CEAD2">
      <w:start w:val="1"/>
      <w:numFmt w:val="bullet"/>
      <w:lvlText w:val="○"/>
      <w:lvlJc w:val="left"/>
      <w:pPr>
        <w:ind w:left="3600" w:hanging="360"/>
      </w:pPr>
    </w:lvl>
    <w:lvl w:ilvl="5" w:tplc="FB861118">
      <w:start w:val="1"/>
      <w:numFmt w:val="bullet"/>
      <w:lvlText w:val="■"/>
      <w:lvlJc w:val="left"/>
      <w:pPr>
        <w:ind w:left="4320" w:hanging="360"/>
      </w:pPr>
    </w:lvl>
    <w:lvl w:ilvl="6" w:tplc="3086FC00">
      <w:start w:val="1"/>
      <w:numFmt w:val="bullet"/>
      <w:lvlText w:val="●"/>
      <w:lvlJc w:val="left"/>
      <w:pPr>
        <w:ind w:left="5040" w:hanging="360"/>
      </w:pPr>
    </w:lvl>
    <w:lvl w:ilvl="7" w:tplc="3B687FEE">
      <w:start w:val="1"/>
      <w:numFmt w:val="bullet"/>
      <w:lvlText w:val="●"/>
      <w:lvlJc w:val="left"/>
      <w:pPr>
        <w:ind w:left="5760" w:hanging="360"/>
      </w:pPr>
    </w:lvl>
    <w:lvl w:ilvl="8" w:tplc="65CCDD6C">
      <w:start w:val="1"/>
      <w:numFmt w:val="bullet"/>
      <w:lvlText w:val="●"/>
      <w:lvlJc w:val="left"/>
      <w:pPr>
        <w:ind w:left="6480" w:hanging="360"/>
      </w:pPr>
    </w:lvl>
  </w:abstractNum>
  <w:abstractNum w:abstractNumId="1" w15:restartNumberingAfterBreak="0">
    <w:nsid w:val="70C03782"/>
    <w:multiLevelType w:val="hybridMultilevel"/>
    <w:tmpl w:val="68843196"/>
    <w:lvl w:ilvl="0" w:tplc="AFE6A10E">
      <w:start w:val="1"/>
      <w:numFmt w:val="bullet"/>
      <w:lvlText w:val="•"/>
      <w:lvlJc w:val="left"/>
      <w:pPr>
        <w:ind w:left="720" w:hanging="360"/>
      </w:pPr>
    </w:lvl>
    <w:lvl w:ilvl="1" w:tplc="2CE2370E">
      <w:numFmt w:val="decimal"/>
      <w:lvlText w:val=""/>
      <w:lvlJc w:val="left"/>
    </w:lvl>
    <w:lvl w:ilvl="2" w:tplc="64A4456C">
      <w:numFmt w:val="decimal"/>
      <w:lvlText w:val=""/>
      <w:lvlJc w:val="left"/>
    </w:lvl>
    <w:lvl w:ilvl="3" w:tplc="9C96BBA8">
      <w:numFmt w:val="decimal"/>
      <w:lvlText w:val=""/>
      <w:lvlJc w:val="left"/>
    </w:lvl>
    <w:lvl w:ilvl="4" w:tplc="8BC4502A">
      <w:numFmt w:val="decimal"/>
      <w:lvlText w:val=""/>
      <w:lvlJc w:val="left"/>
    </w:lvl>
    <w:lvl w:ilvl="5" w:tplc="E5A6A87E">
      <w:numFmt w:val="decimal"/>
      <w:lvlText w:val=""/>
      <w:lvlJc w:val="left"/>
    </w:lvl>
    <w:lvl w:ilvl="6" w:tplc="661826CE">
      <w:numFmt w:val="decimal"/>
      <w:lvlText w:val=""/>
      <w:lvlJc w:val="left"/>
    </w:lvl>
    <w:lvl w:ilvl="7" w:tplc="18D64108">
      <w:numFmt w:val="decimal"/>
      <w:lvlText w:val=""/>
      <w:lvlJc w:val="left"/>
    </w:lvl>
    <w:lvl w:ilvl="8" w:tplc="198C86A8">
      <w:numFmt w:val="decimal"/>
      <w:lvlText w:val=""/>
      <w:lvlJc w:val="left"/>
    </w:lvl>
  </w:abstractNum>
  <w:num w:numId="1" w16cid:durableId="1385640393">
    <w:abstractNumId w:val="0"/>
    <w:lvlOverride w:ilvl="0">
      <w:startOverride w:val="1"/>
    </w:lvlOverride>
  </w:num>
  <w:num w:numId="2" w16cid:durableId="19529791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E76"/>
    <w:rsid w:val="005A1524"/>
    <w:rsid w:val="006E420B"/>
    <w:rsid w:val="009C0E76"/>
    <w:rsid w:val="00CE639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3663F"/>
  <w15:docId w15:val="{584D9929-63B7-4899-B63B-11F9042BE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60" w:after="140"/>
      <w:outlineLvl w:val="0"/>
    </w:pPr>
    <w:rPr>
      <w:b/>
      <w:bCs/>
      <w:color w:val="5B2D82"/>
      <w:sz w:val="28"/>
      <w:szCs w:val="28"/>
    </w:rPr>
  </w:style>
  <w:style w:type="paragraph" w:styleId="Titre2">
    <w:name w:val="heading 2"/>
    <w:uiPriority w:val="9"/>
    <w:semiHidden/>
    <w:unhideWhenUsed/>
    <w:qFormat/>
    <w:pPr>
      <w:spacing w:before="180" w:after="100"/>
      <w:outlineLvl w:val="1"/>
    </w:pPr>
    <w:rPr>
      <w:b/>
      <w:bCs/>
      <w:color w:val="1E3A6E"/>
      <w:sz w:val="23"/>
      <w:szCs w:val="23"/>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833</Words>
  <Characters>4584</Characters>
  <Application>Microsoft Office Word</Application>
  <DocSecurity>0</DocSecurity>
  <Lines>38</Lines>
  <Paragraphs>10</Paragraphs>
  <ScaleCrop>false</ScaleCrop>
  <Company>Groupe VYV</Company>
  <LinksUpToDate>false</LinksUpToDate>
  <CharactersWithSpaces>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ZOULIM Asma</cp:lastModifiedBy>
  <cp:revision>2</cp:revision>
  <dcterms:created xsi:type="dcterms:W3CDTF">2026-06-15T08:45:00Z</dcterms:created>
  <dcterms:modified xsi:type="dcterms:W3CDTF">2026-06-15T08:45:00Z</dcterms:modified>
</cp:coreProperties>
</file>