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800"/>
      </w:pPr>
    </w:p>
    <w:p>
      <w:pPr>
        <w:spacing w:after="200"/>
        <w:jc w:val="center"/>
      </w:pPr>
      <w:r>
        <w:rPr>
          <w:rFonts w:ascii="Arial" w:cs="Arial" w:eastAsia="Arial" w:hAnsi="Arial"/>
          <w:b/>
          <w:bCs/>
          <w:color w:val="1B4F72"/>
          <w:sz w:val="56"/>
          <w:szCs w:val="56"/>
        </w:rPr>
        <w:t xml:space="preserve">PROJECT NEXUS</w:t>
      </w:r>
    </w:p>
    <w:p>
      <w:pPr>
        <w:spacing w:after="100"/>
        <w:jc w:val="center"/>
      </w:pPr>
      <w:r>
        <w:rPr>
          <w:rFonts w:ascii="Arial" w:cs="Arial" w:eastAsia="Arial" w:hAnsi="Arial"/>
          <w:color w:val="2E86C1"/>
          <w:sz w:val="32"/>
          <w:szCs w:val="32"/>
        </w:rPr>
        <w:t xml:space="preserve">CRM Platform Strategy &amp; Options Analysis</w:t>
      </w:r>
    </w:p>
    <w:p>
      <w:pPr>
        <w:spacing w:after="400"/>
        <w:jc w:val="center"/>
      </w:pPr>
      <w:r>
        <w:rPr>
          <w:rFonts w:ascii="Arial" w:cs="Arial" w:eastAsia="Arial" w:hAnsi="Arial"/>
          <w:color w:val="7F8C8D"/>
          <w:sz w:val="24"/>
          <w:szCs w:val="24"/>
        </w:rPr>
        <w:t xml:space="preserve">Salesforce Replacement Programme for Searce Inc.</w:t>
      </w:r>
    </w:p>
    <w:p>
      <w:pPr>
        <w:pBdr>
          <w:top w:val="single" w:color="1B4F72" w:sz="6" w:space="1"/>
        </w:pBdr>
        <w:spacing w:before="200" w:after="300"/>
      </w:pPr>
    </w:p>
    <w:tbl>
      <w:tblPr>
        <w:tblW w:type="dxa" w:w="5000"/>
        <w:jc w:val="center"/>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tblGrid>
      <w:tr>
        <w:tc>
          <w:tcPr>
            <w:tcW w:type="dxa" w:w="2000"/>
            <w:tcBorders>
              <w:top w:val="none"/>
              <w:left w:val="none"/>
              <w:bottom w:val="none"/>
              <w:right w:val="none"/>
            </w:tcBorders>
            <w:tcMar>
              <w:top w:type="dxa" w:w="80"/>
              <w:left w:type="dxa" w:w="120"/>
              <w:bottom w:type="dxa" w:w="80"/>
              <w:right w:type="dxa" w:w="120"/>
            </w:tcMar>
          </w:tcPr>
          <w:p>
            <w:pPr>
              <w:jc w:val="right"/>
            </w:pPr>
            <w:r>
              <w:rPr>
                <w:rFonts w:ascii="Arial" w:cs="Arial" w:eastAsia="Arial" w:hAnsi="Arial"/>
                <w:b/>
                <w:bCs/>
                <w:color w:val="7F8C8D"/>
                <w:sz w:val="20"/>
                <w:szCs w:val="20"/>
              </w:rPr>
              <w:t xml:space="preserve">Document:</w:t>
            </w:r>
          </w:p>
        </w:tc>
        <w:tc>
          <w:tcPr>
            <w:tcW w:type="dxa" w:w="3000"/>
            <w:tcBorders>
              <w:top w:val="none"/>
              <w:left w:val="none"/>
              <w:bottom w:val="none"/>
              <w:right w:val="none"/>
            </w:tcBorders>
            <w:tcMar>
              <w:top w:type="dxa" w:w="80"/>
              <w:left w:type="dxa" w:w="120"/>
              <w:bottom w:type="dxa" w:w="80"/>
              <w:right w:type="dxa" w:w="120"/>
            </w:tcMar>
          </w:tcPr>
          <w:p>
            <w:r>
              <w:rPr>
                <w:rFonts w:ascii="Arial" w:cs="Arial" w:eastAsia="Arial" w:hAnsi="Arial"/>
                <w:sz w:val="20"/>
                <w:szCs w:val="20"/>
              </w:rPr>
              <w:t xml:space="preserve">Options Analysis &amp; Recommendation</w:t>
            </w:r>
          </w:p>
        </w:tc>
      </w:tr>
      <w:tr>
        <w:tc>
          <w:tcPr>
            <w:tcW w:type="dxa" w:w="2000"/>
            <w:tcBorders>
              <w:top w:val="none"/>
              <w:left w:val="none"/>
              <w:bottom w:val="none"/>
              <w:right w:val="none"/>
            </w:tcBorders>
            <w:tcMar>
              <w:top w:type="dxa" w:w="80"/>
              <w:left w:type="dxa" w:w="120"/>
              <w:bottom w:type="dxa" w:w="80"/>
              <w:right w:type="dxa" w:w="120"/>
            </w:tcMar>
          </w:tcPr>
          <w:p>
            <w:pPr>
              <w:jc w:val="right"/>
            </w:pPr>
            <w:r>
              <w:rPr>
                <w:rFonts w:ascii="Arial" w:cs="Arial" w:eastAsia="Arial" w:hAnsi="Arial"/>
                <w:b/>
                <w:bCs/>
                <w:color w:val="7F8C8D"/>
                <w:sz w:val="20"/>
                <w:szCs w:val="20"/>
              </w:rPr>
              <w:t xml:space="preserve">Version:</w:t>
            </w:r>
          </w:p>
        </w:tc>
        <w:tc>
          <w:tcPr>
            <w:tcW w:type="dxa" w:w="3000"/>
            <w:tcBorders>
              <w:top w:val="none"/>
              <w:left w:val="none"/>
              <w:bottom w:val="none"/>
              <w:right w:val="none"/>
            </w:tcBorders>
            <w:tcMar>
              <w:top w:type="dxa" w:w="80"/>
              <w:left w:type="dxa" w:w="120"/>
              <w:bottom w:type="dxa" w:w="80"/>
              <w:right w:type="dxa" w:w="120"/>
            </w:tcMar>
          </w:tcPr>
          <w:p>
            <w:r>
              <w:rPr>
                <w:rFonts w:ascii="Arial" w:cs="Arial" w:eastAsia="Arial" w:hAnsi="Arial"/>
                <w:sz w:val="20"/>
                <w:szCs w:val="20"/>
              </w:rPr>
              <w:t xml:space="preserve">1.0</w:t>
            </w:r>
          </w:p>
        </w:tc>
      </w:tr>
      <w:tr>
        <w:tc>
          <w:tcPr>
            <w:tcW w:type="dxa" w:w="2000"/>
            <w:tcBorders>
              <w:top w:val="none"/>
              <w:left w:val="none"/>
              <w:bottom w:val="none"/>
              <w:right w:val="none"/>
            </w:tcBorders>
            <w:tcMar>
              <w:top w:type="dxa" w:w="80"/>
              <w:left w:type="dxa" w:w="120"/>
              <w:bottom w:type="dxa" w:w="80"/>
              <w:right w:type="dxa" w:w="120"/>
            </w:tcMar>
          </w:tcPr>
          <w:p>
            <w:pPr>
              <w:jc w:val="right"/>
            </w:pPr>
            <w:r>
              <w:rPr>
                <w:rFonts w:ascii="Arial" w:cs="Arial" w:eastAsia="Arial" w:hAnsi="Arial"/>
                <w:b/>
                <w:bCs/>
                <w:color w:val="7F8C8D"/>
                <w:sz w:val="20"/>
                <w:szCs w:val="20"/>
              </w:rPr>
              <w:t xml:space="preserve">Date:</w:t>
            </w:r>
          </w:p>
        </w:tc>
        <w:tc>
          <w:tcPr>
            <w:tcW w:type="dxa" w:w="3000"/>
            <w:tcBorders>
              <w:top w:val="none"/>
              <w:left w:val="none"/>
              <w:bottom w:val="none"/>
              <w:right w:val="none"/>
            </w:tcBorders>
            <w:tcMar>
              <w:top w:type="dxa" w:w="80"/>
              <w:left w:type="dxa" w:w="120"/>
              <w:bottom w:type="dxa" w:w="80"/>
              <w:right w:type="dxa" w:w="120"/>
            </w:tcMar>
          </w:tcPr>
          <w:p>
            <w:r>
              <w:rPr>
                <w:rFonts w:ascii="Arial" w:cs="Arial" w:eastAsia="Arial" w:hAnsi="Arial"/>
                <w:sz w:val="20"/>
                <w:szCs w:val="20"/>
              </w:rPr>
              <w:t xml:space="preserve">February 2026</w:t>
            </w:r>
          </w:p>
        </w:tc>
      </w:tr>
      <w:tr>
        <w:tc>
          <w:tcPr>
            <w:tcW w:type="dxa" w:w="2000"/>
            <w:tcBorders>
              <w:top w:val="none"/>
              <w:left w:val="none"/>
              <w:bottom w:val="none"/>
              <w:right w:val="none"/>
            </w:tcBorders>
            <w:tcMar>
              <w:top w:type="dxa" w:w="80"/>
              <w:left w:type="dxa" w:w="120"/>
              <w:bottom w:type="dxa" w:w="80"/>
              <w:right w:type="dxa" w:w="120"/>
            </w:tcMar>
          </w:tcPr>
          <w:p>
            <w:pPr>
              <w:jc w:val="right"/>
            </w:pPr>
            <w:r>
              <w:rPr>
                <w:rFonts w:ascii="Arial" w:cs="Arial" w:eastAsia="Arial" w:hAnsi="Arial"/>
                <w:b/>
                <w:bCs/>
                <w:color w:val="7F8C8D"/>
                <w:sz w:val="20"/>
                <w:szCs w:val="20"/>
              </w:rPr>
              <w:t xml:space="preserve">Author:</w:t>
            </w:r>
          </w:p>
        </w:tc>
        <w:tc>
          <w:tcPr>
            <w:tcW w:type="dxa" w:w="3000"/>
            <w:tcBorders>
              <w:top w:val="none"/>
              <w:left w:val="none"/>
              <w:bottom w:val="none"/>
              <w:right w:val="none"/>
            </w:tcBorders>
            <w:tcMar>
              <w:top w:type="dxa" w:w="80"/>
              <w:left w:type="dxa" w:w="120"/>
              <w:bottom w:type="dxa" w:w="80"/>
              <w:right w:type="dxa" w:w="120"/>
            </w:tcMar>
          </w:tcPr>
          <w:p>
            <w:r>
              <w:rPr>
                <w:rFonts w:ascii="Arial" w:cs="Arial" w:eastAsia="Arial" w:hAnsi="Arial"/>
                <w:sz w:val="20"/>
                <w:szCs w:val="20"/>
              </w:rPr>
              <w:t xml:space="preserve">Allan Smeyatsky</w:t>
            </w:r>
          </w:p>
        </w:tc>
      </w:tr>
      <w:tr>
        <w:tc>
          <w:tcPr>
            <w:tcW w:type="dxa" w:w="2000"/>
            <w:tcBorders>
              <w:top w:val="none"/>
              <w:left w:val="none"/>
              <w:bottom w:val="none"/>
              <w:right w:val="none"/>
            </w:tcBorders>
            <w:tcMar>
              <w:top w:type="dxa" w:w="80"/>
              <w:left w:type="dxa" w:w="120"/>
              <w:bottom w:type="dxa" w:w="80"/>
              <w:right w:type="dxa" w:w="120"/>
            </w:tcMar>
          </w:tcPr>
          <w:p>
            <w:pPr>
              <w:jc w:val="right"/>
            </w:pPr>
            <w:r>
              <w:rPr>
                <w:rFonts w:ascii="Arial" w:cs="Arial" w:eastAsia="Arial" w:hAnsi="Arial"/>
                <w:b/>
                <w:bCs/>
                <w:color w:val="7F8C8D"/>
                <w:sz w:val="20"/>
                <w:szCs w:val="20"/>
              </w:rPr>
              <w:t xml:space="preserve">Sponsor:</w:t>
            </w:r>
          </w:p>
        </w:tc>
        <w:tc>
          <w:tcPr>
            <w:tcW w:type="dxa" w:w="3000"/>
            <w:tcBorders>
              <w:top w:val="none"/>
              <w:left w:val="none"/>
              <w:bottom w:val="none"/>
              <w:right w:val="none"/>
            </w:tcBorders>
            <w:tcMar>
              <w:top w:type="dxa" w:w="80"/>
              <w:left w:type="dxa" w:w="120"/>
              <w:bottom w:type="dxa" w:w="80"/>
              <w:right w:type="dxa" w:w="120"/>
            </w:tcMar>
          </w:tcPr>
          <w:p>
            <w:r>
              <w:rPr>
                <w:rFonts w:ascii="Arial" w:cs="Arial" w:eastAsia="Arial" w:hAnsi="Arial"/>
                <w:sz w:val="20"/>
                <w:szCs w:val="20"/>
              </w:rPr>
              <w:t xml:space="preserve">CEO, Searce Inc.</w:t>
            </w:r>
          </w:p>
        </w:tc>
      </w:tr>
      <w:tr>
        <w:tc>
          <w:tcPr>
            <w:tcW w:type="dxa" w:w="2000"/>
            <w:tcBorders>
              <w:top w:val="none"/>
              <w:left w:val="none"/>
              <w:bottom w:val="none"/>
              <w:right w:val="none"/>
            </w:tcBorders>
            <w:tcMar>
              <w:top w:type="dxa" w:w="80"/>
              <w:left w:type="dxa" w:w="120"/>
              <w:bottom w:type="dxa" w:w="80"/>
              <w:right w:type="dxa" w:w="120"/>
            </w:tcMar>
          </w:tcPr>
          <w:p>
            <w:pPr>
              <w:jc w:val="right"/>
            </w:pPr>
            <w:r>
              <w:rPr>
                <w:rFonts w:ascii="Arial" w:cs="Arial" w:eastAsia="Arial" w:hAnsi="Arial"/>
                <w:b/>
                <w:bCs/>
                <w:color w:val="7F8C8D"/>
                <w:sz w:val="20"/>
                <w:szCs w:val="20"/>
              </w:rPr>
              <w:t xml:space="preserve">Classification:</w:t>
            </w:r>
          </w:p>
        </w:tc>
        <w:tc>
          <w:tcPr>
            <w:tcW w:type="dxa" w:w="3000"/>
            <w:tcBorders>
              <w:top w:val="none"/>
              <w:left w:val="none"/>
              <w:bottom w:val="none"/>
              <w:right w:val="none"/>
            </w:tcBorders>
            <w:tcMar>
              <w:top w:type="dxa" w:w="80"/>
              <w:left w:type="dxa" w:w="120"/>
              <w:bottom w:type="dxa" w:w="80"/>
              <w:right w:type="dxa" w:w="120"/>
            </w:tcMar>
          </w:tcPr>
          <w:p>
            <w:r>
              <w:rPr>
                <w:rFonts w:ascii="Arial" w:cs="Arial" w:eastAsia="Arial" w:hAnsi="Arial"/>
                <w:b/>
                <w:bCs/>
                <w:color w:val="C0392B"/>
                <w:sz w:val="20"/>
                <w:szCs w:val="20"/>
              </w:rPr>
              <w:t xml:space="preserve">INTERNAL — CONFIDENTIAL</w:t>
            </w:r>
          </w:p>
        </w:tc>
      </w:tr>
    </w:tbl>
    <w:p>
      <w:pPr>
        <w:spacing w:before="1200"/>
      </w:pPr>
    </w:p>
    <w:p>
      <w:pPr>
        <w:jc w:val="center"/>
      </w:pPr>
      <w:r>
        <w:rPr>
          <w:rFonts w:ascii="Arial" w:cs="Arial" w:eastAsia="Arial" w:hAnsi="Arial"/>
          <w:b/>
          <w:bCs/>
          <w:color w:val="1B4F72"/>
          <w:sz w:val="28"/>
          <w:szCs w:val="28"/>
        </w:rPr>
        <w:t xml:space="preserve">Searce Inc.</w:t>
      </w:r>
    </w:p>
    <w:p>
      <w:pPr>
        <w:jc w:val="center"/>
      </w:pPr>
      <w:r>
        <w:rPr>
          <w:rFonts w:ascii="Arial" w:cs="Arial" w:eastAsia="Arial" w:hAnsi="Arial"/>
          <w:color w:val="7F8C8D"/>
          <w:sz w:val="20"/>
          <w:szCs w:val="20"/>
        </w:rPr>
        <w:t xml:space="preserve">Google Cloud Premier Partner</w:t>
      </w:r>
    </w:p>
    <w:p>
      <w:pPr>
        <w:sectPr>
          <w:pgSz w:w="11906" w:h="16838" w:orient="portrait"/>
          <w:pgMar w:top="1440" w:right="1440" w:bottom="1440" w:left="1440" w:header="708" w:footer="708" w:gutter="0"/>
          <w:pgNumType/>
          <w:docGrid w:linePitch="360"/>
        </w:sectPr>
      </w:pPr>
    </w:p>
    <w:p>
      <w:pPr>
        <w:spacing w:after="400"/>
      </w:pPr>
      <w:r>
        <w:rPr>
          <w:rFonts w:ascii="Arial" w:cs="Arial" w:eastAsia="Arial" w:hAnsi="Arial"/>
          <w:b/>
          <w:bCs/>
          <w:color w:val="1B4F72"/>
          <w:sz w:val="36"/>
          <w:szCs w:val="36"/>
        </w:rPr>
        <w:t xml:space="preserve">TABLE OF CONTENTS</w:t>
      </w:r>
    </w:p>
    <w:sdt>
      <w:sdtPr>
        <w:alias w:val="TOC"/>
      </w:sdtPr>
      <w:sdtContent>
        <w:p>
          <w:r>
            <w:fldChar w:fldCharType="begin" w:dirty="true"/>
            <w:instrText xml:space="preserve">TOC \h \o "1-3"</w:instrText>
            <w:fldChar w:fldCharType="separate"/>
          </w:r>
        </w:p>
        <w:p>
          <w:r>
            <w:fldChar w:fldCharType="end"/>
          </w:r>
        </w:p>
      </w:sdtContent>
    </w:sdt>
    <w:p>
      <w:r>
        <w:br w:type="page"/>
      </w:r>
    </w:p>
    <w:p>
      <w:pPr>
        <w:pStyle w:val="Heading1"/>
        <w:spacing w:before="360" w:after="120"/>
      </w:pPr>
      <w:r>
        <w:rPr>
          <w:rFonts w:ascii="Arial" w:cs="Arial" w:eastAsia="Arial" w:hAnsi="Arial"/>
        </w:rPr>
        <w:t xml:space="preserve">1. Executive Summary</w:t>
      </w:r>
    </w:p>
    <w:p>
      <w:pPr>
        <w:pStyle w:val="Heading2"/>
        <w:spacing w:before="240" w:after="120"/>
      </w:pPr>
      <w:r>
        <w:rPr>
          <w:rFonts w:ascii="Arial" w:cs="Arial" w:eastAsia="Arial" w:hAnsi="Arial"/>
        </w:rPr>
        <w:t xml:space="preserve">1.1 Context</w:t>
      </w:r>
    </w:p>
    <w:p>
      <w:pPr>
        <w:spacing w:after="140"/>
      </w:pPr>
      <w:r>
        <w:rPr>
          <w:rFonts w:ascii="Arial" w:cs="Arial" w:eastAsia="Arial" w:hAnsi="Arial"/>
          <w:sz w:val="21"/>
          <w:szCs w:val="21"/>
        </w:rPr>
        <w:t xml:space="preserve">The CEO of Searce Inc. has directed the leadership team to evaluate replacing Salesforce CRM as part of a broader AI-native modernisation initiative. This document presents a structured analysis of five platform options, scored against weighted criteria specific to Searce’s strategic priorities, and delivers a clear recommendation for the leadership team’s decision.</w:t>
      </w:r>
    </w:p>
    <w:p>
      <w:pPr>
        <w:spacing w:after="140"/>
      </w:pPr>
      <w:r>
        <w:rPr>
          <w:rFonts w:ascii="Arial" w:cs="Arial" w:eastAsia="Arial" w:hAnsi="Arial"/>
          <w:sz w:val="21"/>
          <w:szCs w:val="21"/>
        </w:rPr>
        <w:t xml:space="preserve">Searce is a Google Cloud Premier Partner with 1,500 employees across the UK, Middle East, and India. The company uses Salesforce for sales pipeline management, account and contact management, marketing automation, and customer support. The current deployment is under-utilised relative to its cost, and the CEO has identified CRM modernisation as both an operational improvement and a market positioning opportunity.</w:t>
      </w:r>
    </w:p>
    <w:p>
      <w:pPr>
        <w:pStyle w:val="Heading2"/>
        <w:spacing w:before="240" w:after="120"/>
      </w:pPr>
      <w:r>
        <w:rPr>
          <w:rFonts w:ascii="Arial" w:cs="Arial" w:eastAsia="Arial" w:hAnsi="Arial"/>
        </w:rPr>
        <w:t xml:space="preserve">1.2 Options Evaluated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2200"/>
        <w:gridCol w:w="2800"/>
        <w:gridCol w:w="3326"/>
      </w:tblGrid>
      <w:tr>
        <w:tc>
          <w:tcPr>
            <w:tcW w:type="dxa" w:w="7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19"/>
                <w:szCs w:val="19"/>
              </w:rPr>
              <w:t xml:space="preserve">Option</w:t>
            </w:r>
          </w:p>
        </w:tc>
        <w:tc>
          <w:tcPr>
            <w:tcW w:type="dxa" w:w="2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19"/>
                <w:szCs w:val="19"/>
              </w:rPr>
              <w:t xml:space="preserve">Platform</w:t>
            </w:r>
          </w:p>
        </w:tc>
        <w:tc>
          <w:tcPr>
            <w:tcW w:type="dxa" w:w="2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19"/>
                <w:szCs w:val="19"/>
              </w:rPr>
              <w:t xml:space="preserve">Approach</w:t>
            </w:r>
          </w:p>
        </w:tc>
        <w:tc>
          <w:tcPr>
            <w:tcW w:type="dxa" w:w="3326"/>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19"/>
                <w:szCs w:val="19"/>
              </w:rPr>
              <w:t xml:space="preserve">Summary</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sz w:val="19"/>
                <w:szCs w:val="19"/>
              </w:rPr>
              <w:t xml:space="preserve">A</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19"/>
                <w:szCs w:val="19"/>
              </w:rPr>
              <w:t xml:space="preserve">Salesforce (Retain)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19"/>
                <w:szCs w:val="19"/>
              </w:rPr>
              <w:t xml:space="preserve">Optimise current deployment</w:t>
            </w:r>
          </w:p>
        </w:tc>
        <w:tc>
          <w:tcPr>
            <w:tcW w:type="dxa" w:w="33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19"/>
                <w:szCs w:val="19"/>
              </w:rPr>
              <w:t xml:space="preserve">Renegotiate contract, reduce seats, improve utilisation</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sz w:val="19"/>
                <w:szCs w:val="19"/>
              </w:rPr>
              <w:t xml:space="preserve">B</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19"/>
                <w:szCs w:val="19"/>
              </w:rPr>
              <w:t xml:space="preserve">HubSpot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19"/>
                <w:szCs w:val="19"/>
              </w:rPr>
              <w:t xml:space="preserve">SaaS migration</w:t>
            </w:r>
          </w:p>
        </w:tc>
        <w:tc>
          <w:tcPr>
            <w:tcW w:type="dxa" w:w="33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19"/>
                <w:szCs w:val="19"/>
              </w:rPr>
              <w:t xml:space="preserve">Full-suite SaaS CRM with strong marketing automation</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sz w:val="19"/>
                <w:szCs w:val="19"/>
              </w:rPr>
              <w:t xml:space="preserve">C</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19"/>
                <w:szCs w:val="19"/>
              </w:rPr>
              <w:t xml:space="preserve">Microsoft Dynamics 365</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19"/>
                <w:szCs w:val="19"/>
              </w:rPr>
              <w:t xml:space="preserve">SaaS migration</w:t>
            </w:r>
          </w:p>
        </w:tc>
        <w:tc>
          <w:tcPr>
            <w:tcW w:type="dxa" w:w="33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19"/>
                <w:szCs w:val="19"/>
              </w:rPr>
              <w:t xml:space="preserve">Enterprise CRM/ERP with Copilot AI and Microsoft ecosystem integration</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sz w:val="19"/>
                <w:szCs w:val="19"/>
              </w:rPr>
              <w:t xml:space="preserve">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19"/>
                <w:szCs w:val="19"/>
              </w:rPr>
              <w:t xml:space="preserve">Zoho CRM</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19"/>
                <w:szCs w:val="19"/>
              </w:rPr>
              <w:t xml:space="preserve">SaaS migration</w:t>
            </w:r>
          </w:p>
        </w:tc>
        <w:tc>
          <w:tcPr>
            <w:tcW w:type="dxa" w:w="33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19"/>
                <w:szCs w:val="19"/>
              </w:rPr>
              <w:t xml:space="preserve">Cost-effective full-suite CRM with extensive app ecosystem</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sz w:val="19"/>
                <w:szCs w:val="19"/>
              </w:rPr>
              <w:t xml:space="preserve">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19"/>
                <w:szCs w:val="19"/>
              </w:rPr>
              <w:t xml:space="preserve">Twenty CRM</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19"/>
                <w:szCs w:val="19"/>
              </w:rPr>
              <w:t xml:space="preserve">Open source on GCP</w:t>
            </w:r>
          </w:p>
        </w:tc>
        <w:tc>
          <w:tcPr>
            <w:tcW w:type="dxa" w:w="33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19"/>
                <w:szCs w:val="19"/>
              </w:rPr>
              <w:t xml:space="preserve">Modern open-source CRM, self-hosted on GKE, full data sovereignty</w:t>
            </w:r>
          </w:p>
        </w:tc>
      </w:tr>
    </w:tbl>
    <w:p>
      <w:pPr>
        <w:spacing w:after="140"/>
      </w:pPr>
      <w:r>
        <w:rPr>
          <w:rFonts w:ascii="Arial" w:cs="Arial" w:eastAsia="Arial" w:hAnsi="Arial"/>
          <w:sz w:val="21"/>
          <w:szCs w:val="21"/>
        </w:rPr>
        <w:t xml:space="preserve"/>
      </w:r>
    </w:p>
    <w:p>
      <w:pPr>
        <w:spacing w:after="140"/>
      </w:pPr>
      <w:r>
        <w:rPr>
          <w:rFonts w:ascii="Arial" w:cs="Arial" w:eastAsia="Arial" w:hAnsi="Arial"/>
          <w:b/>
          <w:bCs/>
          <w:i/>
          <w:iCs/>
          <w:sz w:val="21"/>
          <w:szCs w:val="21"/>
        </w:rPr>
        <w:t xml:space="preserve">Note: </w:t>
      </w:r>
      <w:r>
        <w:rPr>
          <w:rFonts w:ascii="Arial" w:cs="Arial" w:eastAsia="Arial" w:hAnsi="Arial"/>
          <w:i/>
          <w:iCs/>
          <w:sz w:val="21"/>
          <w:szCs w:val="21"/>
        </w:rPr>
        <w:t xml:space="preserve">A ‘build from scratch’ option was considered and excluded from detailed analysis. Building a production-grade CRM for 1,500 users from scratch would require 12–18 months and £500K–£1M+ in development costs, with significant ongoing maintenance burden. This is not justified when mature open-source and SaaS alternatives exist.</w:t>
      </w:r>
    </w:p>
    <w:p>
      <w:pPr>
        <w:pStyle w:val="Heading2"/>
        <w:spacing w:before="240" w:after="120"/>
      </w:pPr>
      <w:r>
        <w:rPr>
          <w:rFonts w:ascii="Arial" w:cs="Arial" w:eastAsia="Arial" w:hAnsi="Arial"/>
        </w:rPr>
        <w:t xml:space="preserve">1.3 Recommendation Summary</w:t>
      </w:r>
    </w:p>
    <w:p>
      <w:pPr>
        <w:spacing w:after="140"/>
      </w:pPr>
      <w:r>
        <w:rPr>
          <w:rFonts w:ascii="Arial" w:cs="Arial" w:eastAsia="Arial" w:hAnsi="Arial"/>
          <w:b/>
          <w:bCs/>
          <w:sz w:val="21"/>
          <w:szCs w:val="21"/>
        </w:rPr>
        <w:t xml:space="preserve">This analysis recommends Option E: Twenty CRM on Google Cloud Platform </w:t>
      </w:r>
      <w:r>
        <w:rPr>
          <w:rFonts w:ascii="Arial" w:cs="Arial" w:eastAsia="Arial" w:hAnsi="Arial"/>
          <w:sz w:val="21"/>
          <w:szCs w:val="21"/>
        </w:rPr>
        <w:t xml:space="preserve">as the primary platform, with a phased migration approach that begins with a 50-user pilot. Twenty CRM scored highest overall across the weighted evaluation criteria, offering the best combination of cost efficiency, GCP alignment, AI extensibility, and strategic value to Searce’s market positioning. A detailed justification follows in Section 6.</w:t>
      </w:r>
    </w:p>
    <w:p>
      <w:r>
        <w:br w:type="page"/>
      </w:r>
    </w:p>
    <w:p>
      <w:pPr>
        <w:pStyle w:val="Heading1"/>
        <w:spacing w:before="360" w:after="120"/>
      </w:pPr>
      <w:r>
        <w:rPr>
          <w:rFonts w:ascii="Arial" w:cs="Arial" w:eastAsia="Arial" w:hAnsi="Arial"/>
        </w:rPr>
        <w:t xml:space="preserve">2. Evaluation Framework</w:t>
      </w:r>
    </w:p>
    <w:p>
      <w:pPr>
        <w:pStyle w:val="Heading2"/>
        <w:spacing w:before="240" w:after="120"/>
      </w:pPr>
      <w:r>
        <w:rPr>
          <w:rFonts w:ascii="Arial" w:cs="Arial" w:eastAsia="Arial" w:hAnsi="Arial"/>
        </w:rPr>
        <w:t xml:space="preserve">2.1 Scoring Criteria</w:t>
      </w:r>
    </w:p>
    <w:p>
      <w:pPr>
        <w:spacing w:after="140"/>
      </w:pPr>
      <w:r>
        <w:rPr>
          <w:rFonts w:ascii="Arial" w:cs="Arial" w:eastAsia="Arial" w:hAnsi="Arial"/>
          <w:sz w:val="21"/>
          <w:szCs w:val="21"/>
        </w:rPr>
        <w:t xml:space="preserve">Each option is scored 1–5 across ten criteria. Criteria are weighted based on Searce’s strategic priorities as articulated by the CEO: AI-native modernisation, cost optimisation, and market differentiation.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2200"/>
        <w:gridCol w:w="800"/>
        <w:gridCol w:w="5526"/>
      </w:tblGrid>
      <w:tr>
        <w:tc>
          <w:tcPr>
            <w:tcW w:type="dxa" w:w="5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19"/>
                <w:szCs w:val="19"/>
              </w:rPr>
              <w:t xml:space="preserve">#</w:t>
            </w:r>
          </w:p>
        </w:tc>
        <w:tc>
          <w:tcPr>
            <w:tcW w:type="dxa" w:w="2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19"/>
                <w:szCs w:val="19"/>
              </w:rPr>
              <w:t xml:space="preserve">Criterion</w:t>
            </w:r>
          </w:p>
        </w:tc>
        <w:tc>
          <w:tcPr>
            <w:tcW w:type="dxa" w:w="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19"/>
                <w:szCs w:val="19"/>
              </w:rPr>
              <w:t xml:space="preserve">Weight</w:t>
            </w:r>
          </w:p>
        </w:tc>
        <w:tc>
          <w:tcPr>
            <w:tcW w:type="dxa" w:w="5526"/>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19"/>
                <w:szCs w:val="19"/>
              </w:rPr>
              <w:t xml:space="preserve">What We’re Measuring</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19"/>
                <w:szCs w:val="19"/>
              </w:rPr>
              <w:t xml:space="preserve">1</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19"/>
                <w:szCs w:val="19"/>
              </w:rPr>
              <w:t xml:space="preserve">Total Cost of Ownership (3-year)</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sz w:val="19"/>
                <w:szCs w:val="19"/>
              </w:rPr>
              <w:t xml:space="preserve">15%</w:t>
            </w:r>
          </w:p>
        </w:tc>
        <w:tc>
          <w:tcPr>
            <w:tcW w:type="dxa" w:w="5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19"/>
                <w:szCs w:val="19"/>
              </w:rPr>
              <w:t xml:space="preserve">Licensing, infrastructure, implementation, and ongoing operational costs over 3 years for 1,500 users</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19"/>
                <w:szCs w:val="19"/>
              </w:rPr>
              <w:t xml:space="preserve">2</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19"/>
                <w:szCs w:val="19"/>
              </w:rPr>
              <w:t xml:space="preserve">GCP Alignment</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sz w:val="19"/>
                <w:szCs w:val="19"/>
              </w:rPr>
              <w:t xml:space="preserve">15%</w:t>
            </w:r>
          </w:p>
        </w:tc>
        <w:tc>
          <w:tcPr>
            <w:tcW w:type="dxa" w:w="5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19"/>
                <w:szCs w:val="19"/>
              </w:rPr>
              <w:t xml:space="preserve">Native deployment on GCP, use of GCP managed services, alignment with Searce’s cloud strategy and partner status</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19"/>
                <w:szCs w:val="19"/>
              </w:rPr>
              <w:t xml:space="preserve">3</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19"/>
                <w:szCs w:val="19"/>
              </w:rPr>
              <w:t xml:space="preserve">AI-Native Extensibility</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sz w:val="19"/>
                <w:szCs w:val="19"/>
              </w:rPr>
              <w:t xml:space="preserve">15%</w:t>
            </w:r>
          </w:p>
        </w:tc>
        <w:tc>
          <w:tcPr>
            <w:tcW w:type="dxa" w:w="5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19"/>
                <w:szCs w:val="19"/>
              </w:rPr>
              <w:t xml:space="preserve">Ability to integrate custom AI models (Vertex AI), build conversational interfaces, and deploy capabilities beyond built-in AI</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19"/>
                <w:szCs w:val="19"/>
              </w:rPr>
              <w:t xml:space="preserve">4</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19"/>
                <w:szCs w:val="19"/>
              </w:rPr>
              <w:t xml:space="preserve">Functional Completeness</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sz w:val="19"/>
                <w:szCs w:val="19"/>
              </w:rPr>
              <w:t xml:space="preserve">12%</w:t>
            </w:r>
          </w:p>
        </w:tc>
        <w:tc>
          <w:tcPr>
            <w:tcW w:type="dxa" w:w="5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19"/>
                <w:szCs w:val="19"/>
              </w:rPr>
              <w:t xml:space="preserve">Out-of-the-box coverage of Sales, Marketing, Support, and Account Management with pipeline, automation, and reporting</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19"/>
                <w:szCs w:val="19"/>
              </w:rPr>
              <w:t xml:space="preserve">5</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19"/>
                <w:szCs w:val="19"/>
              </w:rPr>
              <w:t xml:space="preserve">Data Sovereignty &amp; Control</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sz w:val="19"/>
                <w:szCs w:val="19"/>
              </w:rPr>
              <w:t xml:space="preserve">10%</w:t>
            </w:r>
          </w:p>
        </w:tc>
        <w:tc>
          <w:tcPr>
            <w:tcW w:type="dxa" w:w="5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19"/>
                <w:szCs w:val="19"/>
              </w:rPr>
              <w:t xml:space="preserve">Full ownership and control of CRM data, hosting location, export capability, and freedom from vendor lock-in</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19"/>
                <w:szCs w:val="19"/>
              </w:rPr>
              <w:t xml:space="preserve">6</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19"/>
                <w:szCs w:val="19"/>
              </w:rPr>
              <w:t xml:space="preserve">Customisation &amp; Extensibility</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sz w:val="19"/>
                <w:szCs w:val="19"/>
              </w:rPr>
              <w:t xml:space="preserve">8%</w:t>
            </w:r>
          </w:p>
        </w:tc>
        <w:tc>
          <w:tcPr>
            <w:tcW w:type="dxa" w:w="5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19"/>
                <w:szCs w:val="19"/>
              </w:rPr>
              <w:t xml:space="preserve">Custom objects, fields, workflows, API access, and ability to adapt the platform to Searce-specific processes</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19"/>
                <w:szCs w:val="19"/>
              </w:rPr>
              <w:t xml:space="preserve">7</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19"/>
                <w:szCs w:val="19"/>
              </w:rPr>
              <w:t xml:space="preserve">Migration Complexity</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sz w:val="19"/>
                <w:szCs w:val="19"/>
              </w:rPr>
              <w:t xml:space="preserve">8%</w:t>
            </w:r>
          </w:p>
        </w:tc>
        <w:tc>
          <w:tcPr>
            <w:tcW w:type="dxa" w:w="5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19"/>
                <w:szCs w:val="19"/>
              </w:rPr>
              <w:t xml:space="preserve">Effort and risk to migrate data, workflows, integrations, and users from Salesforce to the new platform</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19"/>
                <w:szCs w:val="19"/>
              </w:rPr>
              <w:t xml:space="preserve">8</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19"/>
                <w:szCs w:val="19"/>
              </w:rPr>
              <w:t xml:space="preserve">User Experience &amp; Adoption</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sz w:val="19"/>
                <w:szCs w:val="19"/>
              </w:rPr>
              <w:t xml:space="preserve">7%</w:t>
            </w:r>
          </w:p>
        </w:tc>
        <w:tc>
          <w:tcPr>
            <w:tcW w:type="dxa" w:w="5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19"/>
                <w:szCs w:val="19"/>
              </w:rPr>
              <w:t xml:space="preserve">Modern UI/UX, mobile support, ease of use, learning curve, and expected user satisfaction versus Salesforce</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19"/>
                <w:szCs w:val="19"/>
              </w:rPr>
              <w:t xml:space="preserve">9</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19"/>
                <w:szCs w:val="19"/>
              </w:rPr>
              <w:t xml:space="preserve">Strategic Value to Clients</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sz w:val="19"/>
                <w:szCs w:val="19"/>
              </w:rPr>
              <w:t xml:space="preserve">5%</w:t>
            </w:r>
          </w:p>
        </w:tc>
        <w:tc>
          <w:tcPr>
            <w:tcW w:type="dxa" w:w="5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19"/>
                <w:szCs w:val="19"/>
              </w:rPr>
              <w:t xml:space="preserve">Potential to create reusable IP, reference architectures, and consulting offerings from the migration experience</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19"/>
                <w:szCs w:val="19"/>
              </w:rPr>
              <w:t xml:space="preserve">10</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19"/>
                <w:szCs w:val="19"/>
              </w:rPr>
              <w:t xml:space="preserve">Vendor/Community Viability</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sz w:val="19"/>
                <w:szCs w:val="19"/>
              </w:rPr>
              <w:t xml:space="preserve">5%</w:t>
            </w:r>
          </w:p>
        </w:tc>
        <w:tc>
          <w:tcPr>
            <w:tcW w:type="dxa" w:w="5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19"/>
                <w:szCs w:val="19"/>
              </w:rPr>
              <w:t xml:space="preserve">Financial stability, community size, development velocity, and long-term platform survivability</w:t>
            </w:r>
          </w:p>
        </w:tc>
      </w:tr>
    </w:tbl>
    <w:p>
      <w:pPr>
        <w:spacing w:after="140"/>
      </w:pPr>
      <w:r>
        <w:rPr>
          <w:rFonts w:ascii="Arial" w:cs="Arial" w:eastAsia="Arial" w:hAnsi="Arial"/>
          <w:sz w:val="21"/>
          <w:szCs w:val="21"/>
        </w:rPr>
        <w:t xml:space="preserve"/>
      </w:r>
    </w:p>
    <w:p>
      <w:r>
        <w:br w:type="page"/>
      </w:r>
    </w:p>
    <w:p>
      <w:pPr>
        <w:pStyle w:val="Heading1"/>
        <w:spacing w:before="360" w:after="120"/>
      </w:pPr>
      <w:r>
        <w:rPr>
          <w:rFonts w:ascii="Arial" w:cs="Arial" w:eastAsia="Arial" w:hAnsi="Arial"/>
        </w:rPr>
        <w:t xml:space="preserve">3. Options Detail</w:t>
      </w:r>
    </w:p>
    <w:p>
      <w:pPr>
        <w:pStyle w:val="Heading2"/>
        <w:spacing w:before="240" w:after="120"/>
      </w:pPr>
      <w:r>
        <w:rPr>
          <w:rFonts w:ascii="Arial" w:cs="Arial" w:eastAsia="Arial" w:hAnsi="Arial"/>
        </w:rPr>
        <w:t xml:space="preserve">3.1 Option A: Retain &amp; Optimise Salesforce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19"/>
                <w:szCs w:val="19"/>
              </w:rPr>
              <w:t xml:space="preserve">Attribute</w:t>
            </w:r>
          </w:p>
        </w:tc>
        <w:tc>
          <w:tcPr>
            <w:tcW w:type="dxa" w:w="6526"/>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19"/>
                <w:szCs w:val="19"/>
              </w:rPr>
              <w:t xml:space="preserve">Detail</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sz w:val="19"/>
                <w:szCs w:val="19"/>
              </w:rPr>
              <w:t xml:space="preserve">Approach</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19"/>
                <w:szCs w:val="19"/>
              </w:rPr>
              <w:t xml:space="preserve">Renegotiate contract at renewal, reduce seat count, improve utilisation through training and governance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sz w:val="19"/>
                <w:szCs w:val="19"/>
              </w:rPr>
              <w:t xml:space="preserve">Estimated Annual Cost</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19"/>
                <w:szCs w:val="19"/>
              </w:rPr>
              <w:t xml:space="preserve">£350,000–£650,000 (current) → £250,000–£450,000 (optimised)</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sz w:val="19"/>
                <w:szCs w:val="19"/>
              </w:rPr>
              <w:t xml:space="preserve">Implementation Effort</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19"/>
                <w:szCs w:val="19"/>
              </w:rPr>
              <w:t xml:space="preserve">Low — contract negotiation + internal cleanup (8–12 weeks)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sz w:val="19"/>
                <w:szCs w:val="19"/>
              </w:rPr>
              <w:t xml:space="preserve">AI Capabilities</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19"/>
                <w:szCs w:val="19"/>
              </w:rPr>
              <w:t xml:space="preserve">Einstein AI (add-on cost: £40–£75/user/month). Agentforce for agentic features. Limited Vertex AI integration.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sz w:val="19"/>
                <w:szCs w:val="19"/>
              </w:rPr>
              <w:t xml:space="preserve">GCP Alignment</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19"/>
                <w:szCs w:val="19"/>
              </w:rPr>
              <w:t xml:space="preserve">None — Salesforce is a competing cloud ecosystem. No GCP managed services utilised.</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sz w:val="19"/>
                <w:szCs w:val="19"/>
              </w:rPr>
              <w:t xml:space="preserve">Data Sovereignty</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19"/>
                <w:szCs w:val="19"/>
              </w:rPr>
              <w:t xml:space="preserve">Data hosted by Salesforce. Export via Data Loader/API. Vendor lock-in through Apex, Flow, custom objects.</w:t>
            </w:r>
          </w:p>
        </w:tc>
      </w:tr>
    </w:tbl>
    <w:p>
      <w:pPr>
        <w:spacing w:after="140"/>
      </w:pPr>
      <w:r>
        <w:rPr>
          <w:rFonts w:ascii="Arial" w:cs="Arial" w:eastAsia="Arial" w:hAnsi="Arial"/>
          <w:sz w:val="21"/>
          <w:szCs w:val="21"/>
        </w:rPr>
        <w:t xml:space="preserve"/>
      </w:r>
    </w:p>
    <w:p>
      <w:pPr>
        <w:spacing w:after="140"/>
      </w:pPr>
      <w:r>
        <w:rPr>
          <w:rFonts w:ascii="Arial" w:cs="Arial" w:eastAsia="Arial" w:hAnsi="Arial"/>
          <w:b/>
          <w:bCs/>
          <w:color w:val="27AE60"/>
          <w:sz w:val="21"/>
          <w:szCs w:val="21"/>
        </w:rPr>
        <w:t xml:space="preserve">Strengths: </w:t>
      </w:r>
      <w:r>
        <w:rPr>
          <w:rFonts w:ascii="Arial" w:cs="Arial" w:eastAsia="Arial" w:hAnsi="Arial"/>
          <w:sz w:val="21"/>
          <w:szCs w:val="21"/>
        </w:rPr>
        <w:t xml:space="preserve">Zero migration risk. No business disruption. Familiar to all users. Mature ecosystem with AppExchange.</w:t>
      </w:r>
    </w:p>
    <w:p>
      <w:pPr>
        <w:spacing w:after="140"/>
      </w:pPr>
      <w:r>
        <w:rPr>
          <w:rFonts w:ascii="Arial" w:cs="Arial" w:eastAsia="Arial" w:hAnsi="Arial"/>
          <w:b/>
          <w:bCs/>
          <w:color w:val="C0392B"/>
          <w:sz w:val="21"/>
          <w:szCs w:val="21"/>
        </w:rPr>
        <w:t xml:space="preserve">Weaknesses: </w:t>
      </w:r>
      <w:r>
        <w:rPr>
          <w:rFonts w:ascii="Arial" w:cs="Arial" w:eastAsia="Arial" w:hAnsi="Arial"/>
          <w:sz w:val="21"/>
          <w:szCs w:val="21"/>
        </w:rPr>
        <w:t xml:space="preserve">Highest ongoing cost. No GCP alignment. Vendor lock-in deepens. Limited AI customisation. Does not support the CEO’s modernisation mandate. Contradicts Searce’s market positioning as a cloud modernisation leader.</w:t>
      </w:r>
    </w:p>
    <w:p>
      <w:pPr>
        <w:pStyle w:val="Heading2"/>
        <w:spacing w:before="240" w:after="120"/>
      </w:pPr>
      <w:r>
        <w:rPr>
          <w:rFonts w:ascii="Arial" w:cs="Arial" w:eastAsia="Arial" w:hAnsi="Arial"/>
        </w:rPr>
        <w:t xml:space="preserve">3.2 Option B: HubSpot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19"/>
                <w:szCs w:val="19"/>
              </w:rPr>
              <w:t xml:space="preserve">Attribute</w:t>
            </w:r>
          </w:p>
        </w:tc>
        <w:tc>
          <w:tcPr>
            <w:tcW w:type="dxa" w:w="6526"/>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19"/>
                <w:szCs w:val="19"/>
              </w:rPr>
              <w:t xml:space="preserve">Detail</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sz w:val="19"/>
                <w:szCs w:val="19"/>
              </w:rPr>
              <w:t xml:space="preserve">Approach</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19"/>
                <w:szCs w:val="19"/>
              </w:rPr>
              <w:t xml:space="preserve">Migrate to HubSpot Customer Platform (Sales Hub Enterprise + Marketing Hub Enterprise + Service Hub Enterprise)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sz w:val="19"/>
                <w:szCs w:val="19"/>
              </w:rPr>
              <w:t xml:space="preserve">Estimated Annual Cost</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19"/>
                <w:szCs w:val="19"/>
              </w:rPr>
              <w:t xml:space="preserve">Sales: $75/seat/month. Marketing: $3,600/month base + contacts. Service: $130/seat/month. Total est: £200,000–£400,000/year for 1,500 users (blended, not all seats need Enterprise)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sz w:val="19"/>
                <w:szCs w:val="19"/>
              </w:rPr>
              <w:t xml:space="preserve">Implementation Effort</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19"/>
                <w:szCs w:val="19"/>
              </w:rPr>
              <w:t xml:space="preserve">Medium — 3–6 months. Strong Salesforce migration tooling. Mandatory onboarding fees (£7,000–£10,000 per Hub).</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sz w:val="19"/>
                <w:szCs w:val="19"/>
              </w:rPr>
              <w:t xml:space="preserve">AI Capabilities</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19"/>
                <w:szCs w:val="19"/>
              </w:rPr>
              <w:t xml:space="preserve">Breeze AI (integrated). Content generation, predictive lead scoring, conversation intelligence. Limited custom model support.</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sz w:val="19"/>
                <w:szCs w:val="19"/>
              </w:rPr>
              <w:t xml:space="preserve">GCP Alignment</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19"/>
                <w:szCs w:val="19"/>
              </w:rPr>
              <w:t xml:space="preserve">None — HubSpot is a proprietary SaaS platform. No GCP managed services utilised.</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sz w:val="19"/>
                <w:szCs w:val="19"/>
              </w:rPr>
              <w:t xml:space="preserve">Data Sovereignty</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19"/>
                <w:szCs w:val="19"/>
              </w:rPr>
              <w:t xml:space="preserve">Data hosted by HubSpot (AWS-backed). API export available. Moderate lock-in through workflows and custom properties.</w:t>
            </w:r>
          </w:p>
        </w:tc>
      </w:tr>
    </w:tbl>
    <w:p>
      <w:pPr>
        <w:spacing w:after="140"/>
      </w:pPr>
      <w:r>
        <w:rPr>
          <w:rFonts w:ascii="Arial" w:cs="Arial" w:eastAsia="Arial" w:hAnsi="Arial"/>
          <w:sz w:val="21"/>
          <w:szCs w:val="21"/>
        </w:rPr>
        <w:t xml:space="preserve"/>
      </w:r>
    </w:p>
    <w:p>
      <w:pPr>
        <w:spacing w:after="140"/>
      </w:pPr>
      <w:r>
        <w:rPr>
          <w:rFonts w:ascii="Arial" w:cs="Arial" w:eastAsia="Arial" w:hAnsi="Arial"/>
          <w:b/>
          <w:bCs/>
          <w:color w:val="27AE60"/>
          <w:sz w:val="21"/>
          <w:szCs w:val="21"/>
        </w:rPr>
        <w:t xml:space="preserve">Strengths: </w:t>
      </w:r>
      <w:r>
        <w:rPr>
          <w:rFonts w:ascii="Arial" w:cs="Arial" w:eastAsia="Arial" w:hAnsi="Arial"/>
          <w:sz w:val="21"/>
          <w:szCs w:val="21"/>
        </w:rPr>
        <w:t xml:space="preserve">Best-in-class marketing automation. Excellent UX. Strong onboarding and migration tools. Free CRM tier for light users. Good mid-market reputation.</w:t>
      </w:r>
    </w:p>
    <w:p>
      <w:pPr>
        <w:spacing w:after="140"/>
      </w:pPr>
      <w:r>
        <w:rPr>
          <w:rFonts w:ascii="Arial" w:cs="Arial" w:eastAsia="Arial" w:hAnsi="Arial"/>
          <w:b/>
          <w:bCs/>
          <w:color w:val="C0392B"/>
          <w:sz w:val="21"/>
          <w:szCs w:val="21"/>
        </w:rPr>
        <w:t xml:space="preserve">Weaknesses: </w:t>
      </w:r>
      <w:r>
        <w:rPr>
          <w:rFonts w:ascii="Arial" w:cs="Arial" w:eastAsia="Arial" w:hAnsi="Arial"/>
          <w:sz w:val="21"/>
          <w:szCs w:val="21"/>
        </w:rPr>
        <w:t xml:space="preserve">Expensive at enterprise scale (pricing escalates with contacts and seats). No GCP alignment. Limited AI customisation beyond built-in Breeze. Contact-based marketing pricing can spiral. Not perceived as enterprise-grade by larger clients.</w:t>
      </w:r>
    </w:p>
    <w:p>
      <w:pPr>
        <w:pStyle w:val="Heading2"/>
        <w:spacing w:before="240" w:after="120"/>
      </w:pPr>
      <w:r>
        <w:rPr>
          <w:rFonts w:ascii="Arial" w:cs="Arial" w:eastAsia="Arial" w:hAnsi="Arial"/>
        </w:rPr>
        <w:t xml:space="preserve">3.3 Option C: Microsoft Dynamics 365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19"/>
                <w:szCs w:val="19"/>
              </w:rPr>
              <w:t xml:space="preserve">Attribute</w:t>
            </w:r>
          </w:p>
        </w:tc>
        <w:tc>
          <w:tcPr>
            <w:tcW w:type="dxa" w:w="6526"/>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19"/>
                <w:szCs w:val="19"/>
              </w:rPr>
              <w:t xml:space="preserve">Detail</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sz w:val="19"/>
                <w:szCs w:val="19"/>
              </w:rPr>
              <w:t xml:space="preserve">Approach</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19"/>
                <w:szCs w:val="19"/>
              </w:rPr>
              <w:t xml:space="preserve">Migrate to Dynamics 365 Sales Enterprise + Customer Service Enterprise + Customer Insights (Marketing)</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sz w:val="19"/>
                <w:szCs w:val="19"/>
              </w:rPr>
              <w:t xml:space="preserve">Estimated Annual Cost</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19"/>
                <w:szCs w:val="19"/>
              </w:rPr>
              <w:t xml:space="preserve">Sales Enterprise: $105/user/month. Service Enterprise: $95/user/month. Customer Insights: $1,700/month/tenant. Team Members: $8/user/month. Blended est: £200,000–£350,000/year (mix of full and Team Member licences)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sz w:val="19"/>
                <w:szCs w:val="19"/>
              </w:rPr>
              <w:t xml:space="preserve">Implementation Effort</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19"/>
                <w:szCs w:val="19"/>
              </w:rPr>
              <w:t xml:space="preserve">High — 6–12 months. Dynamics implementations are notoriously complex. Requires certified partner. Estimated £100,000–£200,000 implementation cost.</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sz w:val="19"/>
                <w:szCs w:val="19"/>
              </w:rPr>
              <w:t xml:space="preserve">AI Capabilities</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19"/>
                <w:szCs w:val="19"/>
              </w:rPr>
              <w:t xml:space="preserve">Copilot for Sales ($50/user/month add-on). Strong AI integration with Microsoft ecosystem. Azure OpenAI-backed.</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sz w:val="19"/>
                <w:szCs w:val="19"/>
              </w:rPr>
              <w:t xml:space="preserve">GCP Alignment</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19"/>
                <w:szCs w:val="19"/>
              </w:rPr>
              <w:t xml:space="preserve">Negative — Dynamics 365 is deeply tied to the Microsoft Azure ecosystem. Deploying Dynamics while being a GCP Premier Partner creates strategic conflict.</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sz w:val="19"/>
                <w:szCs w:val="19"/>
              </w:rPr>
              <w:t xml:space="preserve">Data Sovereignty</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19"/>
                <w:szCs w:val="19"/>
              </w:rPr>
              <w:t xml:space="preserve">Data hosted on Azure. Dataverse provides structured access. Moderate lock-in through Power Platform dependencies.</w:t>
            </w:r>
          </w:p>
        </w:tc>
      </w:tr>
    </w:tbl>
    <w:p>
      <w:pPr>
        <w:spacing w:after="140"/>
      </w:pPr>
      <w:r>
        <w:rPr>
          <w:rFonts w:ascii="Arial" w:cs="Arial" w:eastAsia="Arial" w:hAnsi="Arial"/>
          <w:sz w:val="21"/>
          <w:szCs w:val="21"/>
        </w:rPr>
        <w:t xml:space="preserve"/>
      </w:r>
    </w:p>
    <w:p>
      <w:pPr>
        <w:spacing w:after="140"/>
      </w:pPr>
      <w:r>
        <w:rPr>
          <w:rFonts w:ascii="Arial" w:cs="Arial" w:eastAsia="Arial" w:hAnsi="Arial"/>
          <w:b/>
          <w:bCs/>
          <w:color w:val="27AE60"/>
          <w:sz w:val="21"/>
          <w:szCs w:val="21"/>
        </w:rPr>
        <w:t xml:space="preserve">Strengths: </w:t>
      </w:r>
      <w:r>
        <w:rPr>
          <w:rFonts w:ascii="Arial" w:cs="Arial" w:eastAsia="Arial" w:hAnsi="Arial"/>
          <w:sz w:val="21"/>
          <w:szCs w:val="21"/>
        </w:rPr>
        <w:t xml:space="preserve">Deep Microsoft 365 integration. Strong enterprise credentials. Copilot AI is capable. Proven at scale in large enterprises. Combined CRM/ERP potential.</w:t>
      </w:r>
    </w:p>
    <w:p>
      <w:pPr>
        <w:spacing w:after="140"/>
      </w:pPr>
      <w:r>
        <w:rPr>
          <w:rFonts w:ascii="Arial" w:cs="Arial" w:eastAsia="Arial" w:hAnsi="Arial"/>
          <w:b/>
          <w:bCs/>
          <w:color w:val="C0392B"/>
          <w:sz w:val="21"/>
          <w:szCs w:val="21"/>
        </w:rPr>
        <w:t xml:space="preserve">Weaknesses: </w:t>
      </w:r>
      <w:r>
        <w:rPr>
          <w:rFonts w:ascii="Arial" w:cs="Arial" w:eastAsia="Arial" w:hAnsi="Arial"/>
          <w:sz w:val="21"/>
          <w:szCs w:val="21"/>
        </w:rPr>
        <w:t xml:space="preserve">Worst GCP alignment of all options (actively promotes Azure). Complex and expensive implementation. Licensing model is confusing. Slow time-to-value. Moving from one proprietary giant to another does not address the CEO’s modernisation vision.</w:t>
      </w:r>
    </w:p>
    <w:p>
      <w:r>
        <w:br w:type="page"/>
      </w:r>
    </w:p>
    <w:p>
      <w:pPr>
        <w:pStyle w:val="Heading2"/>
        <w:spacing w:before="240" w:after="120"/>
      </w:pPr>
      <w:r>
        <w:rPr>
          <w:rFonts w:ascii="Arial" w:cs="Arial" w:eastAsia="Arial" w:hAnsi="Arial"/>
        </w:rPr>
        <w:t xml:space="preserve">3.4 Option D: Zoho CRM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19"/>
                <w:szCs w:val="19"/>
              </w:rPr>
              <w:t xml:space="preserve">Attribute</w:t>
            </w:r>
          </w:p>
        </w:tc>
        <w:tc>
          <w:tcPr>
            <w:tcW w:type="dxa" w:w="6526"/>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19"/>
                <w:szCs w:val="19"/>
              </w:rPr>
              <w:t xml:space="preserve">Detail</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sz w:val="19"/>
                <w:szCs w:val="19"/>
              </w:rPr>
              <w:t xml:space="preserve">Approach</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19"/>
                <w:szCs w:val="19"/>
              </w:rPr>
              <w:t xml:space="preserve">Migrate to Zoho CRM Enterprise or Zoho One (full suite: CRM + Desk + Campaigns + Analytics + 50+ apps)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sz w:val="19"/>
                <w:szCs w:val="19"/>
              </w:rPr>
              <w:t xml:space="preserve">Estimated Annual Cost</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19"/>
                <w:szCs w:val="19"/>
              </w:rPr>
              <w:t xml:space="preserve">CRM Enterprise: $40/user/month. Zoho One: $45/user/month (all apps). Est: £60,000–£80,000/year for 1,500 users at Enterprise tier (significantly lower than all other SaaS options)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sz w:val="19"/>
                <w:szCs w:val="19"/>
              </w:rPr>
              <w:t xml:space="preserve">Implementation Effort</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19"/>
                <w:szCs w:val="19"/>
              </w:rPr>
              <w:t xml:space="preserve">Medium — 3–5 months. Good Salesforce import tools. Zoho Jumpstart onboarding available ($200/hour).</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sz w:val="19"/>
                <w:szCs w:val="19"/>
              </w:rPr>
              <w:t xml:space="preserve">AI Capabilities</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19"/>
                <w:szCs w:val="19"/>
              </w:rPr>
              <w:t xml:space="preserve">Zia AI assistant (included in Enterprise): lead scoring, anomaly detection, prediction, recommendations. Limited custom model integration.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sz w:val="19"/>
                <w:szCs w:val="19"/>
              </w:rPr>
              <w:t xml:space="preserve">GCP Alignment</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19"/>
                <w:szCs w:val="19"/>
              </w:rPr>
              <w:t xml:space="preserve">Neutral — Zoho is cloud-agnostic SaaS. No GCP integration. Google Workspace integration available.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sz w:val="19"/>
                <w:szCs w:val="19"/>
              </w:rPr>
              <w:t xml:space="preserve">Data Sovereignty</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19"/>
                <w:szCs w:val="19"/>
              </w:rPr>
              <w:t xml:space="preserve">Data hosted by Zoho. API export available. Lower lock-in than Salesforce but still vendor-dependent.</w:t>
            </w:r>
          </w:p>
        </w:tc>
      </w:tr>
    </w:tbl>
    <w:p>
      <w:pPr>
        <w:spacing w:after="140"/>
      </w:pPr>
      <w:r>
        <w:rPr>
          <w:rFonts w:ascii="Arial" w:cs="Arial" w:eastAsia="Arial" w:hAnsi="Arial"/>
          <w:sz w:val="21"/>
          <w:szCs w:val="21"/>
        </w:rPr>
        <w:t xml:space="preserve"/>
      </w:r>
    </w:p>
    <w:p>
      <w:pPr>
        <w:spacing w:after="140"/>
      </w:pPr>
      <w:r>
        <w:rPr>
          <w:rFonts w:ascii="Arial" w:cs="Arial" w:eastAsia="Arial" w:hAnsi="Arial"/>
          <w:b/>
          <w:bCs/>
          <w:color w:val="27AE60"/>
          <w:sz w:val="21"/>
          <w:szCs w:val="21"/>
        </w:rPr>
        <w:t xml:space="preserve">Strengths: </w:t>
      </w:r>
      <w:r>
        <w:rPr>
          <w:rFonts w:ascii="Arial" w:cs="Arial" w:eastAsia="Arial" w:hAnsi="Arial"/>
          <w:sz w:val="21"/>
          <w:szCs w:val="21"/>
        </w:rPr>
        <w:t xml:space="preserve">Dramatically lower cost than all alternatives. Comprehensive app ecosystem (50+ integrated apps). Decent AI with Zia. Good for mid-market. Canvas UI customisation.</w:t>
      </w:r>
    </w:p>
    <w:p>
      <w:pPr>
        <w:spacing w:after="140"/>
      </w:pPr>
      <w:r>
        <w:rPr>
          <w:rFonts w:ascii="Arial" w:cs="Arial" w:eastAsia="Arial" w:hAnsi="Arial"/>
          <w:b/>
          <w:bCs/>
          <w:color w:val="C0392B"/>
          <w:sz w:val="21"/>
          <w:szCs w:val="21"/>
        </w:rPr>
        <w:t xml:space="preserve">Weaknesses: </w:t>
      </w:r>
      <w:r>
        <w:rPr>
          <w:rFonts w:ascii="Arial" w:cs="Arial" w:eastAsia="Arial" w:hAnsi="Arial"/>
          <w:sz w:val="21"/>
          <w:szCs w:val="21"/>
        </w:rPr>
        <w:t xml:space="preserve">Perceived as SMB/mid-market — may lack enterprise credibility with Searce’s larger clients. No GCP alignment. Limited AI extensibility beyond built-in Zia. UI can feel cluttered at scale. Support quality inconsistent at lower tiers.</w:t>
      </w:r>
    </w:p>
    <w:p>
      <w:pPr>
        <w:pStyle w:val="Heading2"/>
        <w:spacing w:before="240" w:after="120"/>
      </w:pPr>
      <w:r>
        <w:rPr>
          <w:rFonts w:ascii="Arial" w:cs="Arial" w:eastAsia="Arial" w:hAnsi="Arial"/>
        </w:rPr>
        <w:t xml:space="preserve">3.5 Option E: Twenty CRM on GCP (Open Source)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19"/>
                <w:szCs w:val="19"/>
              </w:rPr>
              <w:t xml:space="preserve">Attribute</w:t>
            </w:r>
          </w:p>
        </w:tc>
        <w:tc>
          <w:tcPr>
            <w:tcW w:type="dxa" w:w="6526"/>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19"/>
                <w:szCs w:val="19"/>
              </w:rPr>
              <w:t xml:space="preserve">Detail</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sz w:val="19"/>
                <w:szCs w:val="19"/>
              </w:rPr>
              <w:t xml:space="preserve">Approach</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19"/>
                <w:szCs w:val="19"/>
              </w:rPr>
              <w:t xml:space="preserve">Deploy Twenty CRM (open source, AGPL-3.0) on GKE. Customise for Sales, Marketing, Support. Integrate Vertex AI for AI-native features.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sz w:val="19"/>
                <w:szCs w:val="19"/>
              </w:rPr>
              <w:t xml:space="preserve">Estimated Annual Cost</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19"/>
                <w:szCs w:val="19"/>
              </w:rPr>
              <w:t xml:space="preserve">No licensing. GCP infrastructure: £56,000–£124,000/year. Year 1 implementation: £135,000–£205,000 (internal engineering). Year 2+ ongoing: £70,000–£140,000 (infrastructure + 0.5 FTE maintenance)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sz w:val="19"/>
                <w:szCs w:val="19"/>
              </w:rPr>
              <w:t xml:space="preserve">Implementation Effort</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19"/>
                <w:szCs w:val="19"/>
              </w:rPr>
              <w:t xml:space="preserve">High — 6–7 months. Requires custom object creation, workflow configuration, integration development, and AI layer build. Offset by Searce’s existing GCP and engineering expertise.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sz w:val="19"/>
                <w:szCs w:val="19"/>
              </w:rPr>
              <w:t xml:space="preserve">AI Capabilities</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19"/>
                <w:szCs w:val="19"/>
              </w:rPr>
              <w:t xml:space="preserve">Unlimited — full Vertex AI integration: conversational CRM (Gemini), auto-capture, predictive pipeline, smart lead scoring, meeting summarisation. No vendor AI restrictions.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sz w:val="19"/>
                <w:szCs w:val="19"/>
              </w:rPr>
              <w:t xml:space="preserve">GCP Alignment</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19"/>
                <w:szCs w:val="19"/>
              </w:rPr>
              <w:t xml:space="preserve">Maximum — GKE, Cloud SQL (PostgreSQL), Memorystore, Vertex AI, BigQuery, Cloud Operations. Searce dogfoods its own platform expertise.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sz w:val="19"/>
                <w:szCs w:val="19"/>
              </w:rPr>
              <w:t xml:space="preserve">Data Sovereignty</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19"/>
                <w:szCs w:val="19"/>
              </w:rPr>
              <w:t xml:space="preserve">Full ownership — all data in Searce’s GCP project. No vendor dependency. Can fork, extend, and customise without restrictions.</w:t>
            </w:r>
          </w:p>
        </w:tc>
      </w:tr>
    </w:tbl>
    <w:p>
      <w:pPr>
        <w:spacing w:after="140"/>
      </w:pPr>
      <w:r>
        <w:rPr>
          <w:rFonts w:ascii="Arial" w:cs="Arial" w:eastAsia="Arial" w:hAnsi="Arial"/>
          <w:sz w:val="21"/>
          <w:szCs w:val="21"/>
        </w:rPr>
        <w:t xml:space="preserve"/>
      </w:r>
    </w:p>
    <w:p>
      <w:pPr>
        <w:spacing w:after="140"/>
      </w:pPr>
      <w:r>
        <w:rPr>
          <w:rFonts w:ascii="Arial" w:cs="Arial" w:eastAsia="Arial" w:hAnsi="Arial"/>
          <w:b/>
          <w:bCs/>
          <w:color w:val="27AE60"/>
          <w:sz w:val="21"/>
          <w:szCs w:val="21"/>
        </w:rPr>
        <w:t xml:space="preserve">Strengths: </w:t>
      </w:r>
      <w:r>
        <w:rPr>
          <w:rFonts w:ascii="Arial" w:cs="Arial" w:eastAsia="Arial" w:hAnsi="Arial"/>
          <w:sz w:val="21"/>
          <w:szCs w:val="21"/>
        </w:rPr>
        <w:t xml:space="preserve">Lowest long-term cost. Maximum GCP alignment. Unlimited AI extensibility. Full data sovereignty. Creates reusable IP for client engagements. Modern tech stack (React/TypeScript/Node.js/PostgreSQL). Active open-source community (25K+ GitHub stars, v1.0 GA June 2025).</w:t>
      </w:r>
    </w:p>
    <w:p>
      <w:pPr>
        <w:spacing w:after="140"/>
      </w:pPr>
      <w:r>
        <w:rPr>
          <w:rFonts w:ascii="Arial" w:cs="Arial" w:eastAsia="Arial" w:hAnsi="Arial"/>
          <w:b/>
          <w:bCs/>
          <w:color w:val="C0392B"/>
          <w:sz w:val="21"/>
          <w:szCs w:val="21"/>
        </w:rPr>
        <w:t xml:space="preserve">Weaknesses: </w:t>
      </w:r>
      <w:r>
        <w:rPr>
          <w:rFonts w:ascii="Arial" w:cs="Arial" w:eastAsia="Arial" w:hAnsi="Arial"/>
          <w:sz w:val="21"/>
          <w:szCs w:val="21"/>
        </w:rPr>
        <w:t xml:space="preserve">Highest implementation effort. Marketing automation module less mature than HubSpot/Salesforce (may require third-party integration for advanced email marketing). Platform is young (v1.0 June 2025). Internal engineering resource required for ongoing maintenance. No vendor support SLA (community-supported).</w:t>
      </w:r>
    </w:p>
    <w:p>
      <w:r>
        <w:br w:type="page"/>
      </w:r>
    </w:p>
    <w:p>
      <w:pPr>
        <w:pStyle w:val="Heading1"/>
        <w:spacing w:before="360" w:after="120"/>
      </w:pPr>
      <w:r>
        <w:rPr>
          <w:rFonts w:ascii="Arial" w:cs="Arial" w:eastAsia="Arial" w:hAnsi="Arial"/>
        </w:rPr>
        <w:t xml:space="preserve">4. Comparative Scoring Matrix</w:t>
      </w:r>
    </w:p>
    <w:p>
      <w:pPr>
        <w:spacing w:after="140"/>
      </w:pPr>
      <w:r>
        <w:rPr>
          <w:rFonts w:ascii="Arial" w:cs="Arial" w:eastAsia="Arial" w:hAnsi="Arial"/>
          <w:sz w:val="21"/>
          <w:szCs w:val="21"/>
        </w:rPr>
        <w:t xml:space="preserve">Each option is scored 1–5 per criterion. Weighted scores are calculated using the criteria weights defined in Section 2. Colour coding: green (4–5), amber (3), red (1–2).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26"/>
        <w:gridCol w:w="1300"/>
        <w:gridCol w:w="1300"/>
        <w:gridCol w:w="1300"/>
        <w:gridCol w:w="1300"/>
        <w:gridCol w:w="1300"/>
      </w:tblGrid>
      <w:tr>
        <w:tc>
          <w:tcPr>
            <w:tcW w:type="dxa" w:w="2526"/>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19"/>
                <w:szCs w:val="19"/>
              </w:rPr>
              <w:t xml:space="preserve">Criterion (Weight)</w:t>
            </w:r>
          </w:p>
        </w:tc>
        <w:tc>
          <w:tcPr>
            <w:tcW w:type="dxa" w:w="13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19"/>
                <w:szCs w:val="19"/>
              </w:rPr>
              <w:t xml:space="preserve">A: Salesforce</w:t>
            </w:r>
          </w:p>
        </w:tc>
        <w:tc>
          <w:tcPr>
            <w:tcW w:type="dxa" w:w="13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19"/>
                <w:szCs w:val="19"/>
              </w:rPr>
              <w:t xml:space="preserve">B: HubSpot</w:t>
            </w:r>
          </w:p>
        </w:tc>
        <w:tc>
          <w:tcPr>
            <w:tcW w:type="dxa" w:w="13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19"/>
                <w:szCs w:val="19"/>
              </w:rPr>
              <w:t xml:space="preserve">C: Dynamics</w:t>
            </w:r>
          </w:p>
        </w:tc>
        <w:tc>
          <w:tcPr>
            <w:tcW w:type="dxa" w:w="13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19"/>
                <w:szCs w:val="19"/>
              </w:rPr>
              <w:t xml:space="preserve">D: Zoho</w:t>
            </w:r>
          </w:p>
        </w:tc>
        <w:tc>
          <w:tcPr>
            <w:tcW w:type="dxa" w:w="13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19"/>
                <w:szCs w:val="19"/>
              </w:rPr>
              <w:t xml:space="preserve">E: Twenty</w:t>
            </w:r>
          </w:p>
        </w:tc>
      </w:tr>
      <w:tr>
        <w:tc>
          <w:tcPr>
            <w:tcW w:type="dxa" w:w="2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sz w:val="19"/>
                <w:szCs w:val="19"/>
              </w:rPr>
              <w:t xml:space="preserve">TCO 3-Year (15%)</w:t>
            </w:r>
          </w:p>
        </w:tc>
        <w:tc>
          <w:tcPr>
            <w:tcW w:type="dxa" w:w="1300"/>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vAlign w:val="center"/>
          </w:tcPr>
          <w:p>
            <w:pPr>
              <w:jc w:val="center"/>
            </w:pPr>
            <w:r>
              <w:rPr>
                <w:rFonts w:ascii="Arial" w:cs="Arial" w:eastAsia="Arial" w:hAnsi="Arial"/>
                <w:b/>
                <w:bCs/>
                <w:color w:val="C0392B"/>
                <w:sz w:val="19"/>
                <w:szCs w:val="19"/>
              </w:rPr>
              <w:t xml:space="preserve">2/5</w:t>
            </w:r>
          </w:p>
        </w:tc>
        <w:tc>
          <w:tcPr>
            <w:tcW w:type="dxa" w:w="13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vAlign w:val="center"/>
          </w:tcPr>
          <w:p>
            <w:pPr>
              <w:jc w:val="center"/>
            </w:pPr>
            <w:r>
              <w:rPr>
                <w:rFonts w:ascii="Arial" w:cs="Arial" w:eastAsia="Arial" w:hAnsi="Arial"/>
                <w:b/>
                <w:bCs/>
                <w:color w:val="F39C12"/>
                <w:sz w:val="19"/>
                <w:szCs w:val="19"/>
              </w:rPr>
              <w:t xml:space="preserve">3/5</w:t>
            </w:r>
          </w:p>
        </w:tc>
        <w:tc>
          <w:tcPr>
            <w:tcW w:type="dxa" w:w="1300"/>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vAlign w:val="center"/>
          </w:tcPr>
          <w:p>
            <w:pPr>
              <w:jc w:val="center"/>
            </w:pPr>
            <w:r>
              <w:rPr>
                <w:rFonts w:ascii="Arial" w:cs="Arial" w:eastAsia="Arial" w:hAnsi="Arial"/>
                <w:b/>
                <w:bCs/>
                <w:color w:val="C0392B"/>
                <w:sz w:val="19"/>
                <w:szCs w:val="19"/>
              </w:rPr>
              <w:t xml:space="preserve">2/5</w:t>
            </w:r>
          </w:p>
        </w:tc>
        <w:tc>
          <w:tcPr>
            <w:tcW w:type="dxa" w:w="1300"/>
            <w:tcBorders>
              <w:top w:val="single" w:color="CCCCCC" w:sz="1"/>
              <w:left w:val="single" w:color="CCCCCC" w:sz="1"/>
              <w:bottom w:val="single" w:color="CCCCCC" w:sz="1"/>
              <w:right w:val="single" w:color="CCCCCC" w:sz="1"/>
            </w:tcBorders>
            <w:shd w:fill="E8F8F5" w:val="clear"/>
            <w:tcMar>
              <w:top w:type="dxa" w:w="80"/>
              <w:left w:type="dxa" w:w="120"/>
              <w:bottom w:type="dxa" w:w="80"/>
              <w:right w:type="dxa" w:w="120"/>
            </w:tcMar>
            <w:vAlign w:val="center"/>
          </w:tcPr>
          <w:p>
            <w:pPr>
              <w:jc w:val="center"/>
            </w:pPr>
            <w:r>
              <w:rPr>
                <w:rFonts w:ascii="Arial" w:cs="Arial" w:eastAsia="Arial" w:hAnsi="Arial"/>
                <w:b/>
                <w:bCs/>
                <w:color w:val="27AE60"/>
                <w:sz w:val="19"/>
                <w:szCs w:val="19"/>
              </w:rPr>
              <w:t xml:space="preserve">5/5</w:t>
            </w:r>
          </w:p>
        </w:tc>
        <w:tc>
          <w:tcPr>
            <w:tcW w:type="dxa" w:w="1300"/>
            <w:tcBorders>
              <w:top w:val="single" w:color="CCCCCC" w:sz="1"/>
              <w:left w:val="single" w:color="CCCCCC" w:sz="1"/>
              <w:bottom w:val="single" w:color="CCCCCC" w:sz="1"/>
              <w:right w:val="single" w:color="CCCCCC" w:sz="1"/>
            </w:tcBorders>
            <w:shd w:fill="E8F8F5" w:val="clear"/>
            <w:tcMar>
              <w:top w:type="dxa" w:w="80"/>
              <w:left w:type="dxa" w:w="120"/>
              <w:bottom w:type="dxa" w:w="80"/>
              <w:right w:type="dxa" w:w="120"/>
            </w:tcMar>
            <w:vAlign w:val="center"/>
          </w:tcPr>
          <w:p>
            <w:pPr>
              <w:jc w:val="center"/>
            </w:pPr>
            <w:r>
              <w:rPr>
                <w:rFonts w:ascii="Arial" w:cs="Arial" w:eastAsia="Arial" w:hAnsi="Arial"/>
                <w:b/>
                <w:bCs/>
                <w:color w:val="27AE60"/>
                <w:sz w:val="19"/>
                <w:szCs w:val="19"/>
              </w:rPr>
              <w:t xml:space="preserve">4/5</w:t>
            </w:r>
          </w:p>
        </w:tc>
      </w:tr>
      <w:tr>
        <w:tc>
          <w:tcPr>
            <w:tcW w:type="dxa" w:w="2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sz w:val="19"/>
                <w:szCs w:val="19"/>
              </w:rPr>
              <w:t xml:space="preserve">GCP Alignment (15%)</w:t>
            </w:r>
          </w:p>
        </w:tc>
        <w:tc>
          <w:tcPr>
            <w:tcW w:type="dxa" w:w="1300"/>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vAlign w:val="center"/>
          </w:tcPr>
          <w:p>
            <w:pPr>
              <w:jc w:val="center"/>
            </w:pPr>
            <w:r>
              <w:rPr>
                <w:rFonts w:ascii="Arial" w:cs="Arial" w:eastAsia="Arial" w:hAnsi="Arial"/>
                <w:b/>
                <w:bCs/>
                <w:color w:val="C0392B"/>
                <w:sz w:val="19"/>
                <w:szCs w:val="19"/>
              </w:rPr>
              <w:t xml:space="preserve">1/5</w:t>
            </w:r>
          </w:p>
        </w:tc>
        <w:tc>
          <w:tcPr>
            <w:tcW w:type="dxa" w:w="1300"/>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vAlign w:val="center"/>
          </w:tcPr>
          <w:p>
            <w:pPr>
              <w:jc w:val="center"/>
            </w:pPr>
            <w:r>
              <w:rPr>
                <w:rFonts w:ascii="Arial" w:cs="Arial" w:eastAsia="Arial" w:hAnsi="Arial"/>
                <w:b/>
                <w:bCs/>
                <w:color w:val="C0392B"/>
                <w:sz w:val="19"/>
                <w:szCs w:val="19"/>
              </w:rPr>
              <w:t xml:space="preserve">1/5</w:t>
            </w:r>
          </w:p>
        </w:tc>
        <w:tc>
          <w:tcPr>
            <w:tcW w:type="dxa" w:w="1300"/>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vAlign w:val="center"/>
          </w:tcPr>
          <w:p>
            <w:pPr>
              <w:jc w:val="center"/>
            </w:pPr>
            <w:r>
              <w:rPr>
                <w:rFonts w:ascii="Arial" w:cs="Arial" w:eastAsia="Arial" w:hAnsi="Arial"/>
                <w:b/>
                <w:bCs/>
                <w:color w:val="C0392B"/>
                <w:sz w:val="19"/>
                <w:szCs w:val="19"/>
              </w:rPr>
              <w:t xml:space="preserve">1/5</w:t>
            </w:r>
          </w:p>
        </w:tc>
        <w:tc>
          <w:tcPr>
            <w:tcW w:type="dxa" w:w="1300"/>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vAlign w:val="center"/>
          </w:tcPr>
          <w:p>
            <w:pPr>
              <w:jc w:val="center"/>
            </w:pPr>
            <w:r>
              <w:rPr>
                <w:rFonts w:ascii="Arial" w:cs="Arial" w:eastAsia="Arial" w:hAnsi="Arial"/>
                <w:b/>
                <w:bCs/>
                <w:color w:val="C0392B"/>
                <w:sz w:val="19"/>
                <w:szCs w:val="19"/>
              </w:rPr>
              <w:t xml:space="preserve">2/5</w:t>
            </w:r>
          </w:p>
        </w:tc>
        <w:tc>
          <w:tcPr>
            <w:tcW w:type="dxa" w:w="1300"/>
            <w:tcBorders>
              <w:top w:val="single" w:color="CCCCCC" w:sz="1"/>
              <w:left w:val="single" w:color="CCCCCC" w:sz="1"/>
              <w:bottom w:val="single" w:color="CCCCCC" w:sz="1"/>
              <w:right w:val="single" w:color="CCCCCC" w:sz="1"/>
            </w:tcBorders>
            <w:shd w:fill="E8F8F5" w:val="clear"/>
            <w:tcMar>
              <w:top w:type="dxa" w:w="80"/>
              <w:left w:type="dxa" w:w="120"/>
              <w:bottom w:type="dxa" w:w="80"/>
              <w:right w:type="dxa" w:w="120"/>
            </w:tcMar>
            <w:vAlign w:val="center"/>
          </w:tcPr>
          <w:p>
            <w:pPr>
              <w:jc w:val="center"/>
            </w:pPr>
            <w:r>
              <w:rPr>
                <w:rFonts w:ascii="Arial" w:cs="Arial" w:eastAsia="Arial" w:hAnsi="Arial"/>
                <w:b/>
                <w:bCs/>
                <w:color w:val="27AE60"/>
                <w:sz w:val="19"/>
                <w:szCs w:val="19"/>
              </w:rPr>
              <w:t xml:space="preserve">5/5</w:t>
            </w:r>
          </w:p>
        </w:tc>
      </w:tr>
      <w:tr>
        <w:tc>
          <w:tcPr>
            <w:tcW w:type="dxa" w:w="2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sz w:val="19"/>
                <w:szCs w:val="19"/>
              </w:rPr>
              <w:t xml:space="preserve">AI Extensibility (15%)</w:t>
            </w:r>
          </w:p>
        </w:tc>
        <w:tc>
          <w:tcPr>
            <w:tcW w:type="dxa" w:w="13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vAlign w:val="center"/>
          </w:tcPr>
          <w:p>
            <w:pPr>
              <w:jc w:val="center"/>
            </w:pPr>
            <w:r>
              <w:rPr>
                <w:rFonts w:ascii="Arial" w:cs="Arial" w:eastAsia="Arial" w:hAnsi="Arial"/>
                <w:b/>
                <w:bCs/>
                <w:color w:val="F39C12"/>
                <w:sz w:val="19"/>
                <w:szCs w:val="19"/>
              </w:rPr>
              <w:t xml:space="preserve">3/5</w:t>
            </w:r>
          </w:p>
        </w:tc>
        <w:tc>
          <w:tcPr>
            <w:tcW w:type="dxa" w:w="1300"/>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vAlign w:val="center"/>
          </w:tcPr>
          <w:p>
            <w:pPr>
              <w:jc w:val="center"/>
            </w:pPr>
            <w:r>
              <w:rPr>
                <w:rFonts w:ascii="Arial" w:cs="Arial" w:eastAsia="Arial" w:hAnsi="Arial"/>
                <w:b/>
                <w:bCs/>
                <w:color w:val="C0392B"/>
                <w:sz w:val="19"/>
                <w:szCs w:val="19"/>
              </w:rPr>
              <w:t xml:space="preserve">2/5</w:t>
            </w:r>
          </w:p>
        </w:tc>
        <w:tc>
          <w:tcPr>
            <w:tcW w:type="dxa" w:w="13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vAlign w:val="center"/>
          </w:tcPr>
          <w:p>
            <w:pPr>
              <w:jc w:val="center"/>
            </w:pPr>
            <w:r>
              <w:rPr>
                <w:rFonts w:ascii="Arial" w:cs="Arial" w:eastAsia="Arial" w:hAnsi="Arial"/>
                <w:b/>
                <w:bCs/>
                <w:color w:val="F39C12"/>
                <w:sz w:val="19"/>
                <w:szCs w:val="19"/>
              </w:rPr>
              <w:t xml:space="preserve">3/5</w:t>
            </w:r>
          </w:p>
        </w:tc>
        <w:tc>
          <w:tcPr>
            <w:tcW w:type="dxa" w:w="1300"/>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vAlign w:val="center"/>
          </w:tcPr>
          <w:p>
            <w:pPr>
              <w:jc w:val="center"/>
            </w:pPr>
            <w:r>
              <w:rPr>
                <w:rFonts w:ascii="Arial" w:cs="Arial" w:eastAsia="Arial" w:hAnsi="Arial"/>
                <w:b/>
                <w:bCs/>
                <w:color w:val="C0392B"/>
                <w:sz w:val="19"/>
                <w:szCs w:val="19"/>
              </w:rPr>
              <w:t xml:space="preserve">2/5</w:t>
            </w:r>
          </w:p>
        </w:tc>
        <w:tc>
          <w:tcPr>
            <w:tcW w:type="dxa" w:w="1300"/>
            <w:tcBorders>
              <w:top w:val="single" w:color="CCCCCC" w:sz="1"/>
              <w:left w:val="single" w:color="CCCCCC" w:sz="1"/>
              <w:bottom w:val="single" w:color="CCCCCC" w:sz="1"/>
              <w:right w:val="single" w:color="CCCCCC" w:sz="1"/>
            </w:tcBorders>
            <w:shd w:fill="E8F8F5" w:val="clear"/>
            <w:tcMar>
              <w:top w:type="dxa" w:w="80"/>
              <w:left w:type="dxa" w:w="120"/>
              <w:bottom w:type="dxa" w:w="80"/>
              <w:right w:type="dxa" w:w="120"/>
            </w:tcMar>
            <w:vAlign w:val="center"/>
          </w:tcPr>
          <w:p>
            <w:pPr>
              <w:jc w:val="center"/>
            </w:pPr>
            <w:r>
              <w:rPr>
                <w:rFonts w:ascii="Arial" w:cs="Arial" w:eastAsia="Arial" w:hAnsi="Arial"/>
                <w:b/>
                <w:bCs/>
                <w:color w:val="27AE60"/>
                <w:sz w:val="19"/>
                <w:szCs w:val="19"/>
              </w:rPr>
              <w:t xml:space="preserve">5/5</w:t>
            </w:r>
          </w:p>
        </w:tc>
      </w:tr>
      <w:tr>
        <w:tc>
          <w:tcPr>
            <w:tcW w:type="dxa" w:w="2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sz w:val="19"/>
                <w:szCs w:val="19"/>
              </w:rPr>
              <w:t xml:space="preserve">Functional Completeness (12%)</w:t>
            </w:r>
          </w:p>
        </w:tc>
        <w:tc>
          <w:tcPr>
            <w:tcW w:type="dxa" w:w="1300"/>
            <w:tcBorders>
              <w:top w:val="single" w:color="CCCCCC" w:sz="1"/>
              <w:left w:val="single" w:color="CCCCCC" w:sz="1"/>
              <w:bottom w:val="single" w:color="CCCCCC" w:sz="1"/>
              <w:right w:val="single" w:color="CCCCCC" w:sz="1"/>
            </w:tcBorders>
            <w:shd w:fill="E8F8F5" w:val="clear"/>
            <w:tcMar>
              <w:top w:type="dxa" w:w="80"/>
              <w:left w:type="dxa" w:w="120"/>
              <w:bottom w:type="dxa" w:w="80"/>
              <w:right w:type="dxa" w:w="120"/>
            </w:tcMar>
            <w:vAlign w:val="center"/>
          </w:tcPr>
          <w:p>
            <w:pPr>
              <w:jc w:val="center"/>
            </w:pPr>
            <w:r>
              <w:rPr>
                <w:rFonts w:ascii="Arial" w:cs="Arial" w:eastAsia="Arial" w:hAnsi="Arial"/>
                <w:b/>
                <w:bCs/>
                <w:color w:val="27AE60"/>
                <w:sz w:val="19"/>
                <w:szCs w:val="19"/>
              </w:rPr>
              <w:t xml:space="preserve">5/5</w:t>
            </w:r>
          </w:p>
        </w:tc>
        <w:tc>
          <w:tcPr>
            <w:tcW w:type="dxa" w:w="1300"/>
            <w:tcBorders>
              <w:top w:val="single" w:color="CCCCCC" w:sz="1"/>
              <w:left w:val="single" w:color="CCCCCC" w:sz="1"/>
              <w:bottom w:val="single" w:color="CCCCCC" w:sz="1"/>
              <w:right w:val="single" w:color="CCCCCC" w:sz="1"/>
            </w:tcBorders>
            <w:shd w:fill="E8F8F5" w:val="clear"/>
            <w:tcMar>
              <w:top w:type="dxa" w:w="80"/>
              <w:left w:type="dxa" w:w="120"/>
              <w:bottom w:type="dxa" w:w="80"/>
              <w:right w:type="dxa" w:w="120"/>
            </w:tcMar>
            <w:vAlign w:val="center"/>
          </w:tcPr>
          <w:p>
            <w:pPr>
              <w:jc w:val="center"/>
            </w:pPr>
            <w:r>
              <w:rPr>
                <w:rFonts w:ascii="Arial" w:cs="Arial" w:eastAsia="Arial" w:hAnsi="Arial"/>
                <w:b/>
                <w:bCs/>
                <w:color w:val="27AE60"/>
                <w:sz w:val="19"/>
                <w:szCs w:val="19"/>
              </w:rPr>
              <w:t xml:space="preserve">4/5</w:t>
            </w:r>
          </w:p>
        </w:tc>
        <w:tc>
          <w:tcPr>
            <w:tcW w:type="dxa" w:w="1300"/>
            <w:tcBorders>
              <w:top w:val="single" w:color="CCCCCC" w:sz="1"/>
              <w:left w:val="single" w:color="CCCCCC" w:sz="1"/>
              <w:bottom w:val="single" w:color="CCCCCC" w:sz="1"/>
              <w:right w:val="single" w:color="CCCCCC" w:sz="1"/>
            </w:tcBorders>
            <w:shd w:fill="E8F8F5" w:val="clear"/>
            <w:tcMar>
              <w:top w:type="dxa" w:w="80"/>
              <w:left w:type="dxa" w:w="120"/>
              <w:bottom w:type="dxa" w:w="80"/>
              <w:right w:type="dxa" w:w="120"/>
            </w:tcMar>
            <w:vAlign w:val="center"/>
          </w:tcPr>
          <w:p>
            <w:pPr>
              <w:jc w:val="center"/>
            </w:pPr>
            <w:r>
              <w:rPr>
                <w:rFonts w:ascii="Arial" w:cs="Arial" w:eastAsia="Arial" w:hAnsi="Arial"/>
                <w:b/>
                <w:bCs/>
                <w:color w:val="27AE60"/>
                <w:sz w:val="19"/>
                <w:szCs w:val="19"/>
              </w:rPr>
              <w:t xml:space="preserve">5/5</w:t>
            </w:r>
          </w:p>
        </w:tc>
        <w:tc>
          <w:tcPr>
            <w:tcW w:type="dxa" w:w="1300"/>
            <w:tcBorders>
              <w:top w:val="single" w:color="CCCCCC" w:sz="1"/>
              <w:left w:val="single" w:color="CCCCCC" w:sz="1"/>
              <w:bottom w:val="single" w:color="CCCCCC" w:sz="1"/>
              <w:right w:val="single" w:color="CCCCCC" w:sz="1"/>
            </w:tcBorders>
            <w:shd w:fill="E8F8F5" w:val="clear"/>
            <w:tcMar>
              <w:top w:type="dxa" w:w="80"/>
              <w:left w:type="dxa" w:w="120"/>
              <w:bottom w:type="dxa" w:w="80"/>
              <w:right w:type="dxa" w:w="120"/>
            </w:tcMar>
            <w:vAlign w:val="center"/>
          </w:tcPr>
          <w:p>
            <w:pPr>
              <w:jc w:val="center"/>
            </w:pPr>
            <w:r>
              <w:rPr>
                <w:rFonts w:ascii="Arial" w:cs="Arial" w:eastAsia="Arial" w:hAnsi="Arial"/>
                <w:b/>
                <w:bCs/>
                <w:color w:val="27AE60"/>
                <w:sz w:val="19"/>
                <w:szCs w:val="19"/>
              </w:rPr>
              <w:t xml:space="preserve">4/5</w:t>
            </w:r>
          </w:p>
        </w:tc>
        <w:tc>
          <w:tcPr>
            <w:tcW w:type="dxa" w:w="13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vAlign w:val="center"/>
          </w:tcPr>
          <w:p>
            <w:pPr>
              <w:jc w:val="center"/>
            </w:pPr>
            <w:r>
              <w:rPr>
                <w:rFonts w:ascii="Arial" w:cs="Arial" w:eastAsia="Arial" w:hAnsi="Arial"/>
                <w:b/>
                <w:bCs/>
                <w:color w:val="F39C12"/>
                <w:sz w:val="19"/>
                <w:szCs w:val="19"/>
              </w:rPr>
              <w:t xml:space="preserve">3/5</w:t>
            </w:r>
          </w:p>
        </w:tc>
      </w:tr>
      <w:tr>
        <w:tc>
          <w:tcPr>
            <w:tcW w:type="dxa" w:w="2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sz w:val="19"/>
                <w:szCs w:val="19"/>
              </w:rPr>
              <w:t xml:space="preserve">Data Sovereignty (10%)</w:t>
            </w:r>
          </w:p>
        </w:tc>
        <w:tc>
          <w:tcPr>
            <w:tcW w:type="dxa" w:w="1300"/>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vAlign w:val="center"/>
          </w:tcPr>
          <w:p>
            <w:pPr>
              <w:jc w:val="center"/>
            </w:pPr>
            <w:r>
              <w:rPr>
                <w:rFonts w:ascii="Arial" w:cs="Arial" w:eastAsia="Arial" w:hAnsi="Arial"/>
                <w:b/>
                <w:bCs/>
                <w:color w:val="C0392B"/>
                <w:sz w:val="19"/>
                <w:szCs w:val="19"/>
              </w:rPr>
              <w:t xml:space="preserve">2/5</w:t>
            </w:r>
          </w:p>
        </w:tc>
        <w:tc>
          <w:tcPr>
            <w:tcW w:type="dxa" w:w="1300"/>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vAlign w:val="center"/>
          </w:tcPr>
          <w:p>
            <w:pPr>
              <w:jc w:val="center"/>
            </w:pPr>
            <w:r>
              <w:rPr>
                <w:rFonts w:ascii="Arial" w:cs="Arial" w:eastAsia="Arial" w:hAnsi="Arial"/>
                <w:b/>
                <w:bCs/>
                <w:color w:val="C0392B"/>
                <w:sz w:val="19"/>
                <w:szCs w:val="19"/>
              </w:rPr>
              <w:t xml:space="preserve">2/5</w:t>
            </w:r>
          </w:p>
        </w:tc>
        <w:tc>
          <w:tcPr>
            <w:tcW w:type="dxa" w:w="1300"/>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vAlign w:val="center"/>
          </w:tcPr>
          <w:p>
            <w:pPr>
              <w:jc w:val="center"/>
            </w:pPr>
            <w:r>
              <w:rPr>
                <w:rFonts w:ascii="Arial" w:cs="Arial" w:eastAsia="Arial" w:hAnsi="Arial"/>
                <w:b/>
                <w:bCs/>
                <w:color w:val="C0392B"/>
                <w:sz w:val="19"/>
                <w:szCs w:val="19"/>
              </w:rPr>
              <w:t xml:space="preserve">2/5</w:t>
            </w:r>
          </w:p>
        </w:tc>
        <w:tc>
          <w:tcPr>
            <w:tcW w:type="dxa" w:w="1300"/>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vAlign w:val="center"/>
          </w:tcPr>
          <w:p>
            <w:pPr>
              <w:jc w:val="center"/>
            </w:pPr>
            <w:r>
              <w:rPr>
                <w:rFonts w:ascii="Arial" w:cs="Arial" w:eastAsia="Arial" w:hAnsi="Arial"/>
                <w:b/>
                <w:bCs/>
                <w:color w:val="C0392B"/>
                <w:sz w:val="19"/>
                <w:szCs w:val="19"/>
              </w:rPr>
              <w:t xml:space="preserve">2/5</w:t>
            </w:r>
          </w:p>
        </w:tc>
        <w:tc>
          <w:tcPr>
            <w:tcW w:type="dxa" w:w="1300"/>
            <w:tcBorders>
              <w:top w:val="single" w:color="CCCCCC" w:sz="1"/>
              <w:left w:val="single" w:color="CCCCCC" w:sz="1"/>
              <w:bottom w:val="single" w:color="CCCCCC" w:sz="1"/>
              <w:right w:val="single" w:color="CCCCCC" w:sz="1"/>
            </w:tcBorders>
            <w:shd w:fill="E8F8F5" w:val="clear"/>
            <w:tcMar>
              <w:top w:type="dxa" w:w="80"/>
              <w:left w:type="dxa" w:w="120"/>
              <w:bottom w:type="dxa" w:w="80"/>
              <w:right w:type="dxa" w:w="120"/>
            </w:tcMar>
            <w:vAlign w:val="center"/>
          </w:tcPr>
          <w:p>
            <w:pPr>
              <w:jc w:val="center"/>
            </w:pPr>
            <w:r>
              <w:rPr>
                <w:rFonts w:ascii="Arial" w:cs="Arial" w:eastAsia="Arial" w:hAnsi="Arial"/>
                <w:b/>
                <w:bCs/>
                <w:color w:val="27AE60"/>
                <w:sz w:val="19"/>
                <w:szCs w:val="19"/>
              </w:rPr>
              <w:t xml:space="preserve">5/5</w:t>
            </w:r>
          </w:p>
        </w:tc>
      </w:tr>
      <w:tr>
        <w:tc>
          <w:tcPr>
            <w:tcW w:type="dxa" w:w="2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sz w:val="19"/>
                <w:szCs w:val="19"/>
              </w:rPr>
              <w:t xml:space="preserve">Customisation (8%)</w:t>
            </w:r>
          </w:p>
        </w:tc>
        <w:tc>
          <w:tcPr>
            <w:tcW w:type="dxa" w:w="1300"/>
            <w:tcBorders>
              <w:top w:val="single" w:color="CCCCCC" w:sz="1"/>
              <w:left w:val="single" w:color="CCCCCC" w:sz="1"/>
              <w:bottom w:val="single" w:color="CCCCCC" w:sz="1"/>
              <w:right w:val="single" w:color="CCCCCC" w:sz="1"/>
            </w:tcBorders>
            <w:shd w:fill="E8F8F5" w:val="clear"/>
            <w:tcMar>
              <w:top w:type="dxa" w:w="80"/>
              <w:left w:type="dxa" w:w="120"/>
              <w:bottom w:type="dxa" w:w="80"/>
              <w:right w:type="dxa" w:w="120"/>
            </w:tcMar>
            <w:vAlign w:val="center"/>
          </w:tcPr>
          <w:p>
            <w:pPr>
              <w:jc w:val="center"/>
            </w:pPr>
            <w:r>
              <w:rPr>
                <w:rFonts w:ascii="Arial" w:cs="Arial" w:eastAsia="Arial" w:hAnsi="Arial"/>
                <w:b/>
                <w:bCs/>
                <w:color w:val="27AE60"/>
                <w:sz w:val="19"/>
                <w:szCs w:val="19"/>
              </w:rPr>
              <w:t xml:space="preserve">4/5</w:t>
            </w:r>
          </w:p>
        </w:tc>
        <w:tc>
          <w:tcPr>
            <w:tcW w:type="dxa" w:w="13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vAlign w:val="center"/>
          </w:tcPr>
          <w:p>
            <w:pPr>
              <w:jc w:val="center"/>
            </w:pPr>
            <w:r>
              <w:rPr>
                <w:rFonts w:ascii="Arial" w:cs="Arial" w:eastAsia="Arial" w:hAnsi="Arial"/>
                <w:b/>
                <w:bCs/>
                <w:color w:val="F39C12"/>
                <w:sz w:val="19"/>
                <w:szCs w:val="19"/>
              </w:rPr>
              <w:t xml:space="preserve">3/5</w:t>
            </w:r>
          </w:p>
        </w:tc>
        <w:tc>
          <w:tcPr>
            <w:tcW w:type="dxa" w:w="1300"/>
            <w:tcBorders>
              <w:top w:val="single" w:color="CCCCCC" w:sz="1"/>
              <w:left w:val="single" w:color="CCCCCC" w:sz="1"/>
              <w:bottom w:val="single" w:color="CCCCCC" w:sz="1"/>
              <w:right w:val="single" w:color="CCCCCC" w:sz="1"/>
            </w:tcBorders>
            <w:shd w:fill="E8F8F5" w:val="clear"/>
            <w:tcMar>
              <w:top w:type="dxa" w:w="80"/>
              <w:left w:type="dxa" w:w="120"/>
              <w:bottom w:type="dxa" w:w="80"/>
              <w:right w:type="dxa" w:w="120"/>
            </w:tcMar>
            <w:vAlign w:val="center"/>
          </w:tcPr>
          <w:p>
            <w:pPr>
              <w:jc w:val="center"/>
            </w:pPr>
            <w:r>
              <w:rPr>
                <w:rFonts w:ascii="Arial" w:cs="Arial" w:eastAsia="Arial" w:hAnsi="Arial"/>
                <w:b/>
                <w:bCs/>
                <w:color w:val="27AE60"/>
                <w:sz w:val="19"/>
                <w:szCs w:val="19"/>
              </w:rPr>
              <w:t xml:space="preserve">4/5</w:t>
            </w:r>
          </w:p>
        </w:tc>
        <w:tc>
          <w:tcPr>
            <w:tcW w:type="dxa" w:w="13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vAlign w:val="center"/>
          </w:tcPr>
          <w:p>
            <w:pPr>
              <w:jc w:val="center"/>
            </w:pPr>
            <w:r>
              <w:rPr>
                <w:rFonts w:ascii="Arial" w:cs="Arial" w:eastAsia="Arial" w:hAnsi="Arial"/>
                <w:b/>
                <w:bCs/>
                <w:color w:val="F39C12"/>
                <w:sz w:val="19"/>
                <w:szCs w:val="19"/>
              </w:rPr>
              <w:t xml:space="preserve">3/5</w:t>
            </w:r>
          </w:p>
        </w:tc>
        <w:tc>
          <w:tcPr>
            <w:tcW w:type="dxa" w:w="1300"/>
            <w:tcBorders>
              <w:top w:val="single" w:color="CCCCCC" w:sz="1"/>
              <w:left w:val="single" w:color="CCCCCC" w:sz="1"/>
              <w:bottom w:val="single" w:color="CCCCCC" w:sz="1"/>
              <w:right w:val="single" w:color="CCCCCC" w:sz="1"/>
            </w:tcBorders>
            <w:shd w:fill="E8F8F5" w:val="clear"/>
            <w:tcMar>
              <w:top w:type="dxa" w:w="80"/>
              <w:left w:type="dxa" w:w="120"/>
              <w:bottom w:type="dxa" w:w="80"/>
              <w:right w:type="dxa" w:w="120"/>
            </w:tcMar>
            <w:vAlign w:val="center"/>
          </w:tcPr>
          <w:p>
            <w:pPr>
              <w:jc w:val="center"/>
            </w:pPr>
            <w:r>
              <w:rPr>
                <w:rFonts w:ascii="Arial" w:cs="Arial" w:eastAsia="Arial" w:hAnsi="Arial"/>
                <w:b/>
                <w:bCs/>
                <w:color w:val="27AE60"/>
                <w:sz w:val="19"/>
                <w:szCs w:val="19"/>
              </w:rPr>
              <w:t xml:space="preserve">5/5</w:t>
            </w:r>
          </w:p>
        </w:tc>
      </w:tr>
      <w:tr>
        <w:tc>
          <w:tcPr>
            <w:tcW w:type="dxa" w:w="2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sz w:val="19"/>
                <w:szCs w:val="19"/>
              </w:rPr>
              <w:t xml:space="preserve">Migration Complexity (8%)</w:t>
            </w:r>
          </w:p>
        </w:tc>
        <w:tc>
          <w:tcPr>
            <w:tcW w:type="dxa" w:w="1300"/>
            <w:tcBorders>
              <w:top w:val="single" w:color="CCCCCC" w:sz="1"/>
              <w:left w:val="single" w:color="CCCCCC" w:sz="1"/>
              <w:bottom w:val="single" w:color="CCCCCC" w:sz="1"/>
              <w:right w:val="single" w:color="CCCCCC" w:sz="1"/>
            </w:tcBorders>
            <w:shd w:fill="E8F8F5" w:val="clear"/>
            <w:tcMar>
              <w:top w:type="dxa" w:w="80"/>
              <w:left w:type="dxa" w:w="120"/>
              <w:bottom w:type="dxa" w:w="80"/>
              <w:right w:type="dxa" w:w="120"/>
            </w:tcMar>
            <w:vAlign w:val="center"/>
          </w:tcPr>
          <w:p>
            <w:pPr>
              <w:jc w:val="center"/>
            </w:pPr>
            <w:r>
              <w:rPr>
                <w:rFonts w:ascii="Arial" w:cs="Arial" w:eastAsia="Arial" w:hAnsi="Arial"/>
                <w:b/>
                <w:bCs/>
                <w:color w:val="27AE60"/>
                <w:sz w:val="19"/>
                <w:szCs w:val="19"/>
              </w:rPr>
              <w:t xml:space="preserve">5/5</w:t>
            </w:r>
          </w:p>
        </w:tc>
        <w:tc>
          <w:tcPr>
            <w:tcW w:type="dxa" w:w="1300"/>
            <w:tcBorders>
              <w:top w:val="single" w:color="CCCCCC" w:sz="1"/>
              <w:left w:val="single" w:color="CCCCCC" w:sz="1"/>
              <w:bottom w:val="single" w:color="CCCCCC" w:sz="1"/>
              <w:right w:val="single" w:color="CCCCCC" w:sz="1"/>
            </w:tcBorders>
            <w:shd w:fill="E8F8F5" w:val="clear"/>
            <w:tcMar>
              <w:top w:type="dxa" w:w="80"/>
              <w:left w:type="dxa" w:w="120"/>
              <w:bottom w:type="dxa" w:w="80"/>
              <w:right w:type="dxa" w:w="120"/>
            </w:tcMar>
            <w:vAlign w:val="center"/>
          </w:tcPr>
          <w:p>
            <w:pPr>
              <w:jc w:val="center"/>
            </w:pPr>
            <w:r>
              <w:rPr>
                <w:rFonts w:ascii="Arial" w:cs="Arial" w:eastAsia="Arial" w:hAnsi="Arial"/>
                <w:b/>
                <w:bCs/>
                <w:color w:val="27AE60"/>
                <w:sz w:val="19"/>
                <w:szCs w:val="19"/>
              </w:rPr>
              <w:t xml:space="preserve">4/5</w:t>
            </w:r>
          </w:p>
        </w:tc>
        <w:tc>
          <w:tcPr>
            <w:tcW w:type="dxa" w:w="1300"/>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vAlign w:val="center"/>
          </w:tcPr>
          <w:p>
            <w:pPr>
              <w:jc w:val="center"/>
            </w:pPr>
            <w:r>
              <w:rPr>
                <w:rFonts w:ascii="Arial" w:cs="Arial" w:eastAsia="Arial" w:hAnsi="Arial"/>
                <w:b/>
                <w:bCs/>
                <w:color w:val="C0392B"/>
                <w:sz w:val="19"/>
                <w:szCs w:val="19"/>
              </w:rPr>
              <w:t xml:space="preserve">2/5</w:t>
            </w:r>
          </w:p>
        </w:tc>
        <w:tc>
          <w:tcPr>
            <w:tcW w:type="dxa" w:w="1300"/>
            <w:tcBorders>
              <w:top w:val="single" w:color="CCCCCC" w:sz="1"/>
              <w:left w:val="single" w:color="CCCCCC" w:sz="1"/>
              <w:bottom w:val="single" w:color="CCCCCC" w:sz="1"/>
              <w:right w:val="single" w:color="CCCCCC" w:sz="1"/>
            </w:tcBorders>
            <w:shd w:fill="E8F8F5" w:val="clear"/>
            <w:tcMar>
              <w:top w:type="dxa" w:w="80"/>
              <w:left w:type="dxa" w:w="120"/>
              <w:bottom w:type="dxa" w:w="80"/>
              <w:right w:type="dxa" w:w="120"/>
            </w:tcMar>
            <w:vAlign w:val="center"/>
          </w:tcPr>
          <w:p>
            <w:pPr>
              <w:jc w:val="center"/>
            </w:pPr>
            <w:r>
              <w:rPr>
                <w:rFonts w:ascii="Arial" w:cs="Arial" w:eastAsia="Arial" w:hAnsi="Arial"/>
                <w:b/>
                <w:bCs/>
                <w:color w:val="27AE60"/>
                <w:sz w:val="19"/>
                <w:szCs w:val="19"/>
              </w:rPr>
              <w:t xml:space="preserve">4/5</w:t>
            </w:r>
          </w:p>
        </w:tc>
        <w:tc>
          <w:tcPr>
            <w:tcW w:type="dxa" w:w="1300"/>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vAlign w:val="center"/>
          </w:tcPr>
          <w:p>
            <w:pPr>
              <w:jc w:val="center"/>
            </w:pPr>
            <w:r>
              <w:rPr>
                <w:rFonts w:ascii="Arial" w:cs="Arial" w:eastAsia="Arial" w:hAnsi="Arial"/>
                <w:b/>
                <w:bCs/>
                <w:color w:val="C0392B"/>
                <w:sz w:val="19"/>
                <w:szCs w:val="19"/>
              </w:rPr>
              <w:t xml:space="preserve">2/5</w:t>
            </w:r>
          </w:p>
        </w:tc>
      </w:tr>
      <w:tr>
        <w:tc>
          <w:tcPr>
            <w:tcW w:type="dxa" w:w="2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sz w:val="19"/>
                <w:szCs w:val="19"/>
              </w:rPr>
              <w:t xml:space="preserve">UX &amp; Adoption (7%)</w:t>
            </w:r>
          </w:p>
        </w:tc>
        <w:tc>
          <w:tcPr>
            <w:tcW w:type="dxa" w:w="13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vAlign w:val="center"/>
          </w:tcPr>
          <w:p>
            <w:pPr>
              <w:jc w:val="center"/>
            </w:pPr>
            <w:r>
              <w:rPr>
                <w:rFonts w:ascii="Arial" w:cs="Arial" w:eastAsia="Arial" w:hAnsi="Arial"/>
                <w:b/>
                <w:bCs/>
                <w:color w:val="F39C12"/>
                <w:sz w:val="19"/>
                <w:szCs w:val="19"/>
              </w:rPr>
              <w:t xml:space="preserve">3/5</w:t>
            </w:r>
          </w:p>
        </w:tc>
        <w:tc>
          <w:tcPr>
            <w:tcW w:type="dxa" w:w="1300"/>
            <w:tcBorders>
              <w:top w:val="single" w:color="CCCCCC" w:sz="1"/>
              <w:left w:val="single" w:color="CCCCCC" w:sz="1"/>
              <w:bottom w:val="single" w:color="CCCCCC" w:sz="1"/>
              <w:right w:val="single" w:color="CCCCCC" w:sz="1"/>
            </w:tcBorders>
            <w:shd w:fill="E8F8F5" w:val="clear"/>
            <w:tcMar>
              <w:top w:type="dxa" w:w="80"/>
              <w:left w:type="dxa" w:w="120"/>
              <w:bottom w:type="dxa" w:w="80"/>
              <w:right w:type="dxa" w:w="120"/>
            </w:tcMar>
            <w:vAlign w:val="center"/>
          </w:tcPr>
          <w:p>
            <w:pPr>
              <w:jc w:val="center"/>
            </w:pPr>
            <w:r>
              <w:rPr>
                <w:rFonts w:ascii="Arial" w:cs="Arial" w:eastAsia="Arial" w:hAnsi="Arial"/>
                <w:b/>
                <w:bCs/>
                <w:color w:val="27AE60"/>
                <w:sz w:val="19"/>
                <w:szCs w:val="19"/>
              </w:rPr>
              <w:t xml:space="preserve">5/5</w:t>
            </w:r>
          </w:p>
        </w:tc>
        <w:tc>
          <w:tcPr>
            <w:tcW w:type="dxa" w:w="13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vAlign w:val="center"/>
          </w:tcPr>
          <w:p>
            <w:pPr>
              <w:jc w:val="center"/>
            </w:pPr>
            <w:r>
              <w:rPr>
                <w:rFonts w:ascii="Arial" w:cs="Arial" w:eastAsia="Arial" w:hAnsi="Arial"/>
                <w:b/>
                <w:bCs/>
                <w:color w:val="F39C12"/>
                <w:sz w:val="19"/>
                <w:szCs w:val="19"/>
              </w:rPr>
              <w:t xml:space="preserve">3/5</w:t>
            </w:r>
          </w:p>
        </w:tc>
        <w:tc>
          <w:tcPr>
            <w:tcW w:type="dxa" w:w="13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vAlign w:val="center"/>
          </w:tcPr>
          <w:p>
            <w:pPr>
              <w:jc w:val="center"/>
            </w:pPr>
            <w:r>
              <w:rPr>
                <w:rFonts w:ascii="Arial" w:cs="Arial" w:eastAsia="Arial" w:hAnsi="Arial"/>
                <w:b/>
                <w:bCs/>
                <w:color w:val="F39C12"/>
                <w:sz w:val="19"/>
                <w:szCs w:val="19"/>
              </w:rPr>
              <w:t xml:space="preserve">3/5</w:t>
            </w:r>
          </w:p>
        </w:tc>
        <w:tc>
          <w:tcPr>
            <w:tcW w:type="dxa" w:w="1300"/>
            <w:tcBorders>
              <w:top w:val="single" w:color="CCCCCC" w:sz="1"/>
              <w:left w:val="single" w:color="CCCCCC" w:sz="1"/>
              <w:bottom w:val="single" w:color="CCCCCC" w:sz="1"/>
              <w:right w:val="single" w:color="CCCCCC" w:sz="1"/>
            </w:tcBorders>
            <w:shd w:fill="E8F8F5" w:val="clear"/>
            <w:tcMar>
              <w:top w:type="dxa" w:w="80"/>
              <w:left w:type="dxa" w:w="120"/>
              <w:bottom w:type="dxa" w:w="80"/>
              <w:right w:type="dxa" w:w="120"/>
            </w:tcMar>
            <w:vAlign w:val="center"/>
          </w:tcPr>
          <w:p>
            <w:pPr>
              <w:jc w:val="center"/>
            </w:pPr>
            <w:r>
              <w:rPr>
                <w:rFonts w:ascii="Arial" w:cs="Arial" w:eastAsia="Arial" w:hAnsi="Arial"/>
                <w:b/>
                <w:bCs/>
                <w:color w:val="27AE60"/>
                <w:sz w:val="19"/>
                <w:szCs w:val="19"/>
              </w:rPr>
              <w:t xml:space="preserve">4/5</w:t>
            </w:r>
          </w:p>
        </w:tc>
      </w:tr>
      <w:tr>
        <w:tc>
          <w:tcPr>
            <w:tcW w:type="dxa" w:w="2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sz w:val="19"/>
                <w:szCs w:val="19"/>
              </w:rPr>
              <w:t xml:space="preserve">Strategic Client Value (5%)</w:t>
            </w:r>
          </w:p>
        </w:tc>
        <w:tc>
          <w:tcPr>
            <w:tcW w:type="dxa" w:w="1300"/>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vAlign w:val="center"/>
          </w:tcPr>
          <w:p>
            <w:pPr>
              <w:jc w:val="center"/>
            </w:pPr>
            <w:r>
              <w:rPr>
                <w:rFonts w:ascii="Arial" w:cs="Arial" w:eastAsia="Arial" w:hAnsi="Arial"/>
                <w:b/>
                <w:bCs/>
                <w:color w:val="C0392B"/>
                <w:sz w:val="19"/>
                <w:szCs w:val="19"/>
              </w:rPr>
              <w:t xml:space="preserve">1/5</w:t>
            </w:r>
          </w:p>
        </w:tc>
        <w:tc>
          <w:tcPr>
            <w:tcW w:type="dxa" w:w="1300"/>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vAlign w:val="center"/>
          </w:tcPr>
          <w:p>
            <w:pPr>
              <w:jc w:val="center"/>
            </w:pPr>
            <w:r>
              <w:rPr>
                <w:rFonts w:ascii="Arial" w:cs="Arial" w:eastAsia="Arial" w:hAnsi="Arial"/>
                <w:b/>
                <w:bCs/>
                <w:color w:val="C0392B"/>
                <w:sz w:val="19"/>
                <w:szCs w:val="19"/>
              </w:rPr>
              <w:t xml:space="preserve">1/5</w:t>
            </w:r>
          </w:p>
        </w:tc>
        <w:tc>
          <w:tcPr>
            <w:tcW w:type="dxa" w:w="1300"/>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vAlign w:val="center"/>
          </w:tcPr>
          <w:p>
            <w:pPr>
              <w:jc w:val="center"/>
            </w:pPr>
            <w:r>
              <w:rPr>
                <w:rFonts w:ascii="Arial" w:cs="Arial" w:eastAsia="Arial" w:hAnsi="Arial"/>
                <w:b/>
                <w:bCs/>
                <w:color w:val="C0392B"/>
                <w:sz w:val="19"/>
                <w:szCs w:val="19"/>
              </w:rPr>
              <w:t xml:space="preserve">1/5</w:t>
            </w:r>
          </w:p>
        </w:tc>
        <w:tc>
          <w:tcPr>
            <w:tcW w:type="dxa" w:w="1300"/>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vAlign w:val="center"/>
          </w:tcPr>
          <w:p>
            <w:pPr>
              <w:jc w:val="center"/>
            </w:pPr>
            <w:r>
              <w:rPr>
                <w:rFonts w:ascii="Arial" w:cs="Arial" w:eastAsia="Arial" w:hAnsi="Arial"/>
                <w:b/>
                <w:bCs/>
                <w:color w:val="C0392B"/>
                <w:sz w:val="19"/>
                <w:szCs w:val="19"/>
              </w:rPr>
              <w:t xml:space="preserve">2/5</w:t>
            </w:r>
          </w:p>
        </w:tc>
        <w:tc>
          <w:tcPr>
            <w:tcW w:type="dxa" w:w="1300"/>
            <w:tcBorders>
              <w:top w:val="single" w:color="CCCCCC" w:sz="1"/>
              <w:left w:val="single" w:color="CCCCCC" w:sz="1"/>
              <w:bottom w:val="single" w:color="CCCCCC" w:sz="1"/>
              <w:right w:val="single" w:color="CCCCCC" w:sz="1"/>
            </w:tcBorders>
            <w:shd w:fill="E8F8F5" w:val="clear"/>
            <w:tcMar>
              <w:top w:type="dxa" w:w="80"/>
              <w:left w:type="dxa" w:w="120"/>
              <w:bottom w:type="dxa" w:w="80"/>
              <w:right w:type="dxa" w:w="120"/>
            </w:tcMar>
            <w:vAlign w:val="center"/>
          </w:tcPr>
          <w:p>
            <w:pPr>
              <w:jc w:val="center"/>
            </w:pPr>
            <w:r>
              <w:rPr>
                <w:rFonts w:ascii="Arial" w:cs="Arial" w:eastAsia="Arial" w:hAnsi="Arial"/>
                <w:b/>
                <w:bCs/>
                <w:color w:val="27AE60"/>
                <w:sz w:val="19"/>
                <w:szCs w:val="19"/>
              </w:rPr>
              <w:t xml:space="preserve">5/5</w:t>
            </w:r>
          </w:p>
        </w:tc>
      </w:tr>
      <w:tr>
        <w:tc>
          <w:tcPr>
            <w:tcW w:type="dxa" w:w="2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sz w:val="19"/>
                <w:szCs w:val="19"/>
              </w:rPr>
              <w:t xml:space="preserve">Vendor Viability (5%)</w:t>
            </w:r>
          </w:p>
        </w:tc>
        <w:tc>
          <w:tcPr>
            <w:tcW w:type="dxa" w:w="1300"/>
            <w:tcBorders>
              <w:top w:val="single" w:color="CCCCCC" w:sz="1"/>
              <w:left w:val="single" w:color="CCCCCC" w:sz="1"/>
              <w:bottom w:val="single" w:color="CCCCCC" w:sz="1"/>
              <w:right w:val="single" w:color="CCCCCC" w:sz="1"/>
            </w:tcBorders>
            <w:shd w:fill="E8F8F5" w:val="clear"/>
            <w:tcMar>
              <w:top w:type="dxa" w:w="80"/>
              <w:left w:type="dxa" w:w="120"/>
              <w:bottom w:type="dxa" w:w="80"/>
              <w:right w:type="dxa" w:w="120"/>
            </w:tcMar>
            <w:vAlign w:val="center"/>
          </w:tcPr>
          <w:p>
            <w:pPr>
              <w:jc w:val="center"/>
            </w:pPr>
            <w:r>
              <w:rPr>
                <w:rFonts w:ascii="Arial" w:cs="Arial" w:eastAsia="Arial" w:hAnsi="Arial"/>
                <w:b/>
                <w:bCs/>
                <w:color w:val="27AE60"/>
                <w:sz w:val="19"/>
                <w:szCs w:val="19"/>
              </w:rPr>
              <w:t xml:space="preserve">5/5</w:t>
            </w:r>
          </w:p>
        </w:tc>
        <w:tc>
          <w:tcPr>
            <w:tcW w:type="dxa" w:w="1300"/>
            <w:tcBorders>
              <w:top w:val="single" w:color="CCCCCC" w:sz="1"/>
              <w:left w:val="single" w:color="CCCCCC" w:sz="1"/>
              <w:bottom w:val="single" w:color="CCCCCC" w:sz="1"/>
              <w:right w:val="single" w:color="CCCCCC" w:sz="1"/>
            </w:tcBorders>
            <w:shd w:fill="E8F8F5" w:val="clear"/>
            <w:tcMar>
              <w:top w:type="dxa" w:w="80"/>
              <w:left w:type="dxa" w:w="120"/>
              <w:bottom w:type="dxa" w:w="80"/>
              <w:right w:type="dxa" w:w="120"/>
            </w:tcMar>
            <w:vAlign w:val="center"/>
          </w:tcPr>
          <w:p>
            <w:pPr>
              <w:jc w:val="center"/>
            </w:pPr>
            <w:r>
              <w:rPr>
                <w:rFonts w:ascii="Arial" w:cs="Arial" w:eastAsia="Arial" w:hAnsi="Arial"/>
                <w:b/>
                <w:bCs/>
                <w:color w:val="27AE60"/>
                <w:sz w:val="19"/>
                <w:szCs w:val="19"/>
              </w:rPr>
              <w:t xml:space="preserve">5/5</w:t>
            </w:r>
          </w:p>
        </w:tc>
        <w:tc>
          <w:tcPr>
            <w:tcW w:type="dxa" w:w="1300"/>
            <w:tcBorders>
              <w:top w:val="single" w:color="CCCCCC" w:sz="1"/>
              <w:left w:val="single" w:color="CCCCCC" w:sz="1"/>
              <w:bottom w:val="single" w:color="CCCCCC" w:sz="1"/>
              <w:right w:val="single" w:color="CCCCCC" w:sz="1"/>
            </w:tcBorders>
            <w:shd w:fill="E8F8F5" w:val="clear"/>
            <w:tcMar>
              <w:top w:type="dxa" w:w="80"/>
              <w:left w:type="dxa" w:w="120"/>
              <w:bottom w:type="dxa" w:w="80"/>
              <w:right w:type="dxa" w:w="120"/>
            </w:tcMar>
            <w:vAlign w:val="center"/>
          </w:tcPr>
          <w:p>
            <w:pPr>
              <w:jc w:val="center"/>
            </w:pPr>
            <w:r>
              <w:rPr>
                <w:rFonts w:ascii="Arial" w:cs="Arial" w:eastAsia="Arial" w:hAnsi="Arial"/>
                <w:b/>
                <w:bCs/>
                <w:color w:val="27AE60"/>
                <w:sz w:val="19"/>
                <w:szCs w:val="19"/>
              </w:rPr>
              <w:t xml:space="preserve">5/5</w:t>
            </w:r>
          </w:p>
        </w:tc>
        <w:tc>
          <w:tcPr>
            <w:tcW w:type="dxa" w:w="1300"/>
            <w:tcBorders>
              <w:top w:val="single" w:color="CCCCCC" w:sz="1"/>
              <w:left w:val="single" w:color="CCCCCC" w:sz="1"/>
              <w:bottom w:val="single" w:color="CCCCCC" w:sz="1"/>
              <w:right w:val="single" w:color="CCCCCC" w:sz="1"/>
            </w:tcBorders>
            <w:shd w:fill="E8F8F5" w:val="clear"/>
            <w:tcMar>
              <w:top w:type="dxa" w:w="80"/>
              <w:left w:type="dxa" w:w="120"/>
              <w:bottom w:type="dxa" w:w="80"/>
              <w:right w:type="dxa" w:w="120"/>
            </w:tcMar>
            <w:vAlign w:val="center"/>
          </w:tcPr>
          <w:p>
            <w:pPr>
              <w:jc w:val="center"/>
            </w:pPr>
            <w:r>
              <w:rPr>
                <w:rFonts w:ascii="Arial" w:cs="Arial" w:eastAsia="Arial" w:hAnsi="Arial"/>
                <w:b/>
                <w:bCs/>
                <w:color w:val="27AE60"/>
                <w:sz w:val="19"/>
                <w:szCs w:val="19"/>
              </w:rPr>
              <w:t xml:space="preserve">4/5</w:t>
            </w:r>
          </w:p>
        </w:tc>
        <w:tc>
          <w:tcPr>
            <w:tcW w:type="dxa" w:w="13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vAlign w:val="center"/>
          </w:tcPr>
          <w:p>
            <w:pPr>
              <w:jc w:val="center"/>
            </w:pPr>
            <w:r>
              <w:rPr>
                <w:rFonts w:ascii="Arial" w:cs="Arial" w:eastAsia="Arial" w:hAnsi="Arial"/>
                <w:b/>
                <w:bCs/>
                <w:color w:val="F39C12"/>
                <w:sz w:val="19"/>
                <w:szCs w:val="19"/>
              </w:rPr>
              <w:t xml:space="preserve">3/5</w:t>
            </w:r>
          </w:p>
        </w:tc>
      </w:tr>
      <w:tr>
        <w:tc>
          <w:tcPr>
            <w:tcW w:type="dxa" w:w="2526"/>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r>
              <w:rPr>
                <w:rFonts w:ascii="Arial" w:cs="Arial" w:eastAsia="Arial" w:hAnsi="Arial"/>
                <w:b/>
                <w:bCs/>
                <w:sz w:val="19"/>
                <w:szCs w:val="19"/>
              </w:rPr>
              <w:t xml:space="preserve">WEIGHTED SCORE</w:t>
            </w:r>
          </w:p>
        </w:tc>
        <w:tc>
          <w:tcPr>
            <w:tcW w:type="dxa" w:w="1300"/>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vAlign w:val="center"/>
          </w:tcPr>
          <w:p>
            <w:pPr>
              <w:jc w:val="center"/>
            </w:pPr>
            <w:r>
              <w:rPr>
                <w:rFonts w:ascii="Arial" w:cs="Arial" w:eastAsia="Arial" w:hAnsi="Arial"/>
                <w:b/>
                <w:bCs/>
                <w:sz w:val="19"/>
                <w:szCs w:val="19"/>
              </w:rPr>
              <w:t xml:space="preserve">2.83</w:t>
            </w:r>
          </w:p>
        </w:tc>
        <w:tc>
          <w:tcPr>
            <w:tcW w:type="dxa" w:w="13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vAlign w:val="center"/>
          </w:tcPr>
          <w:p>
            <w:pPr>
              <w:jc w:val="center"/>
            </w:pPr>
            <w:r>
              <w:rPr>
                <w:rFonts w:ascii="Arial" w:cs="Arial" w:eastAsia="Arial" w:hAnsi="Arial"/>
                <w:b/>
                <w:bCs/>
                <w:sz w:val="19"/>
                <w:szCs w:val="19"/>
              </w:rPr>
              <w:t xml:space="preserve">2.87</w:t>
            </w:r>
          </w:p>
        </w:tc>
        <w:tc>
          <w:tcPr>
            <w:tcW w:type="dxa" w:w="1300"/>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vAlign w:val="center"/>
          </w:tcPr>
          <w:p>
            <w:pPr>
              <w:jc w:val="center"/>
            </w:pPr>
            <w:r>
              <w:rPr>
                <w:rFonts w:ascii="Arial" w:cs="Arial" w:eastAsia="Arial" w:hAnsi="Arial"/>
                <w:b/>
                <w:bCs/>
                <w:sz w:val="19"/>
                <w:szCs w:val="19"/>
              </w:rPr>
              <w:t xml:space="preserve">2.62</w:t>
            </w:r>
          </w:p>
        </w:tc>
        <w:tc>
          <w:tcPr>
            <w:tcW w:type="dxa" w:w="13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vAlign w:val="center"/>
          </w:tcPr>
          <w:p>
            <w:pPr>
              <w:jc w:val="center"/>
            </w:pPr>
            <w:r>
              <w:rPr>
                <w:rFonts w:ascii="Arial" w:cs="Arial" w:eastAsia="Arial" w:hAnsi="Arial"/>
                <w:b/>
                <w:bCs/>
                <w:sz w:val="19"/>
                <w:szCs w:val="19"/>
              </w:rPr>
              <w:t xml:space="preserve">3.07</w:t>
            </w:r>
          </w:p>
        </w:tc>
        <w:tc>
          <w:tcPr>
            <w:tcW w:type="dxa" w:w="1300"/>
            <w:tcBorders>
              <w:top w:val="single" w:color="CCCCCC" w:sz="1"/>
              <w:left w:val="single" w:color="CCCCCC" w:sz="1"/>
              <w:bottom w:val="single" w:color="CCCCCC" w:sz="1"/>
              <w:right w:val="single" w:color="CCCCCC" w:sz="1"/>
            </w:tcBorders>
            <w:shd w:fill="E8F8F5" w:val="clear"/>
            <w:tcMar>
              <w:top w:type="dxa" w:w="80"/>
              <w:left w:type="dxa" w:w="120"/>
              <w:bottom w:type="dxa" w:w="80"/>
              <w:right w:type="dxa" w:w="120"/>
            </w:tcMar>
            <w:vAlign w:val="center"/>
          </w:tcPr>
          <w:p>
            <w:pPr>
              <w:jc w:val="center"/>
            </w:pPr>
            <w:r>
              <w:rPr>
                <w:rFonts w:ascii="Arial" w:cs="Arial" w:eastAsia="Arial" w:hAnsi="Arial"/>
                <w:b/>
                <w:bCs/>
                <w:color w:val="27AE60"/>
                <w:sz w:val="19"/>
                <w:szCs w:val="19"/>
              </w:rPr>
              <w:t xml:space="preserve">4.15</w:t>
            </w:r>
          </w:p>
        </w:tc>
      </w:tr>
      <w:tr>
        <w:tc>
          <w:tcPr>
            <w:tcW w:type="dxa" w:w="2526"/>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r>
              <w:rPr>
                <w:rFonts w:ascii="Arial" w:cs="Arial" w:eastAsia="Arial" w:hAnsi="Arial"/>
                <w:b/>
                <w:bCs/>
                <w:sz w:val="19"/>
                <w:szCs w:val="19"/>
              </w:rPr>
              <w:t xml:space="preserve">RANK</w:t>
            </w:r>
          </w:p>
        </w:tc>
        <w:tc>
          <w:tcPr>
            <w:tcW w:type="dxa" w:w="13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center"/>
            </w:pPr>
            <w:r>
              <w:rPr>
                <w:rFonts w:ascii="Arial" w:cs="Arial" w:eastAsia="Arial" w:hAnsi="Arial"/>
                <w:b/>
                <w:bCs/>
                <w:sz w:val="19"/>
                <w:szCs w:val="19"/>
              </w:rPr>
              <w:t xml:space="preserve">4th</w:t>
            </w:r>
          </w:p>
        </w:tc>
        <w:tc>
          <w:tcPr>
            <w:tcW w:type="dxa" w:w="13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center"/>
            </w:pPr>
            <w:r>
              <w:rPr>
                <w:rFonts w:ascii="Arial" w:cs="Arial" w:eastAsia="Arial" w:hAnsi="Arial"/>
                <w:b/>
                <w:bCs/>
                <w:sz w:val="19"/>
                <w:szCs w:val="19"/>
              </w:rPr>
              <w:t xml:space="preserve">3rd</w:t>
            </w:r>
          </w:p>
        </w:tc>
        <w:tc>
          <w:tcPr>
            <w:tcW w:type="dxa" w:w="13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center"/>
            </w:pPr>
            <w:r>
              <w:rPr>
                <w:rFonts w:ascii="Arial" w:cs="Arial" w:eastAsia="Arial" w:hAnsi="Arial"/>
                <w:b/>
                <w:bCs/>
                <w:sz w:val="19"/>
                <w:szCs w:val="19"/>
              </w:rPr>
              <w:t xml:space="preserve">5th</w:t>
            </w:r>
          </w:p>
        </w:tc>
        <w:tc>
          <w:tcPr>
            <w:tcW w:type="dxa" w:w="13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center"/>
            </w:pPr>
            <w:r>
              <w:rPr>
                <w:rFonts w:ascii="Arial" w:cs="Arial" w:eastAsia="Arial" w:hAnsi="Arial"/>
                <w:b/>
                <w:bCs/>
                <w:sz w:val="19"/>
                <w:szCs w:val="19"/>
              </w:rPr>
              <w:t xml:space="preserve">2nd</w:t>
            </w:r>
          </w:p>
        </w:tc>
        <w:tc>
          <w:tcPr>
            <w:tcW w:type="dxa" w:w="1300"/>
            <w:tcBorders>
              <w:top w:val="single" w:color="CCCCCC" w:sz="1"/>
              <w:left w:val="single" w:color="CCCCCC" w:sz="1"/>
              <w:bottom w:val="single" w:color="CCCCCC" w:sz="1"/>
              <w:right w:val="single" w:color="CCCCCC" w:sz="1"/>
            </w:tcBorders>
            <w:shd w:fill="E8F8F5" w:val="clear"/>
            <w:tcMar>
              <w:top w:type="dxa" w:w="80"/>
              <w:left w:type="dxa" w:w="120"/>
              <w:bottom w:type="dxa" w:w="80"/>
              <w:right w:type="dxa" w:w="120"/>
            </w:tcMar>
            <w:vAlign w:val="center"/>
          </w:tcPr>
          <w:p>
            <w:pPr>
              <w:jc w:val="center"/>
            </w:pPr>
            <w:r>
              <w:rPr>
                <w:rFonts w:ascii="Arial" w:cs="Arial" w:eastAsia="Arial" w:hAnsi="Arial"/>
                <w:b/>
                <w:bCs/>
                <w:color w:val="27AE60"/>
                <w:sz w:val="19"/>
                <w:szCs w:val="19"/>
              </w:rPr>
              <w:t xml:space="preserve">1st</w:t>
            </w:r>
          </w:p>
        </w:tc>
      </w:tr>
    </w:tbl>
    <w:p>
      <w:pPr>
        <w:spacing w:after="140"/>
      </w:pPr>
      <w:r>
        <w:rPr>
          <w:rFonts w:ascii="Arial" w:cs="Arial" w:eastAsia="Arial" w:hAnsi="Arial"/>
          <w:sz w:val="21"/>
          <w:szCs w:val="21"/>
        </w:rPr>
        <w:t xml:space="preserve"/>
      </w:r>
    </w:p>
    <w:p>
      <w:pPr>
        <w:spacing w:after="140"/>
      </w:pPr>
      <w:r>
        <w:rPr>
          <w:rFonts w:ascii="Arial" w:cs="Arial" w:eastAsia="Arial" w:hAnsi="Arial"/>
          <w:i/>
          <w:iCs/>
          <w:sz w:val="21"/>
          <w:szCs w:val="21"/>
        </w:rPr>
        <w:t xml:space="preserve">Scoring methodology: </w:t>
      </w:r>
      <w:r>
        <w:rPr>
          <w:rFonts w:ascii="Arial" w:cs="Arial" w:eastAsia="Arial" w:hAnsi="Arial"/>
          <w:i/>
          <w:iCs/>
          <w:sz w:val="21"/>
          <w:szCs w:val="21"/>
        </w:rPr>
        <w:t xml:space="preserve">Weighted score = Σ(criterion score × criterion weight). Twenty CRM scores highest (4.15/5.00) driven by its dominant performance in GCP Alignment, AI Extensibility, Data Sovereignty, and Strategic Client Value — the criteria most aligned with the CEO’s modernisation mandate. Zoho ranks second (3.07) on cost strength but lacks GCP alignment and AI extensibility. Dynamics 365 ranks last due to Azure conflict and implementation complexity.</w:t>
      </w:r>
    </w:p>
    <w:p>
      <w:r>
        <w:br w:type="page"/>
      </w:r>
    </w:p>
    <w:p>
      <w:pPr>
        <w:pStyle w:val="Heading1"/>
        <w:spacing w:before="360" w:after="120"/>
      </w:pPr>
      <w:r>
        <w:rPr>
          <w:rFonts w:ascii="Arial" w:cs="Arial" w:eastAsia="Arial" w:hAnsi="Arial"/>
        </w:rPr>
        <w:t xml:space="preserve">5. Three-Year Cost Comparison</w:t>
      </w:r>
    </w:p>
    <w:p>
      <w:pPr>
        <w:spacing w:after="140"/>
      </w:pPr>
      <w:r>
        <w:rPr>
          <w:rFonts w:ascii="Arial" w:cs="Arial" w:eastAsia="Arial" w:hAnsi="Arial"/>
          <w:sz w:val="21"/>
          <w:szCs w:val="21"/>
        </w:rPr>
        <w:t xml:space="preserve">All estimates assume 1,500 users with a blended licence mix (not all users require full CRM access). Costs are in GBP. Ranges reflect uncertainty in current Salesforce contract terms and usage patterns.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26"/>
        <w:gridCol w:w="1750"/>
        <w:gridCol w:w="1750"/>
        <w:gridCol w:w="1750"/>
        <w:gridCol w:w="1750"/>
      </w:tblGrid>
      <w:tr>
        <w:tc>
          <w:tcPr>
            <w:tcW w:type="dxa" w:w="2026"/>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19"/>
                <w:szCs w:val="19"/>
              </w:rPr>
              <w:t xml:space="preserve">Cost Element</w:t>
            </w:r>
          </w:p>
        </w:tc>
        <w:tc>
          <w:tcPr>
            <w:tcW w:type="dxa" w:w="175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19"/>
                <w:szCs w:val="19"/>
              </w:rPr>
              <w:t xml:space="preserve">Year 1</w:t>
            </w:r>
          </w:p>
        </w:tc>
        <w:tc>
          <w:tcPr>
            <w:tcW w:type="dxa" w:w="175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19"/>
                <w:szCs w:val="19"/>
              </w:rPr>
              <w:t xml:space="preserve">Year 2</w:t>
            </w:r>
          </w:p>
        </w:tc>
        <w:tc>
          <w:tcPr>
            <w:tcW w:type="dxa" w:w="175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19"/>
                <w:szCs w:val="19"/>
              </w:rPr>
              <w:t xml:space="preserve">Year 3</w:t>
            </w:r>
          </w:p>
        </w:tc>
        <w:tc>
          <w:tcPr>
            <w:tcW w:type="dxa" w:w="175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19"/>
                <w:szCs w:val="19"/>
              </w:rPr>
              <w:t xml:space="preserve">3-Year Total</w:t>
            </w:r>
          </w:p>
        </w:tc>
      </w:tr>
      <w:tr>
        <w:tc>
          <w:tcPr>
            <w:tcW w:type="dxa" w:w="2026"/>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r>
              <w:rPr>
                <w:rFonts w:ascii="Arial" w:cs="Arial" w:eastAsia="Arial" w:hAnsi="Arial"/>
                <w:b/>
                <w:bCs/>
                <w:sz w:val="19"/>
                <w:szCs w:val="19"/>
              </w:rPr>
              <w:t xml:space="preserve">A: Salesforce (Retain)</w:t>
            </w:r>
          </w:p>
        </w:tc>
        <w:tc>
          <w:tcPr>
            <w:tcW w:type="dxa" w:w="175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r>
              <w:rPr>
                <w:rFonts w:ascii="Arial" w:cs="Arial" w:eastAsia="Arial" w:hAnsi="Arial"/>
                <w:sz w:val="19"/>
                <w:szCs w:val="19"/>
              </w:rPr>
              <w:t xml:space="preserve"/>
            </w:r>
          </w:p>
        </w:tc>
        <w:tc>
          <w:tcPr>
            <w:tcW w:type="dxa" w:w="175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r>
              <w:rPr>
                <w:rFonts w:ascii="Arial" w:cs="Arial" w:eastAsia="Arial" w:hAnsi="Arial"/>
                <w:sz w:val="19"/>
                <w:szCs w:val="19"/>
              </w:rPr>
              <w:t xml:space="preserve"/>
            </w:r>
          </w:p>
        </w:tc>
        <w:tc>
          <w:tcPr>
            <w:tcW w:type="dxa" w:w="175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r>
              <w:rPr>
                <w:rFonts w:ascii="Arial" w:cs="Arial" w:eastAsia="Arial" w:hAnsi="Arial"/>
                <w:sz w:val="19"/>
                <w:szCs w:val="19"/>
              </w:rPr>
              <w:t xml:space="preserve"/>
            </w:r>
          </w:p>
        </w:tc>
        <w:tc>
          <w:tcPr>
            <w:tcW w:type="dxa" w:w="175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r>
              <w:rPr>
                <w:rFonts w:ascii="Arial" w:cs="Arial" w:eastAsia="Arial" w:hAnsi="Arial"/>
                <w:sz w:val="19"/>
                <w:szCs w:val="19"/>
              </w:rPr>
              <w:t xml:space="preserve"/>
            </w:r>
          </w:p>
        </w:tc>
      </w:tr>
      <w:tr>
        <w:tc>
          <w:tcPr>
            <w:tcW w:type="dxa" w:w="20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19"/>
                <w:szCs w:val="19"/>
              </w:rPr>
              <w:t xml:space="preserve">  Licensing (optimised)</w:t>
            </w:r>
          </w:p>
        </w:tc>
        <w:tc>
          <w:tcPr>
            <w:tcW w:type="dxa" w:w="175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19"/>
                <w:szCs w:val="19"/>
              </w:rPr>
              <w:t xml:space="preserve">£350K</w:t>
            </w:r>
          </w:p>
        </w:tc>
        <w:tc>
          <w:tcPr>
            <w:tcW w:type="dxa" w:w="175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19"/>
                <w:szCs w:val="19"/>
              </w:rPr>
              <w:t xml:space="preserve">£350K</w:t>
            </w:r>
          </w:p>
        </w:tc>
        <w:tc>
          <w:tcPr>
            <w:tcW w:type="dxa" w:w="175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19"/>
                <w:szCs w:val="19"/>
              </w:rPr>
              <w:t xml:space="preserve">£360K</w:t>
            </w:r>
          </w:p>
        </w:tc>
        <w:tc>
          <w:tcPr>
            <w:tcW w:type="dxa" w:w="175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19"/>
                <w:szCs w:val="19"/>
              </w:rPr>
              <w:t xml:space="preserve">£1,060K</w:t>
            </w:r>
          </w:p>
        </w:tc>
      </w:tr>
      <w:tr>
        <w:tc>
          <w:tcPr>
            <w:tcW w:type="dxa" w:w="20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19"/>
                <w:szCs w:val="19"/>
              </w:rPr>
              <w:t xml:space="preserve">  Einstein AI add-on</w:t>
            </w:r>
          </w:p>
        </w:tc>
        <w:tc>
          <w:tcPr>
            <w:tcW w:type="dxa" w:w="175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19"/>
                <w:szCs w:val="19"/>
              </w:rPr>
              <w:t xml:space="preserve">£80K</w:t>
            </w:r>
          </w:p>
        </w:tc>
        <w:tc>
          <w:tcPr>
            <w:tcW w:type="dxa" w:w="175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19"/>
                <w:szCs w:val="19"/>
              </w:rPr>
              <w:t xml:space="preserve">£80K</w:t>
            </w:r>
          </w:p>
        </w:tc>
        <w:tc>
          <w:tcPr>
            <w:tcW w:type="dxa" w:w="175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19"/>
                <w:szCs w:val="19"/>
              </w:rPr>
              <w:t xml:space="preserve">£85K</w:t>
            </w:r>
          </w:p>
        </w:tc>
        <w:tc>
          <w:tcPr>
            <w:tcW w:type="dxa" w:w="175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19"/>
                <w:szCs w:val="19"/>
              </w:rPr>
              <w:t xml:space="preserve">£245K</w:t>
            </w:r>
          </w:p>
        </w:tc>
      </w:tr>
      <w:tr>
        <w:tc>
          <w:tcPr>
            <w:tcW w:type="dxa" w:w="20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sz w:val="19"/>
                <w:szCs w:val="19"/>
              </w:rPr>
              <w:t xml:space="preserve">  Subtotal</w:t>
            </w:r>
          </w:p>
        </w:tc>
        <w:tc>
          <w:tcPr>
            <w:tcW w:type="dxa" w:w="175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sz w:val="19"/>
                <w:szCs w:val="19"/>
              </w:rPr>
              <w:t xml:space="preserve">£430K</w:t>
            </w:r>
          </w:p>
        </w:tc>
        <w:tc>
          <w:tcPr>
            <w:tcW w:type="dxa" w:w="175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sz w:val="19"/>
                <w:szCs w:val="19"/>
              </w:rPr>
              <w:t xml:space="preserve">£430K</w:t>
            </w:r>
          </w:p>
        </w:tc>
        <w:tc>
          <w:tcPr>
            <w:tcW w:type="dxa" w:w="175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sz w:val="19"/>
                <w:szCs w:val="19"/>
              </w:rPr>
              <w:t xml:space="preserve">£445K</w:t>
            </w:r>
          </w:p>
        </w:tc>
        <w:tc>
          <w:tcPr>
            <w:tcW w:type="dxa" w:w="1750"/>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vAlign w:val="center"/>
          </w:tcPr>
          <w:p>
            <w:r>
              <w:rPr>
                <w:rFonts w:ascii="Arial" w:cs="Arial" w:eastAsia="Arial" w:hAnsi="Arial"/>
                <w:b/>
                <w:bCs/>
                <w:sz w:val="19"/>
                <w:szCs w:val="19"/>
              </w:rPr>
              <w:t xml:space="preserve">£1,305K</w:t>
            </w:r>
          </w:p>
        </w:tc>
      </w:tr>
      <w:tr>
        <w:tc>
          <w:tcPr>
            <w:tcW w:type="dxa" w:w="2026"/>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r>
              <w:rPr>
                <w:rFonts w:ascii="Arial" w:cs="Arial" w:eastAsia="Arial" w:hAnsi="Arial"/>
                <w:b/>
                <w:bCs/>
                <w:sz w:val="19"/>
                <w:szCs w:val="19"/>
              </w:rPr>
              <w:t xml:space="preserve">B: HubSpot</w:t>
            </w:r>
          </w:p>
        </w:tc>
        <w:tc>
          <w:tcPr>
            <w:tcW w:type="dxa" w:w="175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r>
              <w:rPr>
                <w:rFonts w:ascii="Arial" w:cs="Arial" w:eastAsia="Arial" w:hAnsi="Arial"/>
                <w:sz w:val="19"/>
                <w:szCs w:val="19"/>
              </w:rPr>
              <w:t xml:space="preserve"/>
            </w:r>
          </w:p>
        </w:tc>
        <w:tc>
          <w:tcPr>
            <w:tcW w:type="dxa" w:w="175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r>
              <w:rPr>
                <w:rFonts w:ascii="Arial" w:cs="Arial" w:eastAsia="Arial" w:hAnsi="Arial"/>
                <w:sz w:val="19"/>
                <w:szCs w:val="19"/>
              </w:rPr>
              <w:t xml:space="preserve"/>
            </w:r>
          </w:p>
        </w:tc>
        <w:tc>
          <w:tcPr>
            <w:tcW w:type="dxa" w:w="175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r>
              <w:rPr>
                <w:rFonts w:ascii="Arial" w:cs="Arial" w:eastAsia="Arial" w:hAnsi="Arial"/>
                <w:sz w:val="19"/>
                <w:szCs w:val="19"/>
              </w:rPr>
              <w:t xml:space="preserve"/>
            </w:r>
          </w:p>
        </w:tc>
        <w:tc>
          <w:tcPr>
            <w:tcW w:type="dxa" w:w="175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r>
              <w:rPr>
                <w:rFonts w:ascii="Arial" w:cs="Arial" w:eastAsia="Arial" w:hAnsi="Arial"/>
                <w:sz w:val="19"/>
                <w:szCs w:val="19"/>
              </w:rPr>
              <w:t xml:space="preserve"/>
            </w:r>
          </w:p>
        </w:tc>
      </w:tr>
      <w:tr>
        <w:tc>
          <w:tcPr>
            <w:tcW w:type="dxa" w:w="20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19"/>
                <w:szCs w:val="19"/>
              </w:rPr>
              <w:t xml:space="preserve">  Licensing (blended)</w:t>
            </w:r>
          </w:p>
        </w:tc>
        <w:tc>
          <w:tcPr>
            <w:tcW w:type="dxa" w:w="175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19"/>
                <w:szCs w:val="19"/>
              </w:rPr>
              <w:t xml:space="preserve">£280K</w:t>
            </w:r>
          </w:p>
        </w:tc>
        <w:tc>
          <w:tcPr>
            <w:tcW w:type="dxa" w:w="175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19"/>
                <w:szCs w:val="19"/>
              </w:rPr>
              <w:t xml:space="preserve">£290K</w:t>
            </w:r>
          </w:p>
        </w:tc>
        <w:tc>
          <w:tcPr>
            <w:tcW w:type="dxa" w:w="175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19"/>
                <w:szCs w:val="19"/>
              </w:rPr>
              <w:t xml:space="preserve">£300K</w:t>
            </w:r>
          </w:p>
        </w:tc>
        <w:tc>
          <w:tcPr>
            <w:tcW w:type="dxa" w:w="175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19"/>
                <w:szCs w:val="19"/>
              </w:rPr>
              <w:t xml:space="preserve">£870K</w:t>
            </w:r>
          </w:p>
        </w:tc>
      </w:tr>
      <w:tr>
        <w:tc>
          <w:tcPr>
            <w:tcW w:type="dxa" w:w="20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19"/>
                <w:szCs w:val="19"/>
              </w:rPr>
              <w:t xml:space="preserve">  Implementation + onboarding</w:t>
            </w:r>
          </w:p>
        </w:tc>
        <w:tc>
          <w:tcPr>
            <w:tcW w:type="dxa" w:w="175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19"/>
                <w:szCs w:val="19"/>
              </w:rPr>
              <w:t xml:space="preserve">£80K</w:t>
            </w:r>
          </w:p>
        </w:tc>
        <w:tc>
          <w:tcPr>
            <w:tcW w:type="dxa" w:w="175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19"/>
                <w:szCs w:val="19"/>
              </w:rPr>
              <w:t xml:space="preserve">—</w:t>
            </w:r>
          </w:p>
        </w:tc>
        <w:tc>
          <w:tcPr>
            <w:tcW w:type="dxa" w:w="175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19"/>
                <w:szCs w:val="19"/>
              </w:rPr>
              <w:t xml:space="preserve">—</w:t>
            </w:r>
          </w:p>
        </w:tc>
        <w:tc>
          <w:tcPr>
            <w:tcW w:type="dxa" w:w="175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19"/>
                <w:szCs w:val="19"/>
              </w:rPr>
              <w:t xml:space="preserve">£80K</w:t>
            </w:r>
          </w:p>
        </w:tc>
      </w:tr>
      <w:tr>
        <w:tc>
          <w:tcPr>
            <w:tcW w:type="dxa" w:w="20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sz w:val="19"/>
                <w:szCs w:val="19"/>
              </w:rPr>
              <w:t xml:space="preserve">  Subtotal</w:t>
            </w:r>
          </w:p>
        </w:tc>
        <w:tc>
          <w:tcPr>
            <w:tcW w:type="dxa" w:w="175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sz w:val="19"/>
                <w:szCs w:val="19"/>
              </w:rPr>
              <w:t xml:space="preserve">£360K</w:t>
            </w:r>
          </w:p>
        </w:tc>
        <w:tc>
          <w:tcPr>
            <w:tcW w:type="dxa" w:w="175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sz w:val="19"/>
                <w:szCs w:val="19"/>
              </w:rPr>
              <w:t xml:space="preserve">£290K</w:t>
            </w:r>
          </w:p>
        </w:tc>
        <w:tc>
          <w:tcPr>
            <w:tcW w:type="dxa" w:w="175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sz w:val="19"/>
                <w:szCs w:val="19"/>
              </w:rPr>
              <w:t xml:space="preserve">£300K</w:t>
            </w:r>
          </w:p>
        </w:tc>
        <w:tc>
          <w:tcPr>
            <w:tcW w:type="dxa" w:w="175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vAlign w:val="center"/>
          </w:tcPr>
          <w:p>
            <w:r>
              <w:rPr>
                <w:rFonts w:ascii="Arial" w:cs="Arial" w:eastAsia="Arial" w:hAnsi="Arial"/>
                <w:b/>
                <w:bCs/>
                <w:sz w:val="19"/>
                <w:szCs w:val="19"/>
              </w:rPr>
              <w:t xml:space="preserve">£950K</w:t>
            </w:r>
          </w:p>
        </w:tc>
      </w:tr>
      <w:tr>
        <w:tc>
          <w:tcPr>
            <w:tcW w:type="dxa" w:w="2026"/>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r>
              <w:rPr>
                <w:rFonts w:ascii="Arial" w:cs="Arial" w:eastAsia="Arial" w:hAnsi="Arial"/>
                <w:b/>
                <w:bCs/>
                <w:sz w:val="19"/>
                <w:szCs w:val="19"/>
              </w:rPr>
              <w:t xml:space="preserve">C: Dynamics 365</w:t>
            </w:r>
          </w:p>
        </w:tc>
        <w:tc>
          <w:tcPr>
            <w:tcW w:type="dxa" w:w="175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r>
              <w:rPr>
                <w:rFonts w:ascii="Arial" w:cs="Arial" w:eastAsia="Arial" w:hAnsi="Arial"/>
                <w:sz w:val="19"/>
                <w:szCs w:val="19"/>
              </w:rPr>
              <w:t xml:space="preserve"/>
            </w:r>
          </w:p>
        </w:tc>
        <w:tc>
          <w:tcPr>
            <w:tcW w:type="dxa" w:w="175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r>
              <w:rPr>
                <w:rFonts w:ascii="Arial" w:cs="Arial" w:eastAsia="Arial" w:hAnsi="Arial"/>
                <w:sz w:val="19"/>
                <w:szCs w:val="19"/>
              </w:rPr>
              <w:t xml:space="preserve"/>
            </w:r>
          </w:p>
        </w:tc>
        <w:tc>
          <w:tcPr>
            <w:tcW w:type="dxa" w:w="175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r>
              <w:rPr>
                <w:rFonts w:ascii="Arial" w:cs="Arial" w:eastAsia="Arial" w:hAnsi="Arial"/>
                <w:sz w:val="19"/>
                <w:szCs w:val="19"/>
              </w:rPr>
              <w:t xml:space="preserve"/>
            </w:r>
          </w:p>
        </w:tc>
        <w:tc>
          <w:tcPr>
            <w:tcW w:type="dxa" w:w="175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r>
              <w:rPr>
                <w:rFonts w:ascii="Arial" w:cs="Arial" w:eastAsia="Arial" w:hAnsi="Arial"/>
                <w:sz w:val="19"/>
                <w:szCs w:val="19"/>
              </w:rPr>
              <w:t xml:space="preserve"/>
            </w:r>
          </w:p>
        </w:tc>
      </w:tr>
      <w:tr>
        <w:tc>
          <w:tcPr>
            <w:tcW w:type="dxa" w:w="20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19"/>
                <w:szCs w:val="19"/>
              </w:rPr>
              <w:t xml:space="preserve">  Licensing (blended)</w:t>
            </w:r>
          </w:p>
        </w:tc>
        <w:tc>
          <w:tcPr>
            <w:tcW w:type="dxa" w:w="175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19"/>
                <w:szCs w:val="19"/>
              </w:rPr>
              <w:t xml:space="preserve">£240K</w:t>
            </w:r>
          </w:p>
        </w:tc>
        <w:tc>
          <w:tcPr>
            <w:tcW w:type="dxa" w:w="175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19"/>
                <w:szCs w:val="19"/>
              </w:rPr>
              <w:t xml:space="preserve">£250K</w:t>
            </w:r>
          </w:p>
        </w:tc>
        <w:tc>
          <w:tcPr>
            <w:tcW w:type="dxa" w:w="175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19"/>
                <w:szCs w:val="19"/>
              </w:rPr>
              <w:t xml:space="preserve">£260K</w:t>
            </w:r>
          </w:p>
        </w:tc>
        <w:tc>
          <w:tcPr>
            <w:tcW w:type="dxa" w:w="175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19"/>
                <w:szCs w:val="19"/>
              </w:rPr>
              <w:t xml:space="preserve">£750K</w:t>
            </w:r>
          </w:p>
        </w:tc>
      </w:tr>
      <w:tr>
        <w:tc>
          <w:tcPr>
            <w:tcW w:type="dxa" w:w="20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19"/>
                <w:szCs w:val="19"/>
              </w:rPr>
              <w:t xml:space="preserve">  Implementation (partner)</w:t>
            </w:r>
          </w:p>
        </w:tc>
        <w:tc>
          <w:tcPr>
            <w:tcW w:type="dxa" w:w="175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19"/>
                <w:szCs w:val="19"/>
              </w:rPr>
              <w:t xml:space="preserve">£150K</w:t>
            </w:r>
          </w:p>
        </w:tc>
        <w:tc>
          <w:tcPr>
            <w:tcW w:type="dxa" w:w="175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19"/>
                <w:szCs w:val="19"/>
              </w:rPr>
              <w:t xml:space="preserve">—</w:t>
            </w:r>
          </w:p>
        </w:tc>
        <w:tc>
          <w:tcPr>
            <w:tcW w:type="dxa" w:w="175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19"/>
                <w:szCs w:val="19"/>
              </w:rPr>
              <w:t xml:space="preserve">—</w:t>
            </w:r>
          </w:p>
        </w:tc>
        <w:tc>
          <w:tcPr>
            <w:tcW w:type="dxa" w:w="175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19"/>
                <w:szCs w:val="19"/>
              </w:rPr>
              <w:t xml:space="preserve">£150K</w:t>
            </w:r>
          </w:p>
        </w:tc>
      </w:tr>
      <w:tr>
        <w:tc>
          <w:tcPr>
            <w:tcW w:type="dxa" w:w="20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19"/>
                <w:szCs w:val="19"/>
              </w:rPr>
              <w:t xml:space="preserve">  Copilot add-on</w:t>
            </w:r>
          </w:p>
        </w:tc>
        <w:tc>
          <w:tcPr>
            <w:tcW w:type="dxa" w:w="175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19"/>
                <w:szCs w:val="19"/>
              </w:rPr>
              <w:t xml:space="preserve">£60K</w:t>
            </w:r>
          </w:p>
        </w:tc>
        <w:tc>
          <w:tcPr>
            <w:tcW w:type="dxa" w:w="175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19"/>
                <w:szCs w:val="19"/>
              </w:rPr>
              <w:t xml:space="preserve">£65K</w:t>
            </w:r>
          </w:p>
        </w:tc>
        <w:tc>
          <w:tcPr>
            <w:tcW w:type="dxa" w:w="175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19"/>
                <w:szCs w:val="19"/>
              </w:rPr>
              <w:t xml:space="preserve">£65K</w:t>
            </w:r>
          </w:p>
        </w:tc>
        <w:tc>
          <w:tcPr>
            <w:tcW w:type="dxa" w:w="175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19"/>
                <w:szCs w:val="19"/>
              </w:rPr>
              <w:t xml:space="preserve">£190K</w:t>
            </w:r>
          </w:p>
        </w:tc>
      </w:tr>
      <w:tr>
        <w:tc>
          <w:tcPr>
            <w:tcW w:type="dxa" w:w="20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sz w:val="19"/>
                <w:szCs w:val="19"/>
              </w:rPr>
              <w:t xml:space="preserve">  Subtotal</w:t>
            </w:r>
          </w:p>
        </w:tc>
        <w:tc>
          <w:tcPr>
            <w:tcW w:type="dxa" w:w="175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sz w:val="19"/>
                <w:szCs w:val="19"/>
              </w:rPr>
              <w:t xml:space="preserve">£450K</w:t>
            </w:r>
          </w:p>
        </w:tc>
        <w:tc>
          <w:tcPr>
            <w:tcW w:type="dxa" w:w="175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sz w:val="19"/>
                <w:szCs w:val="19"/>
              </w:rPr>
              <w:t xml:space="preserve">£315K</w:t>
            </w:r>
          </w:p>
        </w:tc>
        <w:tc>
          <w:tcPr>
            <w:tcW w:type="dxa" w:w="175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sz w:val="19"/>
                <w:szCs w:val="19"/>
              </w:rPr>
              <w:t xml:space="preserve">£325K</w:t>
            </w:r>
          </w:p>
        </w:tc>
        <w:tc>
          <w:tcPr>
            <w:tcW w:type="dxa" w:w="1750"/>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vAlign w:val="center"/>
          </w:tcPr>
          <w:p>
            <w:r>
              <w:rPr>
                <w:rFonts w:ascii="Arial" w:cs="Arial" w:eastAsia="Arial" w:hAnsi="Arial"/>
                <w:b/>
                <w:bCs/>
                <w:sz w:val="19"/>
                <w:szCs w:val="19"/>
              </w:rPr>
              <w:t xml:space="preserve">£1,090K</w:t>
            </w:r>
          </w:p>
        </w:tc>
      </w:tr>
      <w:tr>
        <w:tc>
          <w:tcPr>
            <w:tcW w:type="dxa" w:w="2026"/>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r>
              <w:rPr>
                <w:rFonts w:ascii="Arial" w:cs="Arial" w:eastAsia="Arial" w:hAnsi="Arial"/>
                <w:b/>
                <w:bCs/>
                <w:sz w:val="19"/>
                <w:szCs w:val="19"/>
              </w:rPr>
              <w:t xml:space="preserve">D: Zoho CRM</w:t>
            </w:r>
          </w:p>
        </w:tc>
        <w:tc>
          <w:tcPr>
            <w:tcW w:type="dxa" w:w="175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r>
              <w:rPr>
                <w:rFonts w:ascii="Arial" w:cs="Arial" w:eastAsia="Arial" w:hAnsi="Arial"/>
                <w:sz w:val="19"/>
                <w:szCs w:val="19"/>
              </w:rPr>
              <w:t xml:space="preserve"/>
            </w:r>
          </w:p>
        </w:tc>
        <w:tc>
          <w:tcPr>
            <w:tcW w:type="dxa" w:w="175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r>
              <w:rPr>
                <w:rFonts w:ascii="Arial" w:cs="Arial" w:eastAsia="Arial" w:hAnsi="Arial"/>
                <w:sz w:val="19"/>
                <w:szCs w:val="19"/>
              </w:rPr>
              <w:t xml:space="preserve"/>
            </w:r>
          </w:p>
        </w:tc>
        <w:tc>
          <w:tcPr>
            <w:tcW w:type="dxa" w:w="175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r>
              <w:rPr>
                <w:rFonts w:ascii="Arial" w:cs="Arial" w:eastAsia="Arial" w:hAnsi="Arial"/>
                <w:sz w:val="19"/>
                <w:szCs w:val="19"/>
              </w:rPr>
              <w:t xml:space="preserve"/>
            </w:r>
          </w:p>
        </w:tc>
        <w:tc>
          <w:tcPr>
            <w:tcW w:type="dxa" w:w="175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r>
              <w:rPr>
                <w:rFonts w:ascii="Arial" w:cs="Arial" w:eastAsia="Arial" w:hAnsi="Arial"/>
                <w:sz w:val="19"/>
                <w:szCs w:val="19"/>
              </w:rPr>
              <w:t xml:space="preserve"/>
            </w:r>
          </w:p>
        </w:tc>
      </w:tr>
      <w:tr>
        <w:tc>
          <w:tcPr>
            <w:tcW w:type="dxa" w:w="20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19"/>
                <w:szCs w:val="19"/>
              </w:rPr>
              <w:t xml:space="preserve">  Licensing (Enterprise)</w:t>
            </w:r>
          </w:p>
        </w:tc>
        <w:tc>
          <w:tcPr>
            <w:tcW w:type="dxa" w:w="175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19"/>
                <w:szCs w:val="19"/>
              </w:rPr>
              <w:t xml:space="preserve">£65K</w:t>
            </w:r>
          </w:p>
        </w:tc>
        <w:tc>
          <w:tcPr>
            <w:tcW w:type="dxa" w:w="175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19"/>
                <w:szCs w:val="19"/>
              </w:rPr>
              <w:t xml:space="preserve">£68K</w:t>
            </w:r>
          </w:p>
        </w:tc>
        <w:tc>
          <w:tcPr>
            <w:tcW w:type="dxa" w:w="175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19"/>
                <w:szCs w:val="19"/>
              </w:rPr>
              <w:t xml:space="preserve">£70K</w:t>
            </w:r>
          </w:p>
        </w:tc>
        <w:tc>
          <w:tcPr>
            <w:tcW w:type="dxa" w:w="175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19"/>
                <w:szCs w:val="19"/>
              </w:rPr>
              <w:t xml:space="preserve">£203K</w:t>
            </w:r>
          </w:p>
        </w:tc>
      </w:tr>
      <w:tr>
        <w:tc>
          <w:tcPr>
            <w:tcW w:type="dxa" w:w="20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19"/>
                <w:szCs w:val="19"/>
              </w:rPr>
              <w:t xml:space="preserve">  Implementation</w:t>
            </w:r>
          </w:p>
        </w:tc>
        <w:tc>
          <w:tcPr>
            <w:tcW w:type="dxa" w:w="175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19"/>
                <w:szCs w:val="19"/>
              </w:rPr>
              <w:t xml:space="preserve">£40K</w:t>
            </w:r>
          </w:p>
        </w:tc>
        <w:tc>
          <w:tcPr>
            <w:tcW w:type="dxa" w:w="175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19"/>
                <w:szCs w:val="19"/>
              </w:rPr>
              <w:t xml:space="preserve">—</w:t>
            </w:r>
          </w:p>
        </w:tc>
        <w:tc>
          <w:tcPr>
            <w:tcW w:type="dxa" w:w="175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19"/>
                <w:szCs w:val="19"/>
              </w:rPr>
              <w:t xml:space="preserve">—</w:t>
            </w:r>
          </w:p>
        </w:tc>
        <w:tc>
          <w:tcPr>
            <w:tcW w:type="dxa" w:w="175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19"/>
                <w:szCs w:val="19"/>
              </w:rPr>
              <w:t xml:space="preserve">£40K</w:t>
            </w:r>
          </w:p>
        </w:tc>
      </w:tr>
      <w:tr>
        <w:tc>
          <w:tcPr>
            <w:tcW w:type="dxa" w:w="20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sz w:val="19"/>
                <w:szCs w:val="19"/>
              </w:rPr>
              <w:t xml:space="preserve">  Subtotal</w:t>
            </w:r>
          </w:p>
        </w:tc>
        <w:tc>
          <w:tcPr>
            <w:tcW w:type="dxa" w:w="175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sz w:val="19"/>
                <w:szCs w:val="19"/>
              </w:rPr>
              <w:t xml:space="preserve">£105K</w:t>
            </w:r>
          </w:p>
        </w:tc>
        <w:tc>
          <w:tcPr>
            <w:tcW w:type="dxa" w:w="175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sz w:val="19"/>
                <w:szCs w:val="19"/>
              </w:rPr>
              <w:t xml:space="preserve">£68K</w:t>
            </w:r>
          </w:p>
        </w:tc>
        <w:tc>
          <w:tcPr>
            <w:tcW w:type="dxa" w:w="175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sz w:val="19"/>
                <w:szCs w:val="19"/>
              </w:rPr>
              <w:t xml:space="preserve">£70K</w:t>
            </w:r>
          </w:p>
        </w:tc>
        <w:tc>
          <w:tcPr>
            <w:tcW w:type="dxa" w:w="1750"/>
            <w:tcBorders>
              <w:top w:val="single" w:color="CCCCCC" w:sz="1"/>
              <w:left w:val="single" w:color="CCCCCC" w:sz="1"/>
              <w:bottom w:val="single" w:color="CCCCCC" w:sz="1"/>
              <w:right w:val="single" w:color="CCCCCC" w:sz="1"/>
            </w:tcBorders>
            <w:shd w:fill="E8F8F5" w:val="clear"/>
            <w:tcMar>
              <w:top w:type="dxa" w:w="80"/>
              <w:left w:type="dxa" w:w="120"/>
              <w:bottom w:type="dxa" w:w="80"/>
              <w:right w:type="dxa" w:w="120"/>
            </w:tcMar>
            <w:vAlign w:val="center"/>
          </w:tcPr>
          <w:p>
            <w:r>
              <w:rPr>
                <w:rFonts w:ascii="Arial" w:cs="Arial" w:eastAsia="Arial" w:hAnsi="Arial"/>
                <w:b/>
                <w:bCs/>
                <w:sz w:val="19"/>
                <w:szCs w:val="19"/>
              </w:rPr>
              <w:t xml:space="preserve">£243K</w:t>
            </w:r>
          </w:p>
        </w:tc>
      </w:tr>
      <w:tr>
        <w:tc>
          <w:tcPr>
            <w:tcW w:type="dxa" w:w="2026"/>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r>
              <w:rPr>
                <w:rFonts w:ascii="Arial" w:cs="Arial" w:eastAsia="Arial" w:hAnsi="Arial"/>
                <w:b/>
                <w:bCs/>
                <w:sz w:val="19"/>
                <w:szCs w:val="19"/>
              </w:rPr>
              <w:t xml:space="preserve">E: Twenty CRM on GCP</w:t>
            </w:r>
          </w:p>
        </w:tc>
        <w:tc>
          <w:tcPr>
            <w:tcW w:type="dxa" w:w="175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r>
              <w:rPr>
                <w:rFonts w:ascii="Arial" w:cs="Arial" w:eastAsia="Arial" w:hAnsi="Arial"/>
                <w:sz w:val="19"/>
                <w:szCs w:val="19"/>
              </w:rPr>
              <w:t xml:space="preserve"/>
            </w:r>
          </w:p>
        </w:tc>
        <w:tc>
          <w:tcPr>
            <w:tcW w:type="dxa" w:w="175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r>
              <w:rPr>
                <w:rFonts w:ascii="Arial" w:cs="Arial" w:eastAsia="Arial" w:hAnsi="Arial"/>
                <w:sz w:val="19"/>
                <w:szCs w:val="19"/>
              </w:rPr>
              <w:t xml:space="preserve"/>
            </w:r>
          </w:p>
        </w:tc>
        <w:tc>
          <w:tcPr>
            <w:tcW w:type="dxa" w:w="175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r>
              <w:rPr>
                <w:rFonts w:ascii="Arial" w:cs="Arial" w:eastAsia="Arial" w:hAnsi="Arial"/>
                <w:sz w:val="19"/>
                <w:szCs w:val="19"/>
              </w:rPr>
              <w:t xml:space="preserve"/>
            </w:r>
          </w:p>
        </w:tc>
        <w:tc>
          <w:tcPr>
            <w:tcW w:type="dxa" w:w="175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r>
              <w:rPr>
                <w:rFonts w:ascii="Arial" w:cs="Arial" w:eastAsia="Arial" w:hAnsi="Arial"/>
                <w:sz w:val="19"/>
                <w:szCs w:val="19"/>
              </w:rPr>
              <w:t xml:space="preserve"/>
            </w:r>
          </w:p>
        </w:tc>
      </w:tr>
      <w:tr>
        <w:tc>
          <w:tcPr>
            <w:tcW w:type="dxa" w:w="20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19"/>
                <w:szCs w:val="19"/>
              </w:rPr>
              <w:t xml:space="preserve">  GCP infrastructure</w:t>
            </w:r>
          </w:p>
        </w:tc>
        <w:tc>
          <w:tcPr>
            <w:tcW w:type="dxa" w:w="175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19"/>
                <w:szCs w:val="19"/>
              </w:rPr>
              <w:t xml:space="preserve">£90K</w:t>
            </w:r>
          </w:p>
        </w:tc>
        <w:tc>
          <w:tcPr>
            <w:tcW w:type="dxa" w:w="175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19"/>
                <w:szCs w:val="19"/>
              </w:rPr>
              <w:t xml:space="preserve">£90K</w:t>
            </w:r>
          </w:p>
        </w:tc>
        <w:tc>
          <w:tcPr>
            <w:tcW w:type="dxa" w:w="175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19"/>
                <w:szCs w:val="19"/>
              </w:rPr>
              <w:t xml:space="preserve">£95K</w:t>
            </w:r>
          </w:p>
        </w:tc>
        <w:tc>
          <w:tcPr>
            <w:tcW w:type="dxa" w:w="175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19"/>
                <w:szCs w:val="19"/>
              </w:rPr>
              <w:t xml:space="preserve">£275K</w:t>
            </w:r>
          </w:p>
        </w:tc>
      </w:tr>
      <w:tr>
        <w:tc>
          <w:tcPr>
            <w:tcW w:type="dxa" w:w="20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19"/>
                <w:szCs w:val="19"/>
              </w:rPr>
              <w:t xml:space="preserve">  Implementation (internal)</w:t>
            </w:r>
          </w:p>
        </w:tc>
        <w:tc>
          <w:tcPr>
            <w:tcW w:type="dxa" w:w="175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19"/>
                <w:szCs w:val="19"/>
              </w:rPr>
              <w:t xml:space="preserve">£160K</w:t>
            </w:r>
          </w:p>
        </w:tc>
        <w:tc>
          <w:tcPr>
            <w:tcW w:type="dxa" w:w="175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19"/>
                <w:szCs w:val="19"/>
              </w:rPr>
              <w:t xml:space="preserve">—</w:t>
            </w:r>
          </w:p>
        </w:tc>
        <w:tc>
          <w:tcPr>
            <w:tcW w:type="dxa" w:w="175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19"/>
                <w:szCs w:val="19"/>
              </w:rPr>
              <w:t xml:space="preserve">—</w:t>
            </w:r>
          </w:p>
        </w:tc>
        <w:tc>
          <w:tcPr>
            <w:tcW w:type="dxa" w:w="175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19"/>
                <w:szCs w:val="19"/>
              </w:rPr>
              <w:t xml:space="preserve">£160K</w:t>
            </w:r>
          </w:p>
        </w:tc>
      </w:tr>
      <w:tr>
        <w:tc>
          <w:tcPr>
            <w:tcW w:type="dxa" w:w="20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19"/>
                <w:szCs w:val="19"/>
              </w:rPr>
              <w:t xml:space="preserve">  Ongoing maintenance (0.5 FTE)</w:t>
            </w:r>
          </w:p>
        </w:tc>
        <w:tc>
          <w:tcPr>
            <w:tcW w:type="dxa" w:w="175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19"/>
                <w:szCs w:val="19"/>
              </w:rPr>
              <w:t xml:space="preserve">—</w:t>
            </w:r>
          </w:p>
        </w:tc>
        <w:tc>
          <w:tcPr>
            <w:tcW w:type="dxa" w:w="175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19"/>
                <w:szCs w:val="19"/>
              </w:rPr>
              <w:t xml:space="preserve">£45K</w:t>
            </w:r>
          </w:p>
        </w:tc>
        <w:tc>
          <w:tcPr>
            <w:tcW w:type="dxa" w:w="175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19"/>
                <w:szCs w:val="19"/>
              </w:rPr>
              <w:t xml:space="preserve">£45K</w:t>
            </w:r>
          </w:p>
        </w:tc>
        <w:tc>
          <w:tcPr>
            <w:tcW w:type="dxa" w:w="175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19"/>
                <w:szCs w:val="19"/>
              </w:rPr>
              <w:t xml:space="preserve">£90K</w:t>
            </w:r>
          </w:p>
        </w:tc>
      </w:tr>
      <w:tr>
        <w:tc>
          <w:tcPr>
            <w:tcW w:type="dxa" w:w="20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sz w:val="19"/>
                <w:szCs w:val="19"/>
              </w:rPr>
              <w:t xml:space="preserve">  Subtotal</w:t>
            </w:r>
          </w:p>
        </w:tc>
        <w:tc>
          <w:tcPr>
            <w:tcW w:type="dxa" w:w="175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sz w:val="19"/>
                <w:szCs w:val="19"/>
              </w:rPr>
              <w:t xml:space="preserve">£250K</w:t>
            </w:r>
          </w:p>
        </w:tc>
        <w:tc>
          <w:tcPr>
            <w:tcW w:type="dxa" w:w="175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sz w:val="19"/>
                <w:szCs w:val="19"/>
              </w:rPr>
              <w:t xml:space="preserve">£135K</w:t>
            </w:r>
          </w:p>
        </w:tc>
        <w:tc>
          <w:tcPr>
            <w:tcW w:type="dxa" w:w="175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sz w:val="19"/>
                <w:szCs w:val="19"/>
              </w:rPr>
              <w:t xml:space="preserve">£140K</w:t>
            </w:r>
          </w:p>
        </w:tc>
        <w:tc>
          <w:tcPr>
            <w:tcW w:type="dxa" w:w="1750"/>
            <w:tcBorders>
              <w:top w:val="single" w:color="CCCCCC" w:sz="1"/>
              <w:left w:val="single" w:color="CCCCCC" w:sz="1"/>
              <w:bottom w:val="single" w:color="CCCCCC" w:sz="1"/>
              <w:right w:val="single" w:color="CCCCCC" w:sz="1"/>
            </w:tcBorders>
            <w:shd w:fill="E8F8F5" w:val="clear"/>
            <w:tcMar>
              <w:top w:type="dxa" w:w="80"/>
              <w:left w:type="dxa" w:w="120"/>
              <w:bottom w:type="dxa" w:w="80"/>
              <w:right w:type="dxa" w:w="120"/>
            </w:tcMar>
            <w:vAlign w:val="center"/>
          </w:tcPr>
          <w:p>
            <w:r>
              <w:rPr>
                <w:rFonts w:ascii="Arial" w:cs="Arial" w:eastAsia="Arial" w:hAnsi="Arial"/>
                <w:b/>
                <w:bCs/>
                <w:sz w:val="19"/>
                <w:szCs w:val="19"/>
              </w:rPr>
              <w:t xml:space="preserve">£525K</w:t>
            </w:r>
          </w:p>
        </w:tc>
      </w:tr>
    </w:tbl>
    <w:p>
      <w:pPr>
        <w:spacing w:after="140"/>
      </w:pPr>
      <w:r>
        <w:rPr>
          <w:rFonts w:ascii="Arial" w:cs="Arial" w:eastAsia="Arial" w:hAnsi="Arial"/>
          <w:sz w:val="21"/>
          <w:szCs w:val="21"/>
        </w:rPr>
        <w:t xml:space="preserve"/>
      </w:r>
    </w:p>
    <w:p>
      <w:pPr>
        <w:spacing w:after="140"/>
      </w:pPr>
      <w:r>
        <w:rPr>
          <w:rFonts w:ascii="Arial" w:cs="Arial" w:eastAsia="Arial" w:hAnsi="Arial"/>
          <w:b/>
          <w:bCs/>
          <w:sz w:val="21"/>
          <w:szCs w:val="21"/>
        </w:rPr>
        <w:t xml:space="preserve">Key insight: </w:t>
      </w:r>
      <w:r>
        <w:rPr>
          <w:rFonts w:ascii="Arial" w:cs="Arial" w:eastAsia="Arial" w:hAnsi="Arial"/>
          <w:sz w:val="21"/>
          <w:szCs w:val="21"/>
        </w:rPr>
        <w:t xml:space="preserve">Zoho is the cheapest option on pure TCO (£243K over 3 years). However, Twenty CRM (£525K) delivers dramatically more strategic value — GCP alignment, AI extensibility, data sovereignty, and reusable client IP — while still saving £780K versus retaining Salesforce over 3 years. The cost delta between Zoho and Twenty (£282K) buys Searce full platform control, unlimited AI capabilities, and a consulting asset worth significantly more than the investment.</w:t>
      </w:r>
    </w:p>
    <w:p>
      <w:r>
        <w:br w:type="page"/>
      </w:r>
    </w:p>
    <w:p>
      <w:pPr>
        <w:pStyle w:val="Heading1"/>
        <w:spacing w:before="360" w:after="120"/>
      </w:pPr>
      <w:r>
        <w:rPr>
          <w:rFonts w:ascii="Arial" w:cs="Arial" w:eastAsia="Arial" w:hAnsi="Arial"/>
        </w:rPr>
        <w:t xml:space="preserve">6. Recommendation</w:t>
      </w:r>
    </w:p>
    <w:p>
      <w:pPr>
        <w:pStyle w:val="Heading2"/>
        <w:spacing w:before="240" w:after="120"/>
      </w:pPr>
      <w:r>
        <w:rPr>
          <w:rFonts w:ascii="Arial" w:cs="Arial" w:eastAsia="Arial" w:hAnsi="Arial"/>
        </w:rPr>
        <w:t xml:space="preserve">6.1 Primary Recommendation: Option E — Twenty CRM on GCP</w:t>
      </w:r>
    </w:p>
    <w:p>
      <w:pPr>
        <w:spacing w:after="140"/>
      </w:pPr>
      <w:r>
        <w:rPr>
          <w:rFonts w:ascii="Arial" w:cs="Arial" w:eastAsia="Arial" w:hAnsi="Arial"/>
          <w:sz w:val="21"/>
          <w:szCs w:val="21"/>
        </w:rPr>
        <w:t xml:space="preserve">Twenty CRM on Google Cloud Platform is the recommended platform for Project Nexus. The recommendation is based on four pillars:</w:t>
      </w:r>
    </w:p>
    <w:p>
      <w:pPr>
        <w:pStyle w:val="ListParagraph"/>
        <w:numPr>
          <w:ilvl w:val="0"/>
          <w:numId w:val="2"/>
        </w:numPr>
        <w:spacing w:after="80"/>
      </w:pPr>
      <w:r>
        <w:rPr>
          <w:rFonts w:ascii="Arial" w:cs="Arial" w:eastAsia="Arial" w:hAnsi="Arial"/>
          <w:b/>
          <w:bCs/>
          <w:sz w:val="21"/>
          <w:szCs w:val="21"/>
        </w:rPr>
        <w:t xml:space="preserve">Strategic alignment: </w:t>
      </w:r>
      <w:r>
        <w:rPr>
          <w:rFonts w:ascii="Arial" w:cs="Arial" w:eastAsia="Arial" w:hAnsi="Arial"/>
          <w:sz w:val="21"/>
          <w:szCs w:val="21"/>
        </w:rPr>
        <w:t xml:space="preserve">Searce is a Google Cloud Premier Partner. Running our CRM on GCP — using GKE, Cloud SQL, Vertex AI, and BigQuery — aligns our internal operations with our market positioning. Every client conversation about cloud modernisation becomes more credible when we’ve done it ourselves.</w:t>
      </w:r>
    </w:p>
    <w:p>
      <w:pPr>
        <w:pStyle w:val="ListParagraph"/>
        <w:numPr>
          <w:ilvl w:val="0"/>
          <w:numId w:val="2"/>
        </w:numPr>
        <w:spacing w:after="80"/>
      </w:pPr>
      <w:r>
        <w:rPr>
          <w:rFonts w:ascii="Arial" w:cs="Arial" w:eastAsia="Arial" w:hAnsi="Arial"/>
          <w:b/>
          <w:bCs/>
          <w:sz w:val="21"/>
          <w:szCs w:val="21"/>
        </w:rPr>
        <w:t xml:space="preserve">AI-native differentiation: </w:t>
      </w:r>
      <w:r>
        <w:rPr>
          <w:rFonts w:ascii="Arial" w:cs="Arial" w:eastAsia="Arial" w:hAnsi="Arial"/>
          <w:sz w:val="21"/>
          <w:szCs w:val="21"/>
        </w:rPr>
        <w:t xml:space="preserve">No SaaS CRM offers the AI extensibility that a self-hosted platform on Vertex AI provides. Conversational CRM, auto-capture from Google Workspace, predictive pipeline scoring, and meeting summarisation — these capabilities are buildable on Twenty + Vertex AI but impossible (or prohibitively expensive) on any proprietary platform.</w:t>
      </w:r>
    </w:p>
    <w:p>
      <w:pPr>
        <w:pStyle w:val="ListParagraph"/>
        <w:numPr>
          <w:ilvl w:val="0"/>
          <w:numId w:val="2"/>
        </w:numPr>
        <w:spacing w:after="80"/>
      </w:pPr>
      <w:r>
        <w:rPr>
          <w:rFonts w:ascii="Arial" w:cs="Arial" w:eastAsia="Arial" w:hAnsi="Arial"/>
          <w:b/>
          <w:bCs/>
          <w:sz w:val="21"/>
          <w:szCs w:val="21"/>
        </w:rPr>
        <w:t xml:space="preserve">Economics: </w:t>
      </w:r>
      <w:r>
        <w:rPr>
          <w:rFonts w:ascii="Arial" w:cs="Arial" w:eastAsia="Arial" w:hAnsi="Arial"/>
          <w:sz w:val="21"/>
          <w:szCs w:val="21"/>
        </w:rPr>
        <w:t xml:space="preserve">After Year 1 implementation, Twenty CRM’s ongoing cost (£135K–£140K/year) is 70% less than the optimised Salesforce cost and 55% less than HubSpot or Dynamics. The savings compound every year.</w:t>
      </w:r>
    </w:p>
    <w:p>
      <w:pPr>
        <w:pStyle w:val="ListParagraph"/>
        <w:numPr>
          <w:ilvl w:val="0"/>
          <w:numId w:val="2"/>
        </w:numPr>
        <w:spacing w:after="80"/>
      </w:pPr>
      <w:r>
        <w:rPr>
          <w:rFonts w:ascii="Arial" w:cs="Arial" w:eastAsia="Arial" w:hAnsi="Arial"/>
          <w:b/>
          <w:bCs/>
          <w:sz w:val="21"/>
          <w:szCs w:val="21"/>
        </w:rPr>
        <w:t xml:space="preserve">Client IP creation: </w:t>
      </w:r>
      <w:r>
        <w:rPr>
          <w:rFonts w:ascii="Arial" w:cs="Arial" w:eastAsia="Arial" w:hAnsi="Arial"/>
          <w:sz w:val="21"/>
          <w:szCs w:val="21"/>
        </w:rPr>
        <w:t xml:space="preserve">The migration methodology, GCP reference architecture, and AI integration patterns become reusable consulting assets. This is unique to the open-source option — migrating to HubSpot or Zoho creates no IP that Searce can monetise.</w:t>
      </w:r>
    </w:p>
    <w:p>
      <w:pPr>
        <w:pStyle w:val="Heading2"/>
        <w:spacing w:before="240" w:after="120"/>
      </w:pPr>
      <w:r>
        <w:rPr>
          <w:rFonts w:ascii="Arial" w:cs="Arial" w:eastAsia="Arial" w:hAnsi="Arial"/>
        </w:rPr>
        <w:t xml:space="preserve">6.2 Risk Mitigation: Hybrid Approach for Marketing Automation</w:t>
      </w:r>
    </w:p>
    <w:p>
      <w:pPr>
        <w:spacing w:after="140"/>
      </w:pPr>
      <w:r>
        <w:rPr>
          <w:rFonts w:ascii="Arial" w:cs="Arial" w:eastAsia="Arial" w:hAnsi="Arial"/>
          <w:sz w:val="21"/>
          <w:szCs w:val="21"/>
        </w:rPr>
        <w:t xml:space="preserve">Twenty CRM’s marketing automation capabilities are less mature than HubSpot or Salesforce Marketing Cloud. The recommended mitigation is a hybrid approach:</w:t>
      </w:r>
    </w:p>
    <w:p>
      <w:pPr>
        <w:pStyle w:val="ListParagraph"/>
        <w:numPr>
          <w:ilvl w:val="0"/>
          <w:numId w:val="3"/>
        </w:numPr>
        <w:spacing w:after="80"/>
      </w:pPr>
      <w:r>
        <w:rPr>
          <w:rFonts w:ascii="Arial" w:cs="Arial" w:eastAsia="Arial" w:hAnsi="Arial"/>
          <w:sz w:val="21"/>
          <w:szCs w:val="21"/>
        </w:rPr>
        <w:t xml:space="preserve">Core CRM (Sales, Accounts, Contacts, Support, Pipeline): Twenty CRM on GCP</w:t>
      </w:r>
    </w:p>
    <w:p>
      <w:pPr>
        <w:pStyle w:val="ListParagraph"/>
        <w:numPr>
          <w:ilvl w:val="0"/>
          <w:numId w:val="3"/>
        </w:numPr>
        <w:spacing w:after="80"/>
      </w:pPr>
      <w:r>
        <w:rPr>
          <w:rFonts w:ascii="Arial" w:cs="Arial" w:eastAsia="Arial" w:hAnsi="Arial"/>
          <w:sz w:val="21"/>
          <w:szCs w:val="21"/>
        </w:rPr>
        <w:t xml:space="preserve">Advanced email marketing and campaign automation: Integrate a specialist tool (SendGrid, Mailchimp, or Brevo) via Twenty’s API and webhook workflows</w:t>
      </w:r>
    </w:p>
    <w:p>
      <w:pPr>
        <w:pStyle w:val="ListParagraph"/>
        <w:numPr>
          <w:ilvl w:val="0"/>
          <w:numId w:val="3"/>
        </w:numPr>
        <w:spacing w:after="80"/>
      </w:pPr>
      <w:r>
        <w:rPr>
          <w:rFonts w:ascii="Arial" w:cs="Arial" w:eastAsia="Arial" w:hAnsi="Arial"/>
          <w:sz w:val="21"/>
          <w:szCs w:val="21"/>
        </w:rPr>
        <w:t xml:space="preserve">Lead management and scoring: Built natively in Twenty with Vertex AI-powered scoring</w:t>
      </w:r>
    </w:p>
    <w:p>
      <w:pPr>
        <w:pStyle w:val="ListParagraph"/>
        <w:numPr>
          <w:ilvl w:val="0"/>
          <w:numId w:val="3"/>
        </w:numPr>
        <w:spacing w:after="80"/>
      </w:pPr>
      <w:r>
        <w:rPr>
          <w:rFonts w:ascii="Arial" w:cs="Arial" w:eastAsia="Arial" w:hAnsi="Arial"/>
          <w:sz w:val="21"/>
          <w:szCs w:val="21"/>
        </w:rPr>
        <w:t xml:space="preserve">Long-term: Evaluate Twenty’s marketing capabilities at 12-month mark; migrate from specialist tool if sufficient</w:t>
      </w:r>
    </w:p>
    <w:p>
      <w:pPr>
        <w:pStyle w:val="Heading2"/>
        <w:spacing w:before="240" w:after="120"/>
      </w:pPr>
      <w:r>
        <w:rPr>
          <w:rFonts w:ascii="Arial" w:cs="Arial" w:eastAsia="Arial" w:hAnsi="Arial"/>
        </w:rPr>
        <w:t xml:space="preserve">6.3 Fallback Recommendation</w:t>
      </w:r>
    </w:p>
    <w:p>
      <w:pPr>
        <w:spacing w:after="140"/>
      </w:pPr>
      <w:r>
        <w:rPr>
          <w:rFonts w:ascii="Arial" w:cs="Arial" w:eastAsia="Arial" w:hAnsi="Arial"/>
          <w:sz w:val="21"/>
          <w:szCs w:val="21"/>
        </w:rPr>
        <w:t xml:space="preserve">If the leadership team determines that implementation risk or engineering resource constraints make Option E unviable, </w:t>
      </w:r>
      <w:r>
        <w:rPr>
          <w:rFonts w:ascii="Arial" w:cs="Arial" w:eastAsia="Arial" w:hAnsi="Arial"/>
          <w:b/>
          <w:bCs/>
          <w:sz w:val="21"/>
          <w:szCs w:val="21"/>
        </w:rPr>
        <w:t xml:space="preserve">Option D (Zoho CRM) is the recommended fallback</w:t>
      </w:r>
      <w:r>
        <w:rPr>
          <w:rFonts w:ascii="Arial" w:cs="Arial" w:eastAsia="Arial" w:hAnsi="Arial"/>
          <w:sz w:val="21"/>
          <w:szCs w:val="21"/>
        </w:rPr>
        <w:t xml:space="preserve">. Zoho offers the lowest TCO, reasonable functional completeness, and minimal migration complexity. It does not deliver GCP alignment, AI extensibility, or strategic client value, but it satisfies the cost reduction objective at minimal risk.</w:t>
      </w:r>
    </w:p>
    <w:p>
      <w:r>
        <w:br w:type="page"/>
      </w:r>
    </w:p>
    <w:p>
      <w:pPr>
        <w:pStyle w:val="Heading1"/>
        <w:spacing w:before="360" w:after="120"/>
      </w:pPr>
      <w:r>
        <w:rPr>
          <w:rFonts w:ascii="Arial" w:cs="Arial" w:eastAsia="Arial" w:hAnsi="Arial"/>
        </w:rPr>
        <w:t xml:space="preserve">7. Recommended Implementation Roadmap</w:t>
      </w:r>
    </w:p>
    <w:p>
      <w:pPr>
        <w:spacing w:after="140"/>
      </w:pPr>
      <w:r>
        <w:rPr>
          <w:rFonts w:ascii="Arial" w:cs="Arial" w:eastAsia="Arial" w:hAnsi="Arial"/>
          <w:sz w:val="21"/>
          <w:szCs w:val="21"/>
        </w:rPr>
        <w:t xml:space="preserve">If Option E is approved, the following phased approach is recommended: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1200"/>
        <w:gridCol w:w="3500"/>
        <w:gridCol w:w="2826"/>
      </w:tblGrid>
      <w:tr>
        <w:tc>
          <w:tcPr>
            <w:tcW w:type="dxa" w:w="15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19"/>
                <w:szCs w:val="19"/>
              </w:rPr>
              <w:t xml:space="preserve">Phase</w:t>
            </w:r>
          </w:p>
        </w:tc>
        <w:tc>
          <w:tcPr>
            <w:tcW w:type="dxa" w:w="1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19"/>
                <w:szCs w:val="19"/>
              </w:rPr>
              <w:t xml:space="preserve">Timeline</w:t>
            </w:r>
          </w:p>
        </w:tc>
        <w:tc>
          <w:tcPr>
            <w:tcW w:type="dxa" w:w="35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19"/>
                <w:szCs w:val="19"/>
              </w:rPr>
              <w:t xml:space="preserve">Key Activities</w:t>
            </w:r>
          </w:p>
        </w:tc>
        <w:tc>
          <w:tcPr>
            <w:tcW w:type="dxa" w:w="2826"/>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19"/>
                <w:szCs w:val="19"/>
              </w:rPr>
              <w:t xml:space="preserve">Gate Criteria</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sz w:val="19"/>
                <w:szCs w:val="19"/>
              </w:rPr>
              <w:t xml:space="preserve">0. Decision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19"/>
                <w:szCs w:val="19"/>
              </w:rPr>
              <w:t xml:space="preserve">Weeks 1–2</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19"/>
                <w:szCs w:val="19"/>
              </w:rPr>
              <w:t xml:space="preserve">Confirm Salesforce contract terms. Secure budget approval. Form steering committee. Assign engineering resources.</w:t>
            </w:r>
          </w:p>
        </w:tc>
        <w:tc>
          <w:tcPr>
            <w:tcW w:type="dxa" w:w="28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19"/>
                <w:szCs w:val="19"/>
              </w:rPr>
              <w:t xml:space="preserve">Steering committee sign-off. Budget confirmed.</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sz w:val="19"/>
                <w:szCs w:val="19"/>
              </w:rPr>
              <w:t xml:space="preserve">1. Proof of Concept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19"/>
                <w:szCs w:val="19"/>
              </w:rPr>
              <w:t xml:space="preserve">Weeks 3–6</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19"/>
                <w:szCs w:val="19"/>
              </w:rPr>
              <w:t xml:space="preserve">Deploy Twenty on GKE (non-production). Configure SSO. Create core custom objects. Load sample data. Build one AI feature (conversational CRM). Demo to leadership.</w:t>
            </w:r>
          </w:p>
        </w:tc>
        <w:tc>
          <w:tcPr>
            <w:tcW w:type="dxa" w:w="28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19"/>
                <w:szCs w:val="19"/>
              </w:rPr>
              <w:t xml:space="preserve">Leadership demo approval. Technical feasibility confirmed.</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sz w:val="19"/>
                <w:szCs w:val="19"/>
              </w:rPr>
              <w:t xml:space="preserve">2. Pilot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19"/>
                <w:szCs w:val="19"/>
              </w:rPr>
              <w:t xml:space="preserve">Weeks 7–14</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19"/>
                <w:szCs w:val="19"/>
              </w:rPr>
              <w:t xml:space="preserve">Migrate one sales team (50 users). Full pipeline, accounts, contacts. Google Workspace sync. Slack integration. 30-day parallel operation with Salesforce.</w:t>
            </w:r>
          </w:p>
        </w:tc>
        <w:tc>
          <w:tcPr>
            <w:tcW w:type="dxa" w:w="28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19"/>
                <w:szCs w:val="19"/>
              </w:rPr>
              <w:t xml:space="preserve">Pilot team NPS &gt; 30. Data accuracy &gt; 99%. No critical blockers.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sz w:val="19"/>
                <w:szCs w:val="19"/>
              </w:rPr>
              <w:t xml:space="preserve">3. Scale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19"/>
                <w:szCs w:val="19"/>
              </w:rPr>
              <w:t xml:space="preserve">Weeks 15–22</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19"/>
                <w:szCs w:val="19"/>
              </w:rPr>
              <w:t xml:space="preserve">Roll out to all Sales, then Marketing, then Support. Full data migration. AI features deployed. Training programme delivered. Advanced integrations.</w:t>
            </w:r>
          </w:p>
        </w:tc>
        <w:tc>
          <w:tcPr>
            <w:tcW w:type="dxa" w:w="28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19"/>
                <w:szCs w:val="19"/>
              </w:rPr>
              <w:t xml:space="preserve">All 1,500 users migrated. DAU &gt; 60%. All functions operational.</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sz w:val="19"/>
                <w:szCs w:val="19"/>
              </w:rPr>
              <w:t xml:space="preserve">4. Optimise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19"/>
                <w:szCs w:val="19"/>
              </w:rPr>
              <w:t xml:space="preserve">Weeks 23–26</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19"/>
                <w:szCs w:val="19"/>
              </w:rPr>
              <w:t xml:space="preserve">Salesforce decommission prep. Performance tuning. Advanced AI (predictive pipeline, email intelligence). Case study and methodology documentation.</w:t>
            </w:r>
          </w:p>
        </w:tc>
        <w:tc>
          <w:tcPr>
            <w:tcW w:type="dxa" w:w="28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19"/>
                <w:szCs w:val="19"/>
              </w:rPr>
              <w:t xml:space="preserve">Salesforce set to read-only. Cost savings validated. Case study published.</w:t>
            </w:r>
          </w:p>
        </w:tc>
      </w:tr>
    </w:tbl>
    <w:p>
      <w:pPr>
        <w:spacing w:after="140"/>
      </w:pPr>
      <w:r>
        <w:rPr>
          <w:rFonts w:ascii="Arial" w:cs="Arial" w:eastAsia="Arial" w:hAnsi="Arial"/>
          <w:sz w:val="21"/>
          <w:szCs w:val="21"/>
        </w:rPr>
        <w:t xml:space="preserve"/>
      </w:r>
    </w:p>
    <w:p>
      <w:pPr>
        <w:pStyle w:val="Heading1"/>
        <w:spacing w:before="360" w:after="120"/>
      </w:pPr>
      <w:r>
        <w:rPr>
          <w:rFonts w:ascii="Arial" w:cs="Arial" w:eastAsia="Arial" w:hAnsi="Arial"/>
        </w:rPr>
        <w:t xml:space="preserve">8. Immediate Next Steps</w:t>
      </w:r>
    </w:p>
    <w:p>
      <w:pPr>
        <w:spacing w:after="140"/>
      </w:pPr>
      <w:r>
        <w:rPr>
          <w:rFonts w:ascii="Arial" w:cs="Arial" w:eastAsia="Arial" w:hAnsi="Arial"/>
          <w:sz w:val="21"/>
          <w:szCs w:val="21"/>
        </w:rPr>
        <w:t xml:space="preserve">The following actions are required to move from analysis to decision:</w:t>
      </w:r>
    </w:p>
    <w:p>
      <w:pPr>
        <w:pStyle w:val="ListParagraph"/>
        <w:numPr>
          <w:ilvl w:val="0"/>
          <w:numId w:val="4"/>
        </w:numPr>
        <w:spacing w:after="80"/>
      </w:pPr>
      <w:r>
        <w:rPr>
          <w:rFonts w:ascii="Arial" w:cs="Arial" w:eastAsia="Arial" w:hAnsi="Arial"/>
          <w:b/>
          <w:bCs/>
          <w:sz w:val="21"/>
          <w:szCs w:val="21"/>
        </w:rPr>
        <w:t xml:space="preserve">Confirm Salesforce contract: </w:t>
      </w:r>
      <w:r>
        <w:rPr>
          <w:rFonts w:ascii="Arial" w:cs="Arial" w:eastAsia="Arial" w:hAnsi="Arial"/>
          <w:sz w:val="21"/>
          <w:szCs w:val="21"/>
        </w:rPr>
        <w:t xml:space="preserve">Obtain exact licensing costs, user counts per cloud, contract renewal date, and early termination terms from Procurement. This sharpens all cost comparisons.</w:t>
      </w:r>
    </w:p>
    <w:p>
      <w:pPr>
        <w:pStyle w:val="ListParagraph"/>
        <w:numPr>
          <w:ilvl w:val="0"/>
          <w:numId w:val="4"/>
        </w:numPr>
        <w:spacing w:after="80"/>
      </w:pPr>
      <w:r>
        <w:rPr>
          <w:rFonts w:ascii="Arial" w:cs="Arial" w:eastAsia="Arial" w:hAnsi="Arial"/>
          <w:b/>
          <w:bCs/>
          <w:sz w:val="21"/>
          <w:szCs w:val="21"/>
        </w:rPr>
        <w:t xml:space="preserve">Steering committee review: </w:t>
      </w:r>
      <w:r>
        <w:rPr>
          <w:rFonts w:ascii="Arial" w:cs="Arial" w:eastAsia="Arial" w:hAnsi="Arial"/>
          <w:sz w:val="21"/>
          <w:szCs w:val="21"/>
        </w:rPr>
        <w:t xml:space="preserve">Present this options analysis to the CEO, VP Sales, VP Marketing, Head of Support, and CTO/CIO. Secure alignment on the preferred option and approval for the POC phase.</w:t>
      </w:r>
    </w:p>
    <w:p>
      <w:pPr>
        <w:pStyle w:val="ListParagraph"/>
        <w:numPr>
          <w:ilvl w:val="0"/>
          <w:numId w:val="4"/>
        </w:numPr>
        <w:spacing w:after="80"/>
      </w:pPr>
      <w:r>
        <w:rPr>
          <w:rFonts w:ascii="Arial" w:cs="Arial" w:eastAsia="Arial" w:hAnsi="Arial"/>
          <w:b/>
          <w:bCs/>
          <w:sz w:val="21"/>
          <w:szCs w:val="21"/>
        </w:rPr>
        <w:t xml:space="preserve">Salesforce audit: </w:t>
      </w:r>
      <w:r>
        <w:rPr>
          <w:rFonts w:ascii="Arial" w:cs="Arial" w:eastAsia="Arial" w:hAnsi="Arial"/>
          <w:sz w:val="21"/>
          <w:szCs w:val="21"/>
        </w:rPr>
        <w:t xml:space="preserve">Regardless of platform choice, run a comprehensive inventory of all Salesforce objects, custom fields, Apex code, workflows, reports, and integrations. This is required for any migration path.</w:t>
      </w:r>
    </w:p>
    <w:p>
      <w:pPr>
        <w:pStyle w:val="ListParagraph"/>
        <w:numPr>
          <w:ilvl w:val="0"/>
          <w:numId w:val="4"/>
        </w:numPr>
        <w:spacing w:after="80"/>
      </w:pPr>
      <w:r>
        <w:rPr>
          <w:rFonts w:ascii="Arial" w:cs="Arial" w:eastAsia="Arial" w:hAnsi="Arial"/>
          <w:b/>
          <w:bCs/>
          <w:sz w:val="21"/>
          <w:szCs w:val="21"/>
        </w:rPr>
        <w:t xml:space="preserve">Twenty CRM POC (if Option E approved): </w:t>
      </w:r>
      <w:r>
        <w:rPr>
          <w:rFonts w:ascii="Arial" w:cs="Arial" w:eastAsia="Arial" w:hAnsi="Arial"/>
          <w:sz w:val="21"/>
          <w:szCs w:val="21"/>
        </w:rPr>
        <w:t xml:space="preserve">Deploy a non-production instance on GKE within 2 weeks. Validate SSO, custom objects, API performance, and one AI feature. Budget: £5,000–£10,000 GCP costs + 2 weeks of 1 engineer.</w:t>
      </w:r>
    </w:p>
    <w:p>
      <w:pPr>
        <w:pStyle w:val="ListParagraph"/>
        <w:numPr>
          <w:ilvl w:val="0"/>
          <w:numId w:val="4"/>
        </w:numPr>
        <w:spacing w:after="80"/>
      </w:pPr>
      <w:r>
        <w:rPr>
          <w:rFonts w:ascii="Arial" w:cs="Arial" w:eastAsia="Arial" w:hAnsi="Arial"/>
          <w:b/>
          <w:bCs/>
          <w:sz w:val="21"/>
          <w:szCs w:val="21"/>
        </w:rPr>
        <w:t xml:space="preserve">Go/No-Go decision: </w:t>
      </w:r>
      <w:r>
        <w:rPr>
          <w:rFonts w:ascii="Arial" w:cs="Arial" w:eastAsia="Arial" w:hAnsi="Arial"/>
          <w:sz w:val="21"/>
          <w:szCs w:val="21"/>
        </w:rPr>
        <w:t xml:space="preserve">Based on POC results, make the final platform decision and commit budget for the full implementation programme.</w:t>
      </w:r>
    </w:p>
    <w:p>
      <w:pPr>
        <w:spacing w:after="140"/>
      </w:pPr>
      <w:r>
        <w:rPr>
          <w:rFonts w:ascii="Arial" w:cs="Arial" w:eastAsia="Arial" w:hAnsi="Arial"/>
          <w:sz w:val="21"/>
          <w:szCs w:val="21"/>
        </w:rPr>
        <w:t xml:space="preserve"/>
      </w:r>
    </w:p>
    <w:p>
      <w:pPr>
        <w:pBdr>
          <w:top w:val="single" w:color="1B4F72" w:sz="2" w:space="8"/>
        </w:pBdr>
        <w:spacing w:before="400"/>
      </w:pPr>
    </w:p>
    <w:p>
      <w:pPr>
        <w:spacing w:after="140"/>
      </w:pPr>
      <w:r>
        <w:rPr>
          <w:rFonts w:ascii="Arial" w:cs="Arial" w:eastAsia="Arial" w:hAnsi="Arial"/>
          <w:b/>
          <w:bCs/>
          <w:color w:val="7F8C8D"/>
          <w:sz w:val="20"/>
          <w:szCs w:val="20"/>
        </w:rPr>
        <w:t xml:space="preserve">Document Classification: </w:t>
      </w:r>
      <w:r>
        <w:rPr>
          <w:rFonts w:ascii="Arial" w:cs="Arial" w:eastAsia="Arial" w:hAnsi="Arial"/>
          <w:b/>
          <w:bCs/>
          <w:color w:val="C0392B"/>
          <w:sz w:val="20"/>
          <w:szCs w:val="20"/>
        </w:rPr>
        <w:t xml:space="preserve">INTERNAL — CONFIDENTIAL</w:t>
      </w:r>
    </w:p>
    <w:p>
      <w:pPr>
        <w:spacing w:after="140"/>
      </w:pPr>
      <w:r>
        <w:rPr>
          <w:rFonts w:ascii="Arial" w:cs="Arial" w:eastAsia="Arial" w:hAnsi="Arial"/>
          <w:color w:val="7F8C8D"/>
          <w:sz w:val="20"/>
          <w:szCs w:val="20"/>
        </w:rPr>
        <w:t xml:space="preserve">Author: Allan Smeyatsky | Date: February 2026 | Version: 1.0</w:t>
      </w:r>
    </w:p>
    <w:p>
      <w:pPr>
        <w:spacing w:after="140"/>
      </w:pPr>
      <w:r>
        <w:rPr>
          <w:rFonts w:ascii="Arial" w:cs="Arial" w:eastAsia="Arial" w:hAnsi="Arial"/>
          <w:i/>
          <w:iCs/>
          <w:color w:val="7F8C8D"/>
          <w:sz w:val="18"/>
          <w:szCs w:val="18"/>
        </w:rPr>
        <w:t xml:space="preserve">This document contains confidential and proprietary information. Distribution is restricted to Searce Inc. leadership and authorised stakeholders only.</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4F72" w:sz="2" w:space="4"/>
      </w:pBdr>
      <w:jc w:val="center"/>
    </w:pPr>
    <w:r>
      <w:rPr>
        <w:rFonts w:ascii="Arial" w:cs="Arial" w:eastAsia="Arial" w:hAnsi="Arial"/>
        <w:color w:val="7F8C8D"/>
        <w:sz w:val="16"/>
        <w:szCs w:val="16"/>
      </w:rPr>
      <w:t xml:space="preserve">CONFIDENTIAL — Searce Inc. — Page </w:t>
    </w:r>
    <w:r>
      <w:rPr>
        <w:rFonts w:ascii="Arial" w:cs="Arial" w:eastAsia="Arial" w:hAnsi="Arial"/>
        <w:color w:val="7F8C8D"/>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4F72" w:sz="2" w:space="4"/>
      </w:pBdr>
    </w:pPr>
    <w:r>
      <w:rPr>
        <w:rFonts w:ascii="Arial" w:cs="Arial" w:eastAsia="Arial" w:hAnsi="Arial"/>
        <w:i/>
        <w:iCs/>
        <w:color w:val="7F8C8D"/>
        <w:sz w:val="16"/>
        <w:szCs w:val="16"/>
      </w:rPr>
      <w:t xml:space="preserve">Project Nexus — CRM Platform Options Analysis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abstractNum w:abstractNumId="12" w15:restartNumberingAfterBreak="0">
    <w:multiLevelType w:val="hybridMultilevel"/>
    <w:lvl w:ilvl="0" w15:tentative="1">
      <w:start w:val="1"/>
      <w:numFmt w:val="decimal"/>
      <w:lvlText w:val="%1."/>
      <w:lvlJc w:val="left"/>
      <w:pPr>
        <w:ind w:left="720" w:hanging="360"/>
      </w:pPr>
    </w:lvl>
  </w:abstractNum>
  <w:abstractNum w:abstractNumId="13" w15:restartNumberingAfterBreak="0">
    <w:multiLevelType w:val="hybridMultilevel"/>
    <w:lvl w:ilvl="0" w15:tentative="1">
      <w:start w:val="1"/>
      <w:numFmt w:val="decimal"/>
      <w:lvlText w:val="%1."/>
      <w:lvlJc w:val="left"/>
      <w:pPr>
        <w:ind w:left="720" w:hanging="360"/>
      </w:pPr>
    </w:lvl>
  </w:abstractNum>
  <w:abstractNum w:abstractNumId="14" w15:restartNumberingAfterBreak="0">
    <w:multiLevelType w:val="hybridMultilevel"/>
    <w:lvl w:ilvl="0" w15:tentative="1">
      <w:start w:val="1"/>
      <w:numFmt w:val="decimal"/>
      <w:lvlText w:val="%1."/>
      <w:lvlJc w:val="left"/>
      <w:pPr>
        <w:ind w:left="720" w:hanging="360"/>
      </w:pPr>
    </w:lvl>
  </w:abstractNum>
  <w:abstractNum w:abstractNumId="15" w15:restartNumberingAfterBreak="0">
    <w:multiLevelType w:val="hybridMultilevel"/>
    <w:lvl w:ilvl="0" w15:tentative="1">
      <w:start w:val="1"/>
      <w:numFmt w:val="decimal"/>
      <w:lvlText w:val="%1."/>
      <w:lvlJc w:val="left"/>
      <w:pPr>
        <w:ind w:left="720" w:hanging="360"/>
      </w:pPr>
    </w:lvl>
  </w:abstractNum>
  <w:abstractNum w:abstractNumId="16" w15:restartNumberingAfterBreak="0">
    <w:multiLevelType w:val="hybridMultilevel"/>
    <w:lvl w:ilvl="0" w15:tentative="1">
      <w:start w:val="1"/>
      <w:numFmt w:val="decimal"/>
      <w:lvlText w:val="%1."/>
      <w:lvlJc w:val="left"/>
      <w:pPr>
        <w:ind w:left="720" w:hanging="360"/>
      </w:pPr>
    </w:lvl>
  </w:abstractNum>
  <w:abstractNum w:abstractNumId="17" w15:restartNumberingAfterBreak="0">
    <w:multiLevelType w:val="hybridMultilevel"/>
    <w:lvl w:ilvl="0" w15:tentative="1">
      <w:start w:val="1"/>
      <w:numFmt w:val="decimal"/>
      <w:lvlText w:val="%1."/>
      <w:lvlJc w:val="left"/>
      <w:pPr>
        <w:ind w:left="720" w:hanging="360"/>
      </w:pPr>
    </w:lvl>
  </w:abstractNum>
  <w:abstractNum w:abstractNumId="18" w15:restartNumberingAfterBreak="0">
    <w:multiLevelType w:val="hybridMultilevel"/>
    <w:lvl w:ilvl="0" w15:tentative="1">
      <w:start w:val="1"/>
      <w:numFmt w:val="decimal"/>
      <w:lvlText w:val="%1."/>
      <w:lvlJc w:val="left"/>
      <w:pPr>
        <w:ind w:left="720" w:hanging="360"/>
      </w:pPr>
    </w:lvl>
  </w:abstractNum>
  <w:abstractNum w:abstractNumId="19" w15:restartNumberingAfterBreak="0">
    <w:multiLevelType w:val="hybridMultilevel"/>
    <w:lvl w:ilvl="0" w15:tentative="1">
      <w:start w:val="1"/>
      <w:numFmt w:val="decimal"/>
      <w:lvlText w:val="%1."/>
      <w:lvlJc w:val="left"/>
      <w:pPr>
        <w:ind w:left="720" w:hanging="360"/>
      </w:pPr>
    </w:lvl>
  </w:abstractNum>
  <w:abstractNum w:abstractNumId="20" w15:restartNumberingAfterBreak="0">
    <w:multiLevelType w:val="hybridMultilevel"/>
    <w:lvl w:ilvl="0" w15:tentative="1">
      <w:start w:val="1"/>
      <w:numFmt w:val="decimal"/>
      <w:lvlText w:val="%1."/>
      <w:lvlJc w:val="left"/>
      <w:pPr>
        <w:ind w:left="720" w:hanging="360"/>
      </w:pPr>
    </w:lvl>
  </w:abstractNum>
  <w:abstractNum w:abstractNumId="21" w15:restartNumberingAfterBreak="0">
    <w:multiLevelType w:val="hybridMultilevel"/>
    <w:lvl w:ilvl="0" w15:tentative="1">
      <w:start w:val="1"/>
      <w:numFmt w:val="decimal"/>
      <w:lvlText w:val="%1."/>
      <w:lvlJc w:val="left"/>
      <w:pPr>
        <w:ind w:left="720" w:hanging="360"/>
      </w:pPr>
    </w:lvl>
  </w:abstractNum>
  <w:abstractNum w:abstractNumId="22" w15:restartNumberingAfterBreak="0">
    <w:multiLevelType w:val="hybridMultilevel"/>
    <w:lvl w:ilvl="0" w15:tentative="1">
      <w:start w:val="1"/>
      <w:numFmt w:val="bullet"/>
      <w:lvlText w:val="•"/>
      <w:lvlJc w:val="left"/>
      <w:pPr>
        <w:ind w:left="720" w:hanging="360"/>
      </w:pPr>
    </w:lvl>
  </w:abstractNum>
  <w:abstractNum w:abstractNumId="23" w15:restartNumberingAfterBreak="0">
    <w:multiLevelType w:val="hybridMultilevel"/>
    <w:lvl w:ilvl="0" w15:tentative="1">
      <w:start w:val="1"/>
      <w:numFmt w:val="bullet"/>
      <w:lvlText w:val="•"/>
      <w:lvlJc w:val="left"/>
      <w:pPr>
        <w:ind w:left="720" w:hanging="360"/>
      </w:pPr>
    </w:lvl>
  </w:abstractNum>
  <w:abstractNum w:abstractNumId="24" w15:restartNumberingAfterBreak="0">
    <w:multiLevelType w:val="hybridMultilevel"/>
    <w:lvl w:ilvl="0" w15:tentative="1">
      <w:start w:val="1"/>
      <w:numFmt w:val="bullet"/>
      <w:lvlText w:val="•"/>
      <w:lvlJc w:val="left"/>
      <w:pPr>
        <w:ind w:left="720" w:hanging="360"/>
      </w:pPr>
    </w:lvl>
  </w:abstractNum>
  <w:abstractNum w:abstractNumId="25" w15:restartNumberingAfterBreak="0">
    <w:multiLevelType w:val="hybridMultilevel"/>
    <w:lvl w:ilvl="0" w15:tentative="1">
      <w:start w:val="1"/>
      <w:numFmt w:val="bullet"/>
      <w:lvlText w:val="•"/>
      <w:lvlJc w:val="left"/>
      <w:pPr>
        <w:ind w:left="720" w:hanging="360"/>
      </w:pPr>
    </w:lvl>
  </w:abstractNum>
  <w:abstractNum w:abstractNumId="26" w15:restartNumberingAfterBreak="0">
    <w:multiLevelType w:val="hybridMultilevel"/>
    <w:lvl w:ilvl="0" w15:tentative="1">
      <w:start w:val="1"/>
      <w:numFmt w:val="bullet"/>
      <w:lvlText w:val="•"/>
      <w:lvlJc w:val="left"/>
      <w:pPr>
        <w:ind w:left="720" w:hanging="360"/>
      </w:pPr>
    </w:lvl>
  </w:abstractNum>
  <w:abstractNum w:abstractNumId="27" w15:restartNumberingAfterBreak="0">
    <w:multiLevelType w:val="hybridMultilevel"/>
    <w:lvl w:ilvl="0" w15:tentative="1">
      <w:start w:val="1"/>
      <w:numFmt w:val="bullet"/>
      <w:lvlText w:val="•"/>
      <w:lvlJc w:val="left"/>
      <w:pPr>
        <w:ind w:left="720" w:hanging="360"/>
      </w:pPr>
    </w:lvl>
  </w:abstractNum>
  <w:abstractNum w:abstractNumId="28" w15:restartNumberingAfterBreak="0">
    <w:multiLevelType w:val="hybridMultilevel"/>
    <w:lvl w:ilvl="0" w15:tentative="1">
      <w:start w:val="1"/>
      <w:numFmt w:val="bullet"/>
      <w:lvlText w:val="•"/>
      <w:lvlJc w:val="left"/>
      <w:pPr>
        <w:ind w:left="720" w:hanging="360"/>
      </w:pPr>
    </w:lvl>
  </w:abstractNum>
  <w:abstractNum w:abstractNumId="29" w15:restartNumberingAfterBreak="0">
    <w:multiLevelType w:val="hybridMultilevel"/>
    <w:lvl w:ilvl="0" w15:tentative="1">
      <w:start w:val="1"/>
      <w:numFmt w:val="bullet"/>
      <w:lvlText w:val="•"/>
      <w:lvlJc w:val="left"/>
      <w:pPr>
        <w:ind w:left="720" w:hanging="360"/>
      </w:pPr>
    </w:lvl>
  </w:abstractNum>
  <w:abstractNum w:abstractNumId="30" w15:restartNumberingAfterBreak="0">
    <w:multiLevelType w:val="hybridMultilevel"/>
    <w:lvl w:ilvl="0" w15:tentative="1">
      <w:start w:val="1"/>
      <w:numFmt w:val="bullet"/>
      <w:lvlText w:val="•"/>
      <w:lvlJc w:val="left"/>
      <w:pPr>
        <w:ind w:left="720" w:hanging="360"/>
      </w:pPr>
    </w:lvl>
  </w:abstractNum>
  <w:abstractNum w:abstractNumId="31"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22"/>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4F72"/>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2E86C1"/>
      <w:sz w:val="30"/>
      <w:szCs w:val="30"/>
    </w:rPr>
  </w:style>
  <w:style w:type="paragraph" w:styleId="Heading3">
    <w:name w:val="Heading 3"/>
    <w:basedOn w:val="Normal"/>
    <w:next w:val="Normal"/>
    <w:qFormat/>
    <w:pPr>
      <w:spacing w:before="200" w:after="120"/>
      <w:outlineLvl w:val="2"/>
    </w:pPr>
    <w:rPr>
      <w:rFonts w:ascii="Arial" w:cs="Arial" w:eastAsia="Arial" w:hAnsi="Arial"/>
      <w:b/>
      <w:bCs/>
      <w:color w:val="2C3E5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2026-02-28T10:36:54.881Z</dcterms:created>
  <dcterms:modified xsi:type="dcterms:W3CDTF">2026-02-28T10:36:54.881Z</dcterms:modified>
</cp:coreProperties>
</file>

<file path=docProps/custom.xml><?xml version="1.0" encoding="utf-8"?>
<Properties xmlns="http://schemas.openxmlformats.org/officeDocument/2006/custom-properties" xmlns:vt="http://schemas.openxmlformats.org/officeDocument/2006/docPropsVTypes"/>
</file>