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PROJECT NEXUS</w:t>
      </w:r>
    </w:p>
    <w:p>
      <w:pPr>
        <w:spacing w:after="100"/>
        <w:jc w:val="center"/>
      </w:pPr>
      <w:r>
        <w:rPr>
          <w:rFonts w:ascii="Arial" w:cs="Arial" w:eastAsia="Arial" w:hAnsi="Arial"/>
          <w:color w:val="2E86C1"/>
          <w:sz w:val="32"/>
          <w:szCs w:val="32"/>
        </w:rPr>
        <w:t xml:space="preserve">Salesforce CRM Replacement Programme</w:t>
      </w:r>
    </w:p>
    <w:p>
      <w:pPr>
        <w:spacing w:after="600"/>
        <w:jc w:val="center"/>
      </w:pPr>
      <w:r>
        <w:rPr>
          <w:rFonts w:ascii="Arial" w:cs="Arial" w:eastAsia="Arial" w:hAnsi="Arial"/>
          <w:color w:val="7F8C8D"/>
          <w:sz w:val="24"/>
          <w:szCs w:val="24"/>
        </w:rPr>
        <w:t xml:space="preserve">Open Source CRM Modernisation on Google Cloud Platform</w:t>
      </w:r>
    </w:p>
    <w:p>
      <w:pPr>
        <w:pBdr>
          <w:top w:val="single" w:color="1B4F72" w:sz="6" w:space="1"/>
        </w:pBdr>
        <w:spacing w:before="400" w:after="2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Document: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Product Requirements Document</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Author: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Allan Smeyatsky</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7F8C8D"/>
                <w:sz w:val="20"/>
                <w:szCs w:val="20"/>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C0392B"/>
                <w:sz w:val="20"/>
                <w:szCs w:val="20"/>
              </w:rPr>
              <w:t xml:space="preserve">INTERNAL — CONFIDENTIAL</w:t>
            </w:r>
          </w:p>
        </w:tc>
      </w:tr>
    </w:tbl>
    <w:p>
      <w:pPr>
        <w:spacing w:before="1200"/>
      </w:pPr>
    </w:p>
    <w:p>
      <w:pPr>
        <w:jc w:val="center"/>
      </w:pPr>
      <w:r>
        <w:rPr>
          <w:rFonts w:ascii="Arial" w:cs="Arial" w:eastAsia="Arial" w:hAnsi="Arial"/>
          <w:b/>
          <w:bCs/>
          <w:color w:val="1B4F72"/>
          <w:sz w:val="28"/>
          <w:szCs w:val="28"/>
        </w:rPr>
        <w:t xml:space="preserve">Searce Inc.</w:t>
      </w:r>
    </w:p>
    <w:p>
      <w:pPr>
        <w:spacing w:after="100"/>
        <w:jc w:val="center"/>
      </w:pPr>
      <w:r>
        <w:rPr>
          <w:rFonts w:ascii="Arial" w:cs="Arial" w:eastAsia="Arial" w:hAnsi="Arial"/>
          <w:color w:val="7F8C8D"/>
          <w:sz w:val="20"/>
          <w:szCs w:val="20"/>
        </w:rPr>
        <w:t xml:space="preserve">Google Cloud Premier Partner</w:t>
      </w:r>
    </w:p>
    <w:p>
      <w:pPr>
        <w:sectPr>
          <w:pgSz w:w="11906" w:h="16838" w:orient="portrait"/>
          <w:pgMar w:top="1440" w:right="1440" w:bottom="1440" w:left="1440" w:header="708" w:footer="708" w:gutter="0"/>
          <w:pgNumType/>
          <w:docGrid w:linePitch="360"/>
        </w:sectPr>
      </w:pPr>
    </w:p>
    <w:p>
      <w:pPr>
        <w:spacing w:after="4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rPr>
        <w:t xml:space="preserve">1. Executive Summary</w:t>
      </w:r>
    </w:p>
    <w:p>
      <w:pPr>
        <w:pStyle w:val="Heading2"/>
        <w:spacing w:before="240" w:after="120"/>
      </w:pPr>
      <w:r>
        <w:rPr>
          <w:rFonts w:ascii="Arial" w:cs="Arial" w:eastAsia="Arial" w:hAnsi="Arial"/>
        </w:rPr>
        <w:t xml:space="preserve">1.1 Programme Vision</w:t>
      </w:r>
    </w:p>
    <w:p>
      <w:pPr>
        <w:spacing w:after="160"/>
      </w:pPr>
      <w:r>
        <w:rPr>
          <w:rFonts w:ascii="Arial" w:cs="Arial" w:eastAsia="Arial" w:hAnsi="Arial"/>
          <w:sz w:val="22"/>
          <w:szCs w:val="22"/>
        </w:rPr>
        <w:t xml:space="preserve">Project Nexus is a strategic initiative to replace Salesforce CRM with a modern, open-source alternative deployed on Google Cloud Platform. The programme will migrate all CRM functions — sales pipeline management, account and contact management, marketing automation, and customer support — to a self-hosted Twenty CRM instance, customised for Searce’s specific workflows and augmented with AI-native capabilities.</w:t>
      </w:r>
    </w:p>
    <w:p>
      <w:pPr>
        <w:spacing w:after="160"/>
      </w:pPr>
      <w:r>
        <w:rPr>
          <w:rFonts w:ascii="Arial" w:cs="Arial" w:eastAsia="Arial" w:hAnsi="Arial"/>
          <w:sz w:val="22"/>
          <w:szCs w:val="22"/>
        </w:rPr>
        <w:t xml:space="preserve">As a Google Cloud Premier Partner with 1,500 employees globally, Searce has a unique opportunity to demonstrate that enterprise CRM can be modernised without proprietary lock-in, while simultaneously reducing costs, accelerating innovation, and showcasing our cloud platform expertise to clients and prospects.</w:t>
      </w:r>
    </w:p>
    <w:p>
      <w:pPr>
        <w:pStyle w:val="Heading2"/>
        <w:spacing w:before="240" w:after="120"/>
      </w:pPr>
      <w:r>
        <w:rPr>
          <w:rFonts w:ascii="Arial" w:cs="Arial" w:eastAsia="Arial" w:hAnsi="Arial"/>
        </w:rPr>
        <w:t xml:space="preserve">1.2 Programme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Programme 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Project Nexus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Tagline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AI-Native CRM on Google Cloud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Target Users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 employees across Sales, Marketing, Delivery, Customer Success, and Leadership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Platform Foundation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CRM (open source, AGPL-3.0) — self-hosted on GKE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Technology Stack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React/TypeScript frontend, Node.js backend, PostgreSQL (Cloud SQL), Redis (Memorystore), GKE orchestration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Key Differentiator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AI-native modernisation: conversational CRM interface, automated data capture, predictive pipeline intelligence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Timeline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26 weeks from approval to full migration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Estimated Annual Saving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£180,000–£320,000 versus Salesforce licensing (depending on current contract)</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1.3 The Problem</w:t>
      </w:r>
    </w:p>
    <w:p>
      <w:pPr>
        <w:spacing w:after="160"/>
      </w:pPr>
      <w:r>
        <w:rPr>
          <w:rFonts w:ascii="Arial" w:cs="Arial" w:eastAsia="Arial" w:hAnsi="Arial"/>
          <w:sz w:val="22"/>
          <w:szCs w:val="22"/>
        </w:rPr>
        <w:t xml:space="preserve">Searce’s current Salesforce deployment presents five compounding challenges:</w:t>
      </w:r>
    </w:p>
    <w:p>
      <w:pPr>
        <w:pStyle w:val="ListParagraph"/>
        <w:numPr>
          <w:ilvl w:val="0"/>
          <w:numId w:val="2"/>
        </w:numPr>
        <w:spacing w:after="80"/>
      </w:pPr>
      <w:r>
        <w:rPr>
          <w:rFonts w:ascii="Arial" w:cs="Arial" w:eastAsia="Arial" w:hAnsi="Arial"/>
          <w:b/>
          <w:bCs/>
          <w:sz w:val="22"/>
          <w:szCs w:val="22"/>
        </w:rPr>
        <w:t xml:space="preserve">Excessive cost for utilisation: </w:t>
      </w:r>
      <w:r>
        <w:rPr>
          <w:rFonts w:ascii="Arial" w:cs="Arial" w:eastAsia="Arial" w:hAnsi="Arial"/>
          <w:sz w:val="22"/>
          <w:szCs w:val="22"/>
        </w:rPr>
        <w:t xml:space="preserve">Salesforce licensing for 1,500 users across Sales Cloud, Service Cloud, and Marketing Cloud represents a significant annual spend. Internal analysis suggests fewer than 30% of licensed features are actively used.</w:t>
      </w:r>
    </w:p>
    <w:p>
      <w:pPr>
        <w:pStyle w:val="ListParagraph"/>
        <w:numPr>
          <w:ilvl w:val="0"/>
          <w:numId w:val="2"/>
        </w:numPr>
        <w:spacing w:after="80"/>
      </w:pPr>
      <w:r>
        <w:rPr>
          <w:rFonts w:ascii="Arial" w:cs="Arial" w:eastAsia="Arial" w:hAnsi="Arial"/>
          <w:b/>
          <w:bCs/>
          <w:sz w:val="22"/>
          <w:szCs w:val="22"/>
        </w:rPr>
        <w:t xml:space="preserve">Innovation constraint: </w:t>
      </w:r>
      <w:r>
        <w:rPr>
          <w:rFonts w:ascii="Arial" w:cs="Arial" w:eastAsia="Arial" w:hAnsi="Arial"/>
          <w:sz w:val="22"/>
          <w:szCs w:val="22"/>
        </w:rPr>
        <w:t xml:space="preserve">Customising Salesforce requires Apex development expertise, a proprietary language with a shrinking talent pool. AI capabilities (Einstein) are add-on costs with limited configurability compared to deploying custom models on Vertex AI.</w:t>
      </w:r>
    </w:p>
    <w:p>
      <w:pPr>
        <w:pStyle w:val="ListParagraph"/>
        <w:numPr>
          <w:ilvl w:val="0"/>
          <w:numId w:val="2"/>
        </w:numPr>
        <w:spacing w:after="80"/>
      </w:pPr>
      <w:r>
        <w:rPr>
          <w:rFonts w:ascii="Arial" w:cs="Arial" w:eastAsia="Arial" w:hAnsi="Arial"/>
          <w:b/>
          <w:bCs/>
          <w:sz w:val="22"/>
          <w:szCs w:val="22"/>
        </w:rPr>
        <w:t xml:space="preserve">Vendor lock-in: </w:t>
      </w:r>
      <w:r>
        <w:rPr>
          <w:rFonts w:ascii="Arial" w:cs="Arial" w:eastAsia="Arial" w:hAnsi="Arial"/>
          <w:sz w:val="22"/>
          <w:szCs w:val="22"/>
        </w:rPr>
        <w:t xml:space="preserve">Decades of custom objects, Apex triggers, and workflow rules create deep platform dependency. Data portability is technically possible but operationally painful.</w:t>
      </w:r>
    </w:p>
    <w:p>
      <w:pPr>
        <w:pStyle w:val="ListParagraph"/>
        <w:numPr>
          <w:ilvl w:val="0"/>
          <w:numId w:val="2"/>
        </w:numPr>
        <w:spacing w:after="80"/>
      </w:pPr>
      <w:r>
        <w:rPr>
          <w:rFonts w:ascii="Arial" w:cs="Arial" w:eastAsia="Arial" w:hAnsi="Arial"/>
          <w:b/>
          <w:bCs/>
          <w:sz w:val="22"/>
          <w:szCs w:val="22"/>
        </w:rPr>
        <w:t xml:space="preserve">Brand alignment gap: </w:t>
      </w:r>
      <w:r>
        <w:rPr>
          <w:rFonts w:ascii="Arial" w:cs="Arial" w:eastAsia="Arial" w:hAnsi="Arial"/>
          <w:sz w:val="22"/>
          <w:szCs w:val="22"/>
        </w:rPr>
        <w:t xml:space="preserve">As a Google Cloud Premier Partner advising clients on cloud modernisation, running core business operations on a competing SaaS platform undermines our credibility and prevents us from dogfooding our own expertise.</w:t>
      </w:r>
    </w:p>
    <w:p>
      <w:pPr>
        <w:pStyle w:val="ListParagraph"/>
        <w:numPr>
          <w:ilvl w:val="0"/>
          <w:numId w:val="2"/>
        </w:numPr>
        <w:spacing w:after="80"/>
      </w:pPr>
      <w:r>
        <w:rPr>
          <w:rFonts w:ascii="Arial" w:cs="Arial" w:eastAsia="Arial" w:hAnsi="Arial"/>
          <w:b/>
          <w:bCs/>
          <w:sz w:val="22"/>
          <w:szCs w:val="22"/>
        </w:rPr>
        <w:t xml:space="preserve">AI readiness: </w:t>
      </w:r>
      <w:r>
        <w:rPr>
          <w:rFonts w:ascii="Arial" w:cs="Arial" w:eastAsia="Arial" w:hAnsi="Arial"/>
          <w:sz w:val="22"/>
          <w:szCs w:val="22"/>
        </w:rPr>
        <w:t xml:space="preserve">The CEO’s mandate to modernise reflects a broader market shift. Enterprises across our client base are evaluating CRM alternatives. Project Nexus positions Searce to lead this conversation from lived experience rather than theory.</w:t>
      </w:r>
    </w:p>
    <w:p>
      <w:pPr>
        <w:pStyle w:val="Heading2"/>
        <w:spacing w:before="240" w:after="120"/>
      </w:pPr>
      <w:r>
        <w:rPr>
          <w:rFonts w:ascii="Arial" w:cs="Arial" w:eastAsia="Arial" w:hAnsi="Arial"/>
        </w:rPr>
        <w:t xml:space="preserve">1.4 Strategic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Measure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P0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Zero-disruption migration of all active CRM data and workflows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data parity validated post-migration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P0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operational capability across Sales, Marketing, Support, and CS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teams transitioned within 26 weeks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P1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Reduce CRM licensing costs by 60%+ annually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Verified cost comparison at 12-month mark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P1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Deploy AI-native capabilities not available in Salesforce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 AI features in production within 6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86C1"/>
                <w:sz w:val="20"/>
                <w:szCs w:val="20"/>
              </w:rPr>
              <w:t xml:space="preserve">P2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Create a repeatable CRM migration methodology for client engagements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Methodology documented and used in 2+ client proposals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86C1"/>
                <w:sz w:val="20"/>
                <w:szCs w:val="20"/>
              </w:rPr>
              <w:t xml:space="preserve">P2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Establish Searce as a thought leader in open-source CRM modernisation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Published case study, 2+ conference presentations</w:t>
            </w:r>
          </w:p>
        </w:tc>
      </w:tr>
    </w:tbl>
    <w:p>
      <w:pPr>
        <w:spacing w:after="16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rPr>
        <w:t xml:space="preserve">2. Platform Selection</w:t>
      </w:r>
    </w:p>
    <w:p>
      <w:pPr>
        <w:pStyle w:val="Heading2"/>
        <w:spacing w:before="240" w:after="120"/>
      </w:pPr>
      <w:r>
        <w:rPr>
          <w:rFonts w:ascii="Arial" w:cs="Arial" w:eastAsia="Arial" w:hAnsi="Arial"/>
        </w:rPr>
        <w:t xml:space="preserve">2.1 Evaluation Criteria</w:t>
      </w:r>
    </w:p>
    <w:p>
      <w:pPr>
        <w:spacing w:after="160"/>
      </w:pPr>
      <w:r>
        <w:rPr>
          <w:rFonts w:ascii="Arial" w:cs="Arial" w:eastAsia="Arial" w:hAnsi="Arial"/>
          <w:sz w:val="22"/>
          <w:szCs w:val="22"/>
        </w:rPr>
        <w:t xml:space="preserve">Three open-source CRM platforms were evaluated against Searce’s requirements. The evaluation prioritised: modern technology stack alignment with Searce’s engineering capabilities, self-hosting maturity on GCP, extensibility for AI integration, active community and development velocity, and data model flexibility for custom workflows.</w:t>
      </w:r>
    </w:p>
    <w:p>
      <w:pPr>
        <w:pStyle w:val="Heading2"/>
        <w:spacing w:before="240" w:after="120"/>
      </w:pPr>
      <w:r>
        <w:rPr>
          <w:rFonts w:ascii="Arial" w:cs="Arial" w:eastAsia="Arial" w:hAnsi="Arial"/>
        </w:rPr>
        <w:t xml:space="preserve">2.2 Platform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227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Twenty CRM</w:t>
            </w:r>
          </w:p>
        </w:tc>
        <w:tc>
          <w:tcPr>
            <w:tcW w:type="dxa" w:w="227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SuiteCRM</w:t>
            </w:r>
          </w:p>
        </w:tc>
        <w:tc>
          <w:tcPr>
            <w:tcW w:type="dxa" w:w="227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EspoCRM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Technology Stack</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React, TypeScript, Node.js, PostgreSQL</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PHP, MySQL, AngularJS</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PHP, MySQL, Backbone.js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Architecture</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Microservices-ready, GraphQL API, event-driven</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Monolithic MVC, REST API</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Monolithic MVC,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GCP Alignment</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Native container support, Cloud SQL (PostgreSQL), GKE-ready</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LAMP stack, requires adaptation for GCP</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LAMP stack, manual containerisation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Custom Objects</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Native UI-driven custom objects and fields</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Studio module builder</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Entity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AI Extensibility</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Built-in AI features, webhook/API integration for Vertex AI</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Limited, requires custom development</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Limited, webhook-based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Workflow Automation</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Visual workflow builder, triggers, webhooks</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Advanced Workflow module</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BPM engine, basic workflows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Community Size</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25K+ GitHub stars, 300+ contributors, rapid growth</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Mature but declining, SugarCRM fork</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Smaller community, steady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Licence</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AGPL-3.0 (self-host freely)</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AGPL-3.0</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GPL-3.0 (Enterprise is proprietary)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Version / Maturity</w:t>
            </w:r>
          </w:p>
        </w:tc>
        <w:tc>
          <w:tcPr>
            <w:tcW w:type="dxa" w:w="2275"/>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v1.0+ (GA June 2025)</w:t>
            </w:r>
          </w:p>
        </w:tc>
        <w:tc>
          <w:tcPr>
            <w:tcW w:type="dxa" w:w="22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v8.x (mature, 10+ years)</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v8.x (mature, 8+ years)</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2.3 Recommendation</w:t>
      </w:r>
    </w:p>
    <w:p>
      <w:pPr>
        <w:spacing w:after="160"/>
      </w:pPr>
      <w:r>
        <w:rPr>
          <w:rFonts w:ascii="Arial" w:cs="Arial" w:eastAsia="Arial" w:hAnsi="Arial"/>
          <w:b/>
          <w:bCs/>
          <w:sz w:val="22"/>
          <w:szCs w:val="22"/>
        </w:rPr>
        <w:t xml:space="preserve">Twenty CRM is the recommended platform. </w:t>
      </w:r>
      <w:r>
        <w:rPr>
          <w:rFonts w:ascii="Arial" w:cs="Arial" w:eastAsia="Arial" w:hAnsi="Arial"/>
          <w:sz w:val="22"/>
          <w:szCs w:val="22"/>
        </w:rPr>
        <w:t xml:space="preserve">Its modern React/TypeScript/Node.js stack aligns directly with Searce’s engineering capabilities. The PostgreSQL database maps natively to Cloud SQL. The container-first architecture deploys cleanly on GKE. Most importantly, its API-first design and built-in AI features provide the foundation for the AI-native capabilities that differentiate this initiative from a simple like-for-like migration.</w:t>
      </w:r>
    </w:p>
    <w:p>
      <w:pPr>
        <w:spacing w:after="160"/>
      </w:pPr>
      <w:r>
        <w:rPr>
          <w:rFonts w:ascii="Arial" w:cs="Arial" w:eastAsia="Arial" w:hAnsi="Arial"/>
          <w:sz w:val="22"/>
          <w:szCs w:val="22"/>
        </w:rPr>
        <w:t xml:space="preserve">The primary risk — Twenty’s relative youth (v1.0 released June 2025) — is mitigated by Searce’s engineering depth. As an open-source platform, Searce retains the ability to fork, patch, and extend independently of the upstream project’s roadmap.</w:t>
      </w:r>
    </w:p>
    <w:p>
      <w:r>
        <w:br w:type="page"/>
      </w:r>
    </w:p>
    <w:p>
      <w:pPr>
        <w:pStyle w:val="Heading1"/>
        <w:spacing w:before="360" w:after="120"/>
      </w:pPr>
      <w:r>
        <w:rPr>
          <w:rFonts w:ascii="Arial" w:cs="Arial" w:eastAsia="Arial" w:hAnsi="Arial"/>
        </w:rPr>
        <w:t xml:space="preserve">3. Target Architecture</w:t>
      </w:r>
    </w:p>
    <w:p>
      <w:pPr>
        <w:pStyle w:val="Heading2"/>
        <w:spacing w:before="240" w:after="120"/>
      </w:pPr>
      <w:r>
        <w:rPr>
          <w:rFonts w:ascii="Arial" w:cs="Arial" w:eastAsia="Arial" w:hAnsi="Arial"/>
        </w:rPr>
        <w:t xml:space="preserve">3.1 GCP Infrastructure</w:t>
      </w:r>
    </w:p>
    <w:p>
      <w:pPr>
        <w:spacing w:after="160"/>
      </w:pPr>
      <w:r>
        <w:rPr>
          <w:rFonts w:ascii="Arial" w:cs="Arial" w:eastAsia="Arial" w:hAnsi="Arial"/>
          <w:sz w:val="22"/>
          <w:szCs w:val="22"/>
        </w:rPr>
        <w:t xml:space="preserve">Project Nexus will be deployed entirely on Google Cloud Platform, leveraging managed services to minimise operational overhead while maintaining full data sovereignty.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GCP Service</w:t>
            </w:r>
          </w:p>
        </w:tc>
        <w:tc>
          <w:tcPr>
            <w:tcW w:type="dxa" w:w="3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Application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Kubernetes Engine (GKE)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Autopilot mode, multi-zone, auto-scaling 2–20 pods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SQL for PostgreSQL</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 configuration, automated backups, 500GB SSD, private 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Cache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Memorystore for Redis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Standard tier, 5GB, session management and real-time caching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Object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Storage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Multi-regional, document attachments, email archives, backups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AI/ML 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Vertex AI</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Gemini Pro for conversational CRM, custom models for lead scoring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Vertex AI Search / Elastic (GKE)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Full-text search across all CRM records, email content,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Identity / Google Workspace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SAML 2.0 SSO, Google Workspace directory 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CDN / Load Balancer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Load Balancing + Cloud CDN</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Global HTTPS LB, SSL termination, static asset caching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Monitoring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Operations (Logging, Monitoring, Trace)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dashboards, SLO alerting, distributed tracing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CI/CD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Build + Artifact Registry</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Automated build, test, deploy pipeline with staging gates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Secrets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Secret Manager</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API keys, OAuth tokens, database credentials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Networking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VPC + Private Service Connect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Private connectivity between all services, no public database endpoints</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3.2 AI-Native Capabilities</w:t>
      </w:r>
    </w:p>
    <w:p>
      <w:pPr>
        <w:spacing w:after="160"/>
      </w:pPr>
      <w:r>
        <w:rPr>
          <w:rFonts w:ascii="Arial" w:cs="Arial" w:eastAsia="Arial" w:hAnsi="Arial"/>
          <w:sz w:val="22"/>
          <w:szCs w:val="22"/>
        </w:rPr>
        <w:t xml:space="preserve">The AI layer is not an add-on but a core architectural component. Every CRM function will be augmented with AI capabilities deployed on Vertex AI, using Searce’s existing Google Cloud expertise.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 Capability</w:t>
            </w:r>
          </w:p>
        </w:tc>
        <w:tc>
          <w:tcPr>
            <w:tcW w:type="dxa" w:w="34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Conversational CRM</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Natural language interface for CRM operations: “Show me all deals closing this quarter over £100K”</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Gemini Pro via Vertex AI, structured function calling against Twenty’s GraphQL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Auto-Capture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Automatically populate CRM records from emails, calendar events, and meeting notes without manual data entry</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 API + Calendar API → Vertex AI entity extraction → Twenty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Predictive Pipeline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AI-driven deal scoring, win probability, and revenue forecasting based on historical patterns and engagement signals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ML model on Vertex AI, trained on historical Salesforce deal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Smart Lead Scoring</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Dynamic lead scoring using firmographic data, engagement patterns, and intent signals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BigQuery ML model, real-time scoring via Cloud Functions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Email Intelligence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Sentiment analysis, next-action suggestions, and automated follow-up drafting for customer communications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Gemini Pro for analysis, Cloud Tasks for scheduled follow-ups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Meeting Summarisation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Automatic CRM update generation from Google Meet recordings and transcripts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 transcript API → Gemini summarisation → Twenty notes/tasks</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3.3 Integration Architecture</w:t>
      </w:r>
    </w:p>
    <w:p>
      <w:pPr>
        <w:spacing w:after="160"/>
      </w:pPr>
      <w:r>
        <w:rPr>
          <w:rFonts w:ascii="Arial" w:cs="Arial" w:eastAsia="Arial" w:hAnsi="Arial"/>
          <w:sz w:val="22"/>
          <w:szCs w:val="22"/>
        </w:rPr>
        <w:t xml:space="preserve">Project Nexus must integrate with Searce’s existing toolchain. Twenty’s REST and GraphQL APIs, combined with its webhook and workflow capabilities, provide the integration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Type</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Google Workspace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 Calendar, Drive sync via APIs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Bidirectional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 — 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Slack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notifications, activity alerts, CRM commands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Bidirectional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 — 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Google Meet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 transcripts, attendance tracking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Inbound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 — Month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BigQuery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Analytics warehouse, ML training data, executive reporting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Outbound (CDC)</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 — Month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HubSpot Marketing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Campaign data sync (if retained) or replacement module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Bidirectional / Replace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 — Month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Jira / Asana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Project delivery tracking linked to CRM accounts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Bidirectional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P2 — Month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Finance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Invoice and revenue data for account health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Inbound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P2 — Month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LinkedIn Sales Nav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Prospect enrichment and social selling signals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Inbound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P2 — Month 5</w:t>
            </w:r>
          </w:p>
        </w:tc>
      </w:tr>
    </w:tbl>
    <w:p>
      <w:pPr>
        <w:spacing w:after="16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rPr>
        <w:t xml:space="preserve">4. Functional Requirements</w:t>
      </w:r>
    </w:p>
    <w:p>
      <w:pPr>
        <w:pStyle w:val="Heading2"/>
        <w:spacing w:before="240" w:after="120"/>
      </w:pPr>
      <w:r>
        <w:rPr>
          <w:rFonts w:ascii="Arial" w:cs="Arial" w:eastAsia="Arial" w:hAnsi="Arial"/>
        </w:rPr>
        <w:t xml:space="preserve">4.1 Module 1: Sales Pipeline Management</w:t>
      </w:r>
    </w:p>
    <w:p>
      <w:pPr>
        <w:spacing w:after="160"/>
      </w:pPr>
      <w:r>
        <w:rPr>
          <w:rFonts w:ascii="Arial" w:cs="Arial" w:eastAsia="Arial" w:hAnsi="Arial"/>
          <w:sz w:val="22"/>
          <w:szCs w:val="22"/>
        </w:rPr>
        <w:t xml:space="preserve">This module replaces Salesforce Sales Cloud and serves as the primary operational interface for Searce’s revenue teams.</w:t>
      </w:r>
    </w:p>
    <w:p>
      <w:pPr>
        <w:pStyle w:val="Heading3"/>
        <w:spacing w:before="240" w:after="120"/>
      </w:pPr>
      <w:r>
        <w:rPr>
          <w:rFonts w:ascii="Arial" w:cs="Arial" w:eastAsia="Arial" w:hAnsi="Arial"/>
        </w:rPr>
        <w:t xml:space="preserve">4.1.1 Core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26"/>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SF Equivalent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Opportunity lifecycle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Create, update, and track opportunities through configurable pipeline stages with probability weighting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Opportunities + Path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Multi-pipeline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Separate pipelines for New Business, Expansion, Renewal, and Partner with distinct stages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Record Types + Paths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Kanban and table views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Drag-and-drop Kanban boards per pipeline with table view alternative. Custom views with filters, sorts, grouping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Kanban 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Activity timeline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Chronological view of all touchpoints per opportunity: emails, calls, meetings, notes, stage changes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Activity 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Quote and proposal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Template-based document generation with merge fields from opportunity and account data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CPQ (basic)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Revenue forecasting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Weighted pipeline forecast by team, region, quarter. AI-augmented with Vertex AI predictive model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Forecasting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Territory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Geographic and vertical territory assignment with account routing rules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Territory Management</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4.2 Module 2: Account &amp; Contact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26"/>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SF Equivalent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Account hierarchy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Parent-child account relationships with inheritance of key attributes and rollup reporting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Account Hierarchy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 records linked to accounts with role assignment (Decision Maker, Champion, Influencer, End User)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Contacts +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Account health scoring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Composite health score based on engagement frequency, support ticket volume, revenue trend, and NPS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(Einstein)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Relationship mapping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Visual org chart per account showing contacts, their roles, influence, and engagement history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build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Duplicate detection and merge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AI-powered fuzzy matching for contact and account deduplication with manual merge review</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Duplicate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Workspace 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Bidirectional sync of contacts with Google Contacts, calendar events with Google Calendar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for Gmail</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4.3 Module 3: Marketing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26"/>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SF Equivalent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Campaign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Create, execute, and track marketing campaigns with budget tracking, attribution, and ROI measurement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Campaigns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Email campaigns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Template-based email campaigns with personalisation, A/B testing, send-time optimisation, and engagement tracking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Marketing Cloud Email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 capture (web forms, events, imports), scoring, qualification, and routing to sales with SLA tracking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Leads + Web-to-Lead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Marketing automation workflows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Multi-step nurture sequences triggered by behaviour, time, or CRM events. Visual workflow builder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Pardot / MCAE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Event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Webinar and event registration, attendance tracking, and post-event follow-up automation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Campaigns + Custom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Attribution reporting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Multi-touch attribution models showing marketing’s contribution to pipeline and closed revenue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Campaign Influence</w:t>
            </w:r>
          </w:p>
        </w:tc>
      </w:tr>
    </w:tbl>
    <w:p>
      <w:pPr>
        <w:spacing w:after="160"/>
      </w:pPr>
      <w:r>
        <w:rPr>
          <w:rFonts w:ascii="Arial" w:cs="Arial" w:eastAsia="Arial" w:hAnsi="Arial"/>
          <w:sz w:val="22"/>
          <w:szCs w:val="22"/>
        </w:rPr>
        <w:t xml:space="preserve"/>
      </w:r>
    </w:p>
    <w:p>
      <w:pPr>
        <w:spacing w:after="160"/>
      </w:pPr>
      <w:r>
        <w:rPr>
          <w:rFonts w:ascii="Arial" w:cs="Arial" w:eastAsia="Arial" w:hAnsi="Arial"/>
          <w:b/>
          <w:bCs/>
          <w:i/>
          <w:iCs/>
          <w:sz w:val="22"/>
          <w:szCs w:val="22"/>
        </w:rPr>
        <w:t xml:space="preserve">Note: </w:t>
      </w:r>
      <w:r>
        <w:rPr>
          <w:rFonts w:ascii="Arial" w:cs="Arial" w:eastAsia="Arial" w:hAnsi="Arial"/>
          <w:i/>
          <w:iCs/>
          <w:sz w:val="22"/>
          <w:szCs w:val="22"/>
        </w:rPr>
        <w:t xml:space="preserve">Marketing automation is the most complex module to replicate. The recommended approach is a phased strategy: Phase 1 deploys core campaign and lead management within Twenty (using its workflow engine), while evaluating whether to build advanced email marketing natively or integrate with a specialist tool (e.g., Mailchimp, SendGrid) via API.</w:t>
      </w:r>
    </w:p>
    <w:p>
      <w:pPr>
        <w:pStyle w:val="Heading2"/>
        <w:spacing w:before="240" w:after="120"/>
      </w:pPr>
      <w:r>
        <w:rPr>
          <w:rFonts w:ascii="Arial" w:cs="Arial" w:eastAsia="Arial" w:hAnsi="Arial"/>
        </w:rPr>
        <w:t xml:space="preserve">4.4 Module 4: Customer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26"/>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SF Equivalent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Ticket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Support ticket lifecycle: creation, assignment, escalation, resolution, SLA tracking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Multi-channel intake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Tickets created from email, web form, Slack, and API. Automatic categorisation and routing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Omni-Channel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SLA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Configurable SLA rules by priority, account tier, and ticket type. Escalation workflows on breach</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Entitlements + Milestones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Knowledge 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Internal and customer-facing knowledge articles with search, categorisation, and article suggestions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Knowledge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Customer satisfaction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Post-resolution CSAT surveys with trend analysis per account, team, and agent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CSAT (Survey)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AI-assisted resolution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Gemini-powered suggested responses, similar ticket lookup, and auto-categorisation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Einstein for Service</w:t>
            </w:r>
          </w:p>
        </w:tc>
      </w:tr>
    </w:tbl>
    <w:p>
      <w:pPr>
        <w:spacing w:after="16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rPr>
        <w:t xml:space="preserve">5. Data Migration Strategy</w:t>
      </w:r>
    </w:p>
    <w:p>
      <w:pPr>
        <w:pStyle w:val="Heading2"/>
        <w:spacing w:before="240" w:after="120"/>
      </w:pPr>
      <w:r>
        <w:rPr>
          <w:rFonts w:ascii="Arial" w:cs="Arial" w:eastAsia="Arial" w:hAnsi="Arial"/>
        </w:rPr>
        <w:t xml:space="preserve">5.1 Migration Approach</w:t>
      </w:r>
    </w:p>
    <w:p>
      <w:pPr>
        <w:spacing w:after="160"/>
      </w:pPr>
      <w:r>
        <w:rPr>
          <w:rFonts w:ascii="Arial" w:cs="Arial" w:eastAsia="Arial" w:hAnsi="Arial"/>
          <w:sz w:val="22"/>
          <w:szCs w:val="22"/>
        </w:rPr>
        <w:t xml:space="preserve">Data migration is the highest-risk activity in Project Nexus. The strategy prioritises data integrity over speed, with extensive validation at every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 Audit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Inventory all Salesforce objects, fields, records, automations, and integrations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Metadata API + Data Loader export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Object-level record counts, field coverage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 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Map Salesforce objects/fields to Twenty custom objects/fields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Schema mapping document with transformation rules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Field-by-field mapping review with functional owners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 Transform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ETL pipeline to transform Salesforce exports to Twenty-compatible format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Python ETL scripts, Cloud Dataflow for large volumes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Row counts, null analysis, referential integrity checks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Import transformed data into Twenty via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REST/GraphQL API, batch import with retry logic</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Record count reconciliation, sample record verification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 Validate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End-to-end validation with functional teams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Side-by-side comparison scripts, user acceptance testing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count match, 5% sample deep inspection, UAT sign-off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 Cutover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Delta sync of records changed during migration, final switch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Incremental export (LastModifiedDate), re-run ETL for deltas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Zero data loss confirmation, rollback plan tested</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5.2 Data Volumes (Estimated)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Salesforce Object</w:t>
            </w:r>
          </w:p>
        </w:tc>
        <w:tc>
          <w:tcPr>
            <w:tcW w:type="dxa" w:w="2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Records</w:t>
            </w:r>
          </w:p>
        </w:tc>
        <w:tc>
          <w:tcPr>
            <w:tcW w:type="dxa" w:w="2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Twenty Target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Accounts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15,000–25,000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 (standard)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7AE60"/>
                <w:sz w:val="20"/>
                <w:szCs w:val="20"/>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50,000–100,000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 (standard)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7AE60"/>
                <w:sz w:val="20"/>
                <w:szCs w:val="20"/>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Opportunities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10,000–30,000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Opportunity (standard)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30,000–80,000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Object: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Cases (Support Tickets)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5,000–15,000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Object: Ticket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Campaigns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500–2,000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Object: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Activities (Tasks/Events)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200,000–500,000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Tasks + Notes (standard)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 (volume)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Email Messages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500,000+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Email sync (rebuild from Gmail)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7F8C8D"/>
                <w:sz w:val="20"/>
                <w:szCs w:val="20"/>
              </w:rPr>
              <w:t xml:space="preserve">N/A (re-sync)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 Objects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TBD (audit required)</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Custom Objects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7F8C8D"/>
                <w:sz w:val="20"/>
                <w:szCs w:val="20"/>
              </w:rPr>
              <w:t xml:space="preserve">Variable</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5.3 Migration Risk Mitigations</w:t>
      </w:r>
    </w:p>
    <w:p>
      <w:pPr>
        <w:pStyle w:val="ListParagraph"/>
        <w:numPr>
          <w:ilvl w:val="0"/>
          <w:numId w:val="3"/>
        </w:numPr>
        <w:spacing w:after="80"/>
      </w:pPr>
      <w:r>
        <w:rPr>
          <w:rFonts w:ascii="Arial" w:cs="Arial" w:eastAsia="Arial" w:hAnsi="Arial"/>
          <w:b/>
          <w:bCs/>
          <w:sz w:val="22"/>
          <w:szCs w:val="22"/>
        </w:rPr>
        <w:t xml:space="preserve">Parallel operation: </w:t>
      </w:r>
      <w:r>
        <w:rPr>
          <w:rFonts w:ascii="Arial" w:cs="Arial" w:eastAsia="Arial" w:hAnsi="Arial"/>
          <w:sz w:val="22"/>
          <w:szCs w:val="22"/>
        </w:rPr>
        <w:t xml:space="preserve">Salesforce and Twenty CRM will run in parallel for a minimum of 30 days post-cutover. During this period, all new data is entered into Twenty only, but Salesforce remains read-accessible as a reference.</w:t>
      </w:r>
    </w:p>
    <w:p>
      <w:pPr>
        <w:pStyle w:val="ListParagraph"/>
        <w:numPr>
          <w:ilvl w:val="0"/>
          <w:numId w:val="3"/>
        </w:numPr>
        <w:spacing w:after="80"/>
      </w:pPr>
      <w:r>
        <w:rPr>
          <w:rFonts w:ascii="Arial" w:cs="Arial" w:eastAsia="Arial" w:hAnsi="Arial"/>
          <w:b/>
          <w:bCs/>
          <w:sz w:val="22"/>
          <w:szCs w:val="22"/>
        </w:rPr>
        <w:t xml:space="preserve">Rollback plan: </w:t>
      </w:r>
      <w:r>
        <w:rPr>
          <w:rFonts w:ascii="Arial" w:cs="Arial" w:eastAsia="Arial" w:hAnsi="Arial"/>
          <w:sz w:val="22"/>
          <w:szCs w:val="22"/>
        </w:rPr>
        <w:t xml:space="preserve">A tested rollback procedure will be maintained throughout the parallel period. If critical blockers emerge, operations can revert to Salesforce within 4 hours.</w:t>
      </w:r>
    </w:p>
    <w:p>
      <w:pPr>
        <w:pStyle w:val="ListParagraph"/>
        <w:numPr>
          <w:ilvl w:val="0"/>
          <w:numId w:val="3"/>
        </w:numPr>
        <w:spacing w:after="80"/>
      </w:pPr>
      <w:r>
        <w:rPr>
          <w:rFonts w:ascii="Arial" w:cs="Arial" w:eastAsia="Arial" w:hAnsi="Arial"/>
          <w:b/>
          <w:bCs/>
          <w:sz w:val="22"/>
          <w:szCs w:val="22"/>
        </w:rPr>
        <w:t xml:space="preserve">Data archive: </w:t>
      </w:r>
      <w:r>
        <w:rPr>
          <w:rFonts w:ascii="Arial" w:cs="Arial" w:eastAsia="Arial" w:hAnsi="Arial"/>
          <w:sz w:val="22"/>
          <w:szCs w:val="22"/>
        </w:rPr>
        <w:t xml:space="preserve">A complete Salesforce data export (all objects, all fields, all records) will be archived to BigQuery before decommissioning, ensuring no historical data is lost regardless of CRM platform.</w:t>
      </w:r>
    </w:p>
    <w:p>
      <w:r>
        <w:br w:type="page"/>
      </w:r>
    </w:p>
    <w:p>
      <w:pPr>
        <w:pStyle w:val="Heading1"/>
        <w:spacing w:before="360" w:after="120"/>
      </w:pPr>
      <w:r>
        <w:rPr>
          <w:rFonts w:ascii="Arial" w:cs="Arial" w:eastAsia="Arial" w:hAnsi="Arial"/>
        </w:rPr>
        <w:t xml:space="preserve">6. Non-Functional Requirements</w:t>
      </w:r>
    </w:p>
    <w:p>
      <w:pPr>
        <w:pStyle w:val="Heading2"/>
        <w:spacing w:before="240" w:after="120"/>
      </w:pPr>
      <w:r>
        <w:rPr>
          <w:rFonts w:ascii="Arial" w:cs="Arial" w:eastAsia="Arial" w:hAnsi="Arial"/>
        </w:rP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Page load time (first meaningful paint)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2 seconds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Lighthouse audit, Cloud Monitoring RUM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API response time (p95)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200ms for read, &lt; 500ms for write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Trace percentile metrics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Search response time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500ms for full-text search</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Application-level instrumentation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Concurrent users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500 simultaneous users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Load testing with Locust/k6 on GKE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sync latency (Gmail/Calendar)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 minutes for new items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End-to-end sync 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 feature response time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3 seconds for conversational queries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Vertex AI endpoint latency tracking</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6.2 Security &amp; Compliance</w:t>
      </w:r>
    </w:p>
    <w:p>
      <w:pPr>
        <w:pStyle w:val="ListParagraph"/>
        <w:numPr>
          <w:ilvl w:val="0"/>
          <w:numId w:val="4"/>
        </w:numPr>
        <w:spacing w:after="80"/>
      </w:pPr>
      <w:r>
        <w:rPr>
          <w:rFonts w:ascii="Arial" w:cs="Arial" w:eastAsia="Arial" w:hAnsi="Arial"/>
          <w:sz w:val="22"/>
          <w:szCs w:val="22"/>
        </w:rPr>
        <w:t xml:space="preserve">All data encrypted in transit (TLS 1.3) and at rest (AES-256 via Cloud SQL and Cloud Storage default encryption)</w:t>
      </w:r>
    </w:p>
    <w:p>
      <w:pPr>
        <w:pStyle w:val="ListParagraph"/>
        <w:numPr>
          <w:ilvl w:val="0"/>
          <w:numId w:val="4"/>
        </w:numPr>
        <w:spacing w:after="80"/>
      </w:pPr>
      <w:r>
        <w:rPr>
          <w:rFonts w:ascii="Arial" w:cs="Arial" w:eastAsia="Arial" w:hAnsi="Arial"/>
          <w:sz w:val="22"/>
          <w:szCs w:val="22"/>
        </w:rPr>
        <w:t xml:space="preserve">SSO via Google Workspace with SAML 2.0, enforced MFA for all users</w:t>
      </w:r>
    </w:p>
    <w:p>
      <w:pPr>
        <w:pStyle w:val="ListParagraph"/>
        <w:numPr>
          <w:ilvl w:val="0"/>
          <w:numId w:val="4"/>
        </w:numPr>
        <w:spacing w:after="80"/>
      </w:pPr>
      <w:r>
        <w:rPr>
          <w:rFonts w:ascii="Arial" w:cs="Arial" w:eastAsia="Arial" w:hAnsi="Arial"/>
          <w:sz w:val="22"/>
          <w:szCs w:val="22"/>
        </w:rPr>
        <w:t xml:space="preserve">Role-based access control (RBAC) with principle of least privilege across Sales, Marketing, Support, Leadership, and Admin roles</w:t>
      </w:r>
    </w:p>
    <w:p>
      <w:pPr>
        <w:pStyle w:val="ListParagraph"/>
        <w:numPr>
          <w:ilvl w:val="0"/>
          <w:numId w:val="4"/>
        </w:numPr>
        <w:spacing w:after="80"/>
      </w:pPr>
      <w:r>
        <w:rPr>
          <w:rFonts w:ascii="Arial" w:cs="Arial" w:eastAsia="Arial" w:hAnsi="Arial"/>
          <w:sz w:val="22"/>
          <w:szCs w:val="22"/>
        </w:rPr>
        <w:t xml:space="preserve">Audit logging of all data access, modification, and administrative actions via Cloud Audit Logs</w:t>
      </w:r>
    </w:p>
    <w:p>
      <w:pPr>
        <w:pStyle w:val="ListParagraph"/>
        <w:numPr>
          <w:ilvl w:val="0"/>
          <w:numId w:val="4"/>
        </w:numPr>
        <w:spacing w:after="80"/>
      </w:pPr>
      <w:r>
        <w:rPr>
          <w:rFonts w:ascii="Arial" w:cs="Arial" w:eastAsia="Arial" w:hAnsi="Arial"/>
          <w:sz w:val="22"/>
          <w:szCs w:val="22"/>
        </w:rPr>
        <w:t xml:space="preserve">GDPR compliance: data residency in EU region (europe-west2), right-to-erasure support, data processing agreements</w:t>
      </w:r>
    </w:p>
    <w:p>
      <w:pPr>
        <w:pStyle w:val="ListParagraph"/>
        <w:numPr>
          <w:ilvl w:val="0"/>
          <w:numId w:val="4"/>
        </w:numPr>
        <w:spacing w:after="80"/>
      </w:pPr>
      <w:r>
        <w:rPr>
          <w:rFonts w:ascii="Arial" w:cs="Arial" w:eastAsia="Arial" w:hAnsi="Arial"/>
          <w:sz w:val="22"/>
          <w:szCs w:val="22"/>
        </w:rPr>
        <w:t xml:space="preserve">SOC 2 alignment: leveraging GCP’s SOC 2 certification for infrastructure layer, with application-level controls documented</w:t>
      </w:r>
    </w:p>
    <w:p>
      <w:pPr>
        <w:pStyle w:val="ListParagraph"/>
        <w:numPr>
          <w:ilvl w:val="0"/>
          <w:numId w:val="4"/>
        </w:numPr>
        <w:spacing w:after="80"/>
      </w:pPr>
      <w:r>
        <w:rPr>
          <w:rFonts w:ascii="Arial" w:cs="Arial" w:eastAsia="Arial" w:hAnsi="Arial"/>
          <w:sz w:val="22"/>
          <w:szCs w:val="22"/>
        </w:rPr>
        <w:t xml:space="preserve">Vulnerability scanning of all container images in CI/CD pipeline via Artifact Registry scanning</w:t>
      </w:r>
    </w:p>
    <w:p>
      <w:pPr>
        <w:pStyle w:val="ListParagraph"/>
        <w:numPr>
          <w:ilvl w:val="0"/>
          <w:numId w:val="4"/>
        </w:numPr>
        <w:spacing w:after="80"/>
      </w:pPr>
      <w:r>
        <w:rPr>
          <w:rFonts w:ascii="Arial" w:cs="Arial" w:eastAsia="Arial" w:hAnsi="Arial"/>
          <w:sz w:val="22"/>
          <w:szCs w:val="22"/>
        </w:rPr>
        <w:t xml:space="preserve">Penetration testing before production launch and annually thereafter</w:t>
      </w:r>
    </w:p>
    <w:p>
      <w:pPr>
        <w:pStyle w:val="Heading2"/>
        <w:spacing w:before="240" w:after="120"/>
      </w:pPr>
      <w:r>
        <w:rPr>
          <w:rFonts w:ascii="Arial" w:cs="Arial" w:eastAsia="Arial" w:hAnsi="Arial"/>
        </w:rPr>
        <w:t xml:space="preserve">6.3 Availability &amp; Disaster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Uptime SLA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99.9% (excludes scheduled maintenance windows)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Recovery Point Objective (RPO)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1 hour (Cloud SQL continuous backup with point-in-time recovery)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Recovery Time Objective (RTO)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4 hours (GKE workload recovery + Cloud SQL failover)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Backup strategy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Automated daily backups retained for 30 days, weekly backups for 1 year, archived to Cloud Storage Coldline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Multi-zone deployment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GKE Autopilot multi-zone, Cloud SQL HA with automatic failover</w:t>
            </w:r>
          </w:p>
        </w:tc>
      </w:tr>
    </w:tbl>
    <w:p>
      <w:pPr>
        <w:spacing w:after="16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rPr>
        <w:t xml:space="preserve">7. User Adoption &amp; Change Management</w:t>
      </w:r>
    </w:p>
    <w:p>
      <w:pPr>
        <w:pStyle w:val="Heading2"/>
        <w:spacing w:before="240" w:after="120"/>
      </w:pPr>
      <w:r>
        <w:rPr>
          <w:rFonts w:ascii="Arial" w:cs="Arial" w:eastAsia="Arial" w:hAnsi="Arial"/>
        </w:rPr>
        <w:t xml:space="preserve">7.1 Adoption Strategy</w:t>
      </w:r>
    </w:p>
    <w:p>
      <w:pPr>
        <w:spacing w:after="160"/>
      </w:pPr>
      <w:r>
        <w:rPr>
          <w:rFonts w:ascii="Arial" w:cs="Arial" w:eastAsia="Arial" w:hAnsi="Arial"/>
          <w:sz w:val="22"/>
          <w:szCs w:val="22"/>
        </w:rPr>
        <w:t xml:space="preserve">User adoption is the single biggest risk to Project Nexus’s success. The migration will fail if users revert to spreadsheets, email threads, or shadow CRM processes. The adoption strategy is designed to make the new CRM feel better than Salesforce from day one.</w:t>
      </w:r>
    </w:p>
    <w:p>
      <w:pPr>
        <w:pStyle w:val="ListParagraph"/>
        <w:numPr>
          <w:ilvl w:val="0"/>
          <w:numId w:val="5"/>
        </w:numPr>
        <w:spacing w:after="80"/>
      </w:pPr>
      <w:r>
        <w:rPr>
          <w:rFonts w:ascii="Arial" w:cs="Arial" w:eastAsia="Arial" w:hAnsi="Arial"/>
          <w:b/>
          <w:bCs/>
          <w:sz w:val="22"/>
          <w:szCs w:val="22"/>
        </w:rPr>
        <w:t xml:space="preserve">Executive sponsorship: </w:t>
      </w:r>
      <w:r>
        <w:rPr>
          <w:rFonts w:ascii="Arial" w:cs="Arial" w:eastAsia="Arial" w:hAnsi="Arial"/>
          <w:sz w:val="22"/>
          <w:szCs w:val="22"/>
        </w:rPr>
        <w:t xml:space="preserve">CEO-level mandate with visible leadership usage. Monthly all-hands updates on adoption metrics and AI feature rollouts.</w:t>
      </w:r>
    </w:p>
    <w:p>
      <w:pPr>
        <w:pStyle w:val="ListParagraph"/>
        <w:numPr>
          <w:ilvl w:val="0"/>
          <w:numId w:val="5"/>
        </w:numPr>
        <w:spacing w:after="80"/>
      </w:pPr>
      <w:r>
        <w:rPr>
          <w:rFonts w:ascii="Arial" w:cs="Arial" w:eastAsia="Arial" w:hAnsi="Arial"/>
          <w:b/>
          <w:bCs/>
          <w:sz w:val="22"/>
          <w:szCs w:val="22"/>
        </w:rPr>
        <w:t xml:space="preserve">Champion network: </w:t>
      </w:r>
      <w:r>
        <w:rPr>
          <w:rFonts w:ascii="Arial" w:cs="Arial" w:eastAsia="Arial" w:hAnsi="Arial"/>
          <w:sz w:val="22"/>
          <w:szCs w:val="22"/>
        </w:rPr>
        <w:t xml:space="preserve">Identify 2–3 power users per team (15–20 champions total) who receive early access, advanced training, and direct feedback channel to the project team.</w:t>
      </w:r>
    </w:p>
    <w:p>
      <w:pPr>
        <w:pStyle w:val="ListParagraph"/>
        <w:numPr>
          <w:ilvl w:val="0"/>
          <w:numId w:val="5"/>
        </w:numPr>
        <w:spacing w:after="80"/>
      </w:pPr>
      <w:r>
        <w:rPr>
          <w:rFonts w:ascii="Arial" w:cs="Arial" w:eastAsia="Arial" w:hAnsi="Arial"/>
          <w:b/>
          <w:bCs/>
          <w:sz w:val="22"/>
          <w:szCs w:val="22"/>
        </w:rPr>
        <w:t xml:space="preserve">Phased rollout by team: </w:t>
      </w:r>
      <w:r>
        <w:rPr>
          <w:rFonts w:ascii="Arial" w:cs="Arial" w:eastAsia="Arial" w:hAnsi="Arial"/>
          <w:sz w:val="22"/>
          <w:szCs w:val="22"/>
        </w:rPr>
        <w:t xml:space="preserve">Start with a pilot team of 30–50 users (ideally a single sales region), validate, iterate, then expand to remaining teams in 2–3 waves.</w:t>
      </w:r>
    </w:p>
    <w:p>
      <w:pPr>
        <w:pStyle w:val="ListParagraph"/>
        <w:numPr>
          <w:ilvl w:val="0"/>
          <w:numId w:val="5"/>
        </w:numPr>
        <w:spacing w:after="80"/>
      </w:pPr>
      <w:r>
        <w:rPr>
          <w:rFonts w:ascii="Arial" w:cs="Arial" w:eastAsia="Arial" w:hAnsi="Arial"/>
          <w:b/>
          <w:bCs/>
          <w:sz w:val="22"/>
          <w:szCs w:val="22"/>
        </w:rPr>
        <w:t xml:space="preserve">Training programme: </w:t>
      </w:r>
      <w:r>
        <w:rPr>
          <w:rFonts w:ascii="Arial" w:cs="Arial" w:eastAsia="Arial" w:hAnsi="Arial"/>
          <w:sz w:val="22"/>
          <w:szCs w:val="22"/>
        </w:rPr>
        <w:t xml:space="preserve">Role-specific training (not generic CRM training): Sales reps learn pipeline management, marketing learns campaign workflows, support learns ticket management. 90-minute sessions with hands-on exercises.</w:t>
      </w:r>
    </w:p>
    <w:p>
      <w:pPr>
        <w:pStyle w:val="ListParagraph"/>
        <w:numPr>
          <w:ilvl w:val="0"/>
          <w:numId w:val="5"/>
        </w:numPr>
        <w:spacing w:after="80"/>
      </w:pPr>
      <w:r>
        <w:rPr>
          <w:rFonts w:ascii="Arial" w:cs="Arial" w:eastAsia="Arial" w:hAnsi="Arial"/>
          <w:b/>
          <w:bCs/>
          <w:sz w:val="22"/>
          <w:szCs w:val="22"/>
        </w:rPr>
        <w:t xml:space="preserve">AI as the adoption accelerator: </w:t>
      </w:r>
      <w:r>
        <w:rPr>
          <w:rFonts w:ascii="Arial" w:cs="Arial" w:eastAsia="Arial" w:hAnsi="Arial"/>
          <w:sz w:val="22"/>
          <w:szCs w:val="22"/>
        </w:rPr>
        <w:t xml:space="preserve">The conversational CRM interface and auto-capture features should make the new system easier than Salesforce, not just different. This is the key differentiator in the adoption story.</w:t>
      </w:r>
    </w:p>
    <w:p>
      <w:pPr>
        <w:pStyle w:val="Heading2"/>
        <w:spacing w:before="240" w:after="120"/>
      </w:pPr>
      <w:r>
        <w:rPr>
          <w:rFonts w:ascii="Arial" w:cs="Arial" w:eastAsia="Arial" w:hAnsi="Arial"/>
        </w:rPr>
        <w:t xml:space="preserve">7.2 Success Criteria for Adoption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30-Day Target</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90-Day Target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Daily active users (% of licensed)</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60%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80%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entry compliance (opportunities updated weekly)</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70%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 feature adoption (% using conversational CRM)</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20%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Support tickets about CRM</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50/week</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10/week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satisfaction (NPS survey)</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30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50</w:t>
            </w:r>
          </w:p>
        </w:tc>
      </w:tr>
    </w:tbl>
    <w:p>
      <w:pPr>
        <w:spacing w:after="160"/>
      </w:pPr>
      <w:r>
        <w:rPr>
          <w:rFonts w:ascii="Arial" w:cs="Arial" w:eastAsia="Arial" w:hAnsi="Arial"/>
          <w:sz w:val="22"/>
          <w:szCs w:val="22"/>
        </w:rPr>
        <w:t xml:space="preserve"/>
      </w:r>
    </w:p>
    <w:p>
      <w:pPr>
        <w:pStyle w:val="Heading1"/>
        <w:spacing w:before="360" w:after="120"/>
      </w:pPr>
      <w:r>
        <w:rPr>
          <w:rFonts w:ascii="Arial" w:cs="Arial" w:eastAsia="Arial" w:hAnsi="Arial"/>
        </w:rPr>
        <w:t xml:space="preserve">8. Strategic Value &amp; Reusable IP</w:t>
      </w:r>
    </w:p>
    <w:p>
      <w:pPr>
        <w:pStyle w:val="Heading2"/>
        <w:spacing w:before="240" w:after="120"/>
      </w:pPr>
      <w:r>
        <w:rPr>
          <w:rFonts w:ascii="Arial" w:cs="Arial" w:eastAsia="Arial" w:hAnsi="Arial"/>
        </w:rPr>
        <w:t xml:space="preserve">8.1 Client-Facing Opportunity</w:t>
      </w:r>
    </w:p>
    <w:p>
      <w:pPr>
        <w:spacing w:after="160"/>
      </w:pPr>
      <w:r>
        <w:rPr>
          <w:rFonts w:ascii="Arial" w:cs="Arial" w:eastAsia="Arial" w:hAnsi="Arial"/>
          <w:sz w:val="22"/>
          <w:szCs w:val="22"/>
        </w:rPr>
        <w:t xml:space="preserve">Project Nexus is not just an internal IT project. It creates a repeatable methodology and reference architecture that Searce can offer to clients as a professional services engagement.</w:t>
      </w:r>
    </w:p>
    <w:p>
      <w:pPr>
        <w:pStyle w:val="ListParagraph"/>
        <w:numPr>
          <w:ilvl w:val="0"/>
          <w:numId w:val="6"/>
        </w:numPr>
        <w:spacing w:after="80"/>
      </w:pPr>
      <w:r>
        <w:rPr>
          <w:rFonts w:ascii="Arial" w:cs="Arial" w:eastAsia="Arial" w:hAnsi="Arial"/>
          <w:b/>
          <w:bCs/>
          <w:sz w:val="22"/>
          <w:szCs w:val="22"/>
        </w:rPr>
        <w:t xml:space="preserve">CRM Modernisation Assessment: </w:t>
      </w:r>
      <w:r>
        <w:rPr>
          <w:rFonts w:ascii="Arial" w:cs="Arial" w:eastAsia="Arial" w:hAnsi="Arial"/>
          <w:sz w:val="22"/>
          <w:szCs w:val="22"/>
        </w:rPr>
        <w:t xml:space="preserve">Productised version of the readiness assessment used for Project Nexus. Aligns with the ARIA framework methodology.</w:t>
      </w:r>
    </w:p>
    <w:p>
      <w:pPr>
        <w:pStyle w:val="ListParagraph"/>
        <w:numPr>
          <w:ilvl w:val="0"/>
          <w:numId w:val="6"/>
        </w:numPr>
        <w:spacing w:after="80"/>
      </w:pPr>
      <w:r>
        <w:rPr>
          <w:rFonts w:ascii="Arial" w:cs="Arial" w:eastAsia="Arial" w:hAnsi="Arial"/>
          <w:b/>
          <w:bCs/>
          <w:sz w:val="22"/>
          <w:szCs w:val="22"/>
        </w:rPr>
        <w:t xml:space="preserve">Migration Accelerator: </w:t>
      </w:r>
      <w:r>
        <w:rPr>
          <w:rFonts w:ascii="Arial" w:cs="Arial" w:eastAsia="Arial" w:hAnsi="Arial"/>
          <w:sz w:val="22"/>
          <w:szCs w:val="22"/>
        </w:rPr>
        <w:t xml:space="preserve">Open-source ETL scripts, schema mapping templates, and validation tooling developed during migration, packaged as a reusable accelerator.</w:t>
      </w:r>
    </w:p>
    <w:p>
      <w:pPr>
        <w:pStyle w:val="ListParagraph"/>
        <w:numPr>
          <w:ilvl w:val="0"/>
          <w:numId w:val="6"/>
        </w:numPr>
        <w:spacing w:after="80"/>
      </w:pPr>
      <w:r>
        <w:rPr>
          <w:rFonts w:ascii="Arial" w:cs="Arial" w:eastAsia="Arial" w:hAnsi="Arial"/>
          <w:b/>
          <w:bCs/>
          <w:sz w:val="22"/>
          <w:szCs w:val="22"/>
        </w:rPr>
        <w:t xml:space="preserve">Reference Architecture: </w:t>
      </w:r>
      <w:r>
        <w:rPr>
          <w:rFonts w:ascii="Arial" w:cs="Arial" w:eastAsia="Arial" w:hAnsi="Arial"/>
          <w:sz w:val="22"/>
          <w:szCs w:val="22"/>
        </w:rPr>
        <w:t xml:space="preserve">The GCP architecture (GKE + Cloud SQL + Vertex AI + BigQuery) becomes a publishable reference architecture for open-source CRM on Google Cloud.</w:t>
      </w:r>
    </w:p>
    <w:p>
      <w:pPr>
        <w:pStyle w:val="ListParagraph"/>
        <w:numPr>
          <w:ilvl w:val="0"/>
          <w:numId w:val="6"/>
        </w:numPr>
        <w:spacing w:after="80"/>
      </w:pPr>
      <w:r>
        <w:rPr>
          <w:rFonts w:ascii="Arial" w:cs="Arial" w:eastAsia="Arial" w:hAnsi="Arial"/>
          <w:b/>
          <w:bCs/>
          <w:sz w:val="22"/>
          <w:szCs w:val="22"/>
        </w:rPr>
        <w:t xml:space="preserve">Case Study: </w:t>
      </w:r>
      <w:r>
        <w:rPr>
          <w:rFonts w:ascii="Arial" w:cs="Arial" w:eastAsia="Arial" w:hAnsi="Arial"/>
          <w:sz w:val="22"/>
          <w:szCs w:val="22"/>
        </w:rPr>
        <w:t xml:space="preserve">Searce’s own migration story — 1,500 users, Salesforce to open-source on GCP — becomes a powerful sales tool and thought leadership asset.</w:t>
      </w:r>
    </w:p>
    <w:p>
      <w:pPr>
        <w:pStyle w:val="Heading2"/>
        <w:spacing w:before="240" w:after="120"/>
      </w:pPr>
      <w:r>
        <w:rPr>
          <w:rFonts w:ascii="Arial" w:cs="Arial" w:eastAsia="Arial" w:hAnsi="Arial"/>
        </w:rPr>
        <w:t xml:space="preserve">8.2 Estimated Revenue Potential</w:t>
      </w:r>
    </w:p>
    <w:p>
      <w:pPr>
        <w:spacing w:after="160"/>
      </w:pPr>
      <w:r>
        <w:rPr>
          <w:rFonts w:ascii="Arial" w:cs="Arial" w:eastAsia="Arial" w:hAnsi="Arial"/>
          <w:sz w:val="22"/>
          <w:szCs w:val="22"/>
        </w:rPr>
        <w:t xml:space="preserve">Based on Searce’s existing client relationships and the growing CRM modernisation trend, the reusable IP from Project Nexus could generate additional services revenue within 12 months of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 Type</w:t>
            </w:r>
          </w:p>
        </w:tc>
        <w:tc>
          <w:tcPr>
            <w:tcW w:type="dxa" w:w="3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Deal Size</w:t>
            </w:r>
          </w:p>
        </w:tc>
        <w:tc>
          <w:tcPr>
            <w:tcW w:type="dxa" w:w="3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Potential Volume (Year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CRM Readiness Assessment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£15,000–£30,000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5–10 engagements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CRM Migration (SMB)</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£50,000–£150,000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3–5 engagements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CRM Migration (Enterprise)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£150,000–£500,000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engagements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AI-Native CRM Enhancement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£30,000–£80,000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5–8 engagements</w:t>
            </w:r>
          </w:p>
        </w:tc>
      </w:tr>
    </w:tbl>
    <w:p>
      <w:pPr>
        <w:spacing w:after="16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rPr>
        <w:t xml:space="preserve">9. Cost Analysis</w:t>
      </w:r>
    </w:p>
    <w:p>
      <w:pPr>
        <w:pStyle w:val="Heading2"/>
        <w:spacing w:before="240" w:after="120"/>
      </w:pPr>
      <w:r>
        <w:rPr>
          <w:rFonts w:ascii="Arial" w:cs="Arial" w:eastAsia="Arial" w:hAnsi="Arial"/>
        </w:rPr>
        <w:t xml:space="preserve">9.1 Current Salesforce Cost (Estimated)</w:t>
      </w:r>
    </w:p>
    <w:p>
      <w:pPr>
        <w:spacing w:after="160"/>
      </w:pPr>
      <w:r>
        <w:rPr>
          <w:rFonts w:ascii="Arial" w:cs="Arial" w:eastAsia="Arial" w:hAnsi="Arial"/>
          <w:sz w:val="22"/>
          <w:szCs w:val="22"/>
        </w:rPr>
        <w:t xml:space="preserve">Exact Salesforce contract details require confirmation from Finance, but based on typical enterprise pricing for a 1,500-user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 User/Month</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(1,500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 Cloud Enterprise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£120–£165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£2,160,000–£2,970,000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Service Cloud Enterprise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£120–£165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Subset of users — est. £200,000–£400,000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Marketing Cloud / Pardot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Platform fee + contacts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Est. £50,000–£150,000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Einstein AI Add-ons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£40–£75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Subset — est. £60,000–£150,000</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Total Estimated Annual Cost</w:t>
            </w:r>
          </w:p>
        </w:tc>
        <w:tc>
          <w:tcPr>
            <w:tcW w:type="dxa" w:w="276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276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£350,000–£650,000+</w:t>
            </w:r>
          </w:p>
        </w:tc>
      </w:tr>
    </w:tbl>
    <w:p>
      <w:pPr>
        <w:spacing w:after="160"/>
      </w:pPr>
      <w:r>
        <w:rPr>
          <w:rFonts w:ascii="Arial" w:cs="Arial" w:eastAsia="Arial" w:hAnsi="Arial"/>
          <w:sz w:val="22"/>
          <w:szCs w:val="22"/>
        </w:rPr>
        <w:t xml:space="preserve"/>
      </w:r>
    </w:p>
    <w:p>
      <w:pPr>
        <w:spacing w:after="160"/>
      </w:pPr>
      <w:r>
        <w:rPr>
          <w:rFonts w:ascii="Arial" w:cs="Arial" w:eastAsia="Arial" w:hAnsi="Arial"/>
          <w:b/>
          <w:bCs/>
          <w:i/>
          <w:iCs/>
          <w:sz w:val="22"/>
          <w:szCs w:val="22"/>
        </w:rPr>
        <w:t xml:space="preserve">Note: </w:t>
      </w:r>
      <w:r>
        <w:rPr>
          <w:rFonts w:ascii="Arial" w:cs="Arial" w:eastAsia="Arial" w:hAnsi="Arial"/>
          <w:i/>
          <w:iCs/>
          <w:sz w:val="22"/>
          <w:szCs w:val="22"/>
        </w:rPr>
        <w:t xml:space="preserve">Not all 1,500 employees may be licensed for all clouds. Actual Salesforce spend should be confirmed with Finance and Procurement as a first step.</w:t>
      </w:r>
    </w:p>
    <w:p>
      <w:pPr>
        <w:pStyle w:val="Heading2"/>
        <w:spacing w:before="240" w:after="120"/>
      </w:pPr>
      <w:r>
        <w:rPr>
          <w:rFonts w:ascii="Arial" w:cs="Arial" w:eastAsia="Arial" w:hAnsi="Arial"/>
        </w:rPr>
        <w:t xml:space="preserve">9.2 Project Nexus Cost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c>
          <w:tcPr>
            <w:tcW w:type="dxa" w:w="276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GKE Autopilot (application)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£1,200–£2,500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£14,400–£30,000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SQL for PostgreSQL (HA)</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£800–£1,500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£9,600–£18,000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Memorystore for Redis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£200–£400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£2,400–£4,800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Storage + CDN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£150–£300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£1,800–£3,600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Vertex AI (Gemini Pro + custom models)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£2,000–£5,000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£24,000–£60,000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 Operations + Networking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£300–£600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£3,600–£7,200</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GCP Infrastructure Subtotal</w:t>
            </w:r>
          </w:p>
        </w:tc>
        <w:tc>
          <w:tcPr>
            <w:tcW w:type="dxa" w:w="2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2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£55,800–£123,600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Internal Engineering (2 FTE, 6 months)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£120,000–£180,000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Training and Change Management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£15,000–£25,000</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Total Year 1 Cost</w:t>
            </w:r>
          </w:p>
        </w:tc>
        <w:tc>
          <w:tcPr>
            <w:tcW w:type="dxa" w:w="276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276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£190,800–£328,600</w:t>
            </w:r>
          </w:p>
        </w:tc>
      </w:tr>
      <w:tr>
        <w:tc>
          <w:tcPr>
            <w:tcW w:type="dxa" w:w="3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b/>
                <w:bCs/>
                <w:sz w:val="20"/>
                <w:szCs w:val="20"/>
              </w:rPr>
              <w:t xml:space="preserve">Ongoing Annual Cost (Year 2+)</w:t>
            </w:r>
          </w:p>
        </w:tc>
        <w:tc>
          <w:tcPr>
            <w:tcW w:type="dxa" w:w="2763"/>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20"/>
                <w:szCs w:val="20"/>
              </w:rPr>
              <w:t xml:space="preserve"/>
            </w:r>
          </w:p>
        </w:tc>
        <w:tc>
          <w:tcPr>
            <w:tcW w:type="dxa" w:w="2763"/>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b/>
                <w:bCs/>
                <w:sz w:val="20"/>
                <w:szCs w:val="20"/>
              </w:rPr>
              <w:t xml:space="preserve">£55,800–£123,600</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Net Saving (Year 1): </w:t>
      </w:r>
      <w:r>
        <w:rPr>
          <w:rFonts w:ascii="Arial" w:cs="Arial" w:eastAsia="Arial" w:hAnsi="Arial"/>
          <w:sz w:val="22"/>
          <w:szCs w:val="22"/>
        </w:rPr>
        <w:t xml:space="preserve">£20,000–£320,000 (depends on current Salesforce contract)</w:t>
      </w:r>
    </w:p>
    <w:p>
      <w:pPr>
        <w:spacing w:after="160"/>
      </w:pPr>
      <w:r>
        <w:rPr>
          <w:rFonts w:ascii="Arial" w:cs="Arial" w:eastAsia="Arial" w:hAnsi="Arial"/>
          <w:b/>
          <w:bCs/>
          <w:sz w:val="22"/>
          <w:szCs w:val="22"/>
        </w:rPr>
        <w:t xml:space="preserve">Net Saving (Year 2+): </w:t>
      </w:r>
      <w:r>
        <w:rPr>
          <w:rFonts w:ascii="Arial" w:cs="Arial" w:eastAsia="Arial" w:hAnsi="Arial"/>
          <w:sz w:val="22"/>
          <w:szCs w:val="22"/>
        </w:rPr>
        <w:t xml:space="preserve">£230,000–£530,000 annually (infrastructure only, no licensing)</w:t>
      </w:r>
    </w:p>
    <w:p>
      <w:r>
        <w:br w:type="page"/>
      </w:r>
    </w:p>
    <w:p>
      <w:pPr>
        <w:pStyle w:val="Heading1"/>
        <w:spacing w:before="360" w:after="120"/>
      </w:pPr>
      <w:r>
        <w:rPr>
          <w:rFonts w:ascii="Arial" w:cs="Arial" w:eastAsia="Arial" w:hAnsi="Arial"/>
        </w:rPr>
        <w:t xml:space="preserve">10. Development Roadmap</w:t>
      </w:r>
    </w:p>
    <w:p>
      <w:pPr>
        <w:pStyle w:val="Heading2"/>
        <w:spacing w:before="240" w:after="120"/>
      </w:pPr>
      <w:r>
        <w:rPr>
          <w:rFonts w:ascii="Arial" w:cs="Arial" w:eastAsia="Arial" w:hAnsi="Arial"/>
        </w:rPr>
        <w:t xml:space="preserve">10.1 Phased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500"/>
        <w:gridCol w:w="2926"/>
      </w:tblGrid>
      <w:tr>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9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 Foundation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Weeks 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GKE cluster provisioned. Twenty CRM deployed and configured. SSO integrated via Google Workspace. Custom objects created for Searce-specific entities. Salesforce data audit completed.</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CRM accessible via SSO. All standard and custom objects defined. Salesforce audit report delivered.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 Core CRM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Weeks 5–8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 pipeline configured (multi-pipeline). Account/contact management. Google Workspace sync (Gmail, Calendar). Slack integration. Data migration: accounts, contacts, opportunities (historical).</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Pilot team (30–50 users) operational on Twenty. Core CRM functions validated. Data migration accuracy &gt; 99%.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 AI Layer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Weeks 9–12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Conversational CRM interface (Gemini Pro). Auto-capture from Gmail/Calendar. Predictive pipeline scoring. Meeting summarisation from Google Meet. BigQuery analytics pipeline.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 features deployed and tested with pilot team. Vertex AI endpoints operational. BigQuery receiving CDC data.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 Extended CRM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Weeks 13–18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Marketing automation module (campaigns, lead management, email). Customer support module (tickets, SLA, knowledge base). Full data migration (all remaining objects). Dashboard and executive reporting.</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four CRM functions operational. Full data migration validated. Executive dashboards live.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 Full Rollout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Weeks 19–22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Company-wide rollout in 2–3 waves. Role-specific training programme. Parallel operation with Salesforce. Advanced integrations (Jira, Finance, LinkedIn).</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1,500 users migrated. DAU &gt; 60%. Support ticket volume stable.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6. Optimise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Weeks 23–26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decommission preparation. Advanced AI features (smart lead scoring, email intelligence). Performance optimisation. Documentation and case study preparation.</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read-only. NPS &gt; 30. Cost savings validated. Case study drafted.</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rPr>
        <w:t xml:space="preserve">10.2 Team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Project Lead / Architect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(6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Overall architecture, GCP infrastructure, AI integration, stakeholder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Full-Stack Developer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(6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customisation, custom objects, workflow automation, integration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Data Engineer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 (3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data migration, ETL pipeline, BigQuery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DevOps / SRE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 (6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GKE deployment, CI/CD pipeline, monitoring, security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CRM Functional Lead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 (6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Business requirements, user acceptance testing, training, change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Executive Sponsor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 (6 months)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Steering committee, blocker resolution, adoption mandate</w:t>
            </w:r>
          </w:p>
        </w:tc>
      </w:tr>
    </w:tbl>
    <w:p>
      <w:pPr>
        <w:spacing w:after="160"/>
      </w:pPr>
      <w:r>
        <w:rPr>
          <w:rFonts w:ascii="Arial" w:cs="Arial" w:eastAsia="Arial" w:hAnsi="Arial"/>
          <w:sz w:val="22"/>
          <w:szCs w:val="22"/>
        </w:rPr>
        <w:t xml:space="preserve"/>
      </w:r>
    </w:p>
    <w:p>
      <w:r>
        <w:br w:type="page"/>
      </w:r>
    </w:p>
    <w:p>
      <w:pPr>
        <w:pStyle w:val="Heading1"/>
        <w:spacing w:before="360" w:after="120"/>
      </w:pPr>
      <w:r>
        <w:rPr>
          <w:rFonts w:ascii="Arial" w:cs="Arial" w:eastAsia="Arial" w:hAnsi="Arial"/>
        </w:rPr>
        <w:t xml:space="preserve">11.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200"/>
        <w:gridCol w:w="3926"/>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39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CRM feature gaps block critical workflows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Pre-migration feature gap analysis (Phase 1). Custom development for critical gaps. Community contribution for non-critical gaps. Fallback: retain Salesforce for specific functions during transition.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migration errors cause operational disruption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30-day parallel operation. Automated reconciliation scripts. 5% deep-sample validation. Tested rollback procedure. Complete BigQuery archive.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adoption failure — teams revert to spreadsheets or resist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CEO mandate. Champion network. AI features as adoption accelerator (system is better, not just different). Phased rollout with feedback loops. Kill Salesforce access to prevent dual-system drift.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Twenty CRM project abandons or changes licence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AGPL-3.0 guarantees perpetual rights to current code. Fork capability. Active community reduces single-point-of-failure risk. Monitor upstream project health quarterly.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Performance issues at 1,500-user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Load testing in Phase 1 before any migration. GKE Autopilot auto-scaling. Cloud SQL read replicas if needed. Redis caching layer. CDN for static assets.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Security vulnerability in open-source components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Automated container scanning in CI/CD. Dependabot / Renovate for dependency updates. WAF via Cloud Armor. Penetration testing pre-launch.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Marketing automation capabilities insufficient — Twenty lacks mature email marketing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0392B"/>
                <w:sz w:val="20"/>
                <w:szCs w:val="20"/>
              </w:rPr>
              <w:t xml:space="preserve">High</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Hybrid approach: core campaign management in Twenty, integrate SendGrid or Mailchimp for advanced email marketing via API. Evaluate Twenty’s workflow maturity during Phase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contract penalties for early termination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Coordinate with Procurement to align migration timeline with contract renewal. Negotiate reduced seat count during transition. Factor termination costs into business case.</w:t>
            </w:r>
          </w:p>
        </w:tc>
      </w:tr>
    </w:tbl>
    <w:p>
      <w:pPr>
        <w:spacing w:after="160"/>
      </w:pPr>
      <w:r>
        <w:rPr>
          <w:rFonts w:ascii="Arial" w:cs="Arial" w:eastAsia="Arial" w:hAnsi="Arial"/>
          <w:sz w:val="22"/>
          <w:szCs w:val="22"/>
        </w:rPr>
        <w:t xml:space="preserve"/>
      </w:r>
    </w:p>
    <w:p>
      <w:pPr>
        <w:pStyle w:val="Heading1"/>
        <w:spacing w:before="360" w:after="120"/>
      </w:pPr>
      <w:r>
        <w:rPr>
          <w:rFonts w:ascii="Arial" w:cs="Arial" w:eastAsia="Arial" w:hAnsi="Arial"/>
        </w:rPr>
        <w:t xml:space="preserve">12.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3-Month</w:t>
            </w:r>
          </w:p>
        </w:tc>
        <w:tc>
          <w:tcPr>
            <w:tcW w:type="dxa" w:w="2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6-Month</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12-Month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Users migrated</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 (pilot)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 (all)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Daily active users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40 (pilot)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900 (60%)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1,200 (80%)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migration accuracy</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99%</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validated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System uptime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99.5%</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99.9%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AI feature adoption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 of pilot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of all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 of all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NPS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20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Cost saving vs Salesforce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 track</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£100K+ validated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£200K+ validated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Client engagements using methodology</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proposals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3–5 engagements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Salesforce decommissioned</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 (parallel)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Read-only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Fully decommissioned</w:t>
            </w:r>
          </w:p>
        </w:tc>
      </w:tr>
    </w:tbl>
    <w:p>
      <w:pPr>
        <w:spacing w:after="160"/>
      </w:pPr>
      <w:r>
        <w:rPr>
          <w:rFonts w:ascii="Arial" w:cs="Arial" w:eastAsia="Arial" w:hAnsi="Arial"/>
          <w:sz w:val="22"/>
          <w:szCs w:val="22"/>
        </w:rPr>
        <w:t xml:space="preserve"/>
      </w:r>
    </w:p>
    <w:p>
      <w:pPr>
        <w:pStyle w:val="Heading1"/>
        <w:spacing w:before="360" w:after="120"/>
      </w:pPr>
      <w:r>
        <w:rPr>
          <w:rFonts w:ascii="Arial" w:cs="Arial" w:eastAsia="Arial" w:hAnsi="Arial"/>
        </w:rPr>
        <w:t xml:space="preserve">13. Immediate Next Steps</w:t>
      </w:r>
    </w:p>
    <w:p>
      <w:pPr>
        <w:pStyle w:val="ListParagraph"/>
        <w:numPr>
          <w:ilvl w:val="0"/>
          <w:numId w:val="7"/>
        </w:numPr>
        <w:spacing w:after="80"/>
      </w:pPr>
      <w:r>
        <w:rPr>
          <w:rFonts w:ascii="Arial" w:cs="Arial" w:eastAsia="Arial" w:hAnsi="Arial"/>
          <w:b/>
          <w:bCs/>
          <w:sz w:val="22"/>
          <w:szCs w:val="22"/>
        </w:rPr>
        <w:t xml:space="preserve">Confirm Salesforce contract details: </w:t>
      </w:r>
      <w:r>
        <w:rPr>
          <w:rFonts w:ascii="Arial" w:cs="Arial" w:eastAsia="Arial" w:hAnsi="Arial"/>
          <w:sz w:val="22"/>
          <w:szCs w:val="22"/>
        </w:rPr>
        <w:t xml:space="preserve">Obtain exact licensing costs, user counts per cloud, contract renewal date, and early termination terms from Procurement.</w:t>
      </w:r>
    </w:p>
    <w:p>
      <w:pPr>
        <w:pStyle w:val="ListParagraph"/>
        <w:numPr>
          <w:ilvl w:val="0"/>
          <w:numId w:val="7"/>
        </w:numPr>
        <w:spacing w:after="80"/>
      </w:pPr>
      <w:r>
        <w:rPr>
          <w:rFonts w:ascii="Arial" w:cs="Arial" w:eastAsia="Arial" w:hAnsi="Arial"/>
          <w:b/>
          <w:bCs/>
          <w:sz w:val="22"/>
          <w:szCs w:val="22"/>
        </w:rPr>
        <w:t xml:space="preserve">Salesforce data audit: </w:t>
      </w:r>
      <w:r>
        <w:rPr>
          <w:rFonts w:ascii="Arial" w:cs="Arial" w:eastAsia="Arial" w:hAnsi="Arial"/>
          <w:sz w:val="22"/>
          <w:szCs w:val="22"/>
        </w:rPr>
        <w:t xml:space="preserve">Run a comprehensive inventory of all objects, custom fields, Apex triggers, workflows, reports, and integrations. Quantify the actual footprint.</w:t>
      </w:r>
    </w:p>
    <w:p>
      <w:pPr>
        <w:pStyle w:val="ListParagraph"/>
        <w:numPr>
          <w:ilvl w:val="0"/>
          <w:numId w:val="7"/>
        </w:numPr>
        <w:spacing w:after="80"/>
      </w:pPr>
      <w:r>
        <w:rPr>
          <w:rFonts w:ascii="Arial" w:cs="Arial" w:eastAsia="Arial" w:hAnsi="Arial"/>
          <w:b/>
          <w:bCs/>
          <w:sz w:val="22"/>
          <w:szCs w:val="22"/>
        </w:rPr>
        <w:t xml:space="preserve">Twenty CRM proof-of-concept: </w:t>
      </w:r>
      <w:r>
        <w:rPr>
          <w:rFonts w:ascii="Arial" w:cs="Arial" w:eastAsia="Arial" w:hAnsi="Arial"/>
          <w:sz w:val="22"/>
          <w:szCs w:val="22"/>
        </w:rPr>
        <w:t xml:space="preserve">Deploy Twenty on GKE in a non-production environment. Configure SSO. Create core custom objects. Load a sample dataset. Validate feasibility within 2 weeks.</w:t>
      </w:r>
    </w:p>
    <w:p>
      <w:pPr>
        <w:pStyle w:val="ListParagraph"/>
        <w:numPr>
          <w:ilvl w:val="0"/>
          <w:numId w:val="7"/>
        </w:numPr>
        <w:spacing w:after="80"/>
      </w:pPr>
      <w:r>
        <w:rPr>
          <w:rFonts w:ascii="Arial" w:cs="Arial" w:eastAsia="Arial" w:hAnsi="Arial"/>
          <w:b/>
          <w:bCs/>
          <w:sz w:val="22"/>
          <w:szCs w:val="22"/>
        </w:rPr>
        <w:t xml:space="preserve">Steering committee formation: </w:t>
      </w:r>
      <w:r>
        <w:rPr>
          <w:rFonts w:ascii="Arial" w:cs="Arial" w:eastAsia="Arial" w:hAnsi="Arial"/>
          <w:sz w:val="22"/>
          <w:szCs w:val="22"/>
        </w:rPr>
        <w:t xml:space="preserve">Establish a cross-functional steering committee (CEO sponsor, VP Sales, VP Marketing, Head of Support, IT Lead, Security Lead) to review the POC and approve Phase 1.</w:t>
      </w:r>
    </w:p>
    <w:p>
      <w:pPr>
        <w:pStyle w:val="ListParagraph"/>
        <w:numPr>
          <w:ilvl w:val="0"/>
          <w:numId w:val="7"/>
        </w:numPr>
        <w:spacing w:after="80"/>
      </w:pPr>
      <w:r>
        <w:rPr>
          <w:rFonts w:ascii="Arial" w:cs="Arial" w:eastAsia="Arial" w:hAnsi="Arial"/>
          <w:b/>
          <w:bCs/>
          <w:sz w:val="22"/>
          <w:szCs w:val="22"/>
        </w:rPr>
        <w:t xml:space="preserve">Feature gap assessment: </w:t>
      </w:r>
      <w:r>
        <w:rPr>
          <w:rFonts w:ascii="Arial" w:cs="Arial" w:eastAsia="Arial" w:hAnsi="Arial"/>
          <w:sz w:val="22"/>
          <w:szCs w:val="22"/>
        </w:rPr>
        <w:t xml:space="preserve">Using the Salesforce audit and this PRD, produce a detailed feature gap analysis identifying what Twenty provides natively, what requires customisation, and what requires third-party integration.</w:t>
      </w:r>
    </w:p>
    <w:p>
      <w:pPr>
        <w:spacing w:after="160"/>
      </w:pPr>
      <w:r>
        <w:rPr>
          <w:rFonts w:ascii="Arial" w:cs="Arial" w:eastAsia="Arial" w:hAnsi="Arial"/>
          <w:sz w:val="22"/>
          <w:szCs w:val="22"/>
        </w:rPr>
        <w:t xml:space="preserve"/>
      </w:r>
    </w:p>
    <w:p>
      <w:pPr>
        <w:pBdr>
          <w:top w:val="single" w:color="1B4F72" w:sz="2" w:space="8"/>
        </w:pBdr>
        <w:spacing w:before="400"/>
      </w:pPr>
    </w:p>
    <w:p>
      <w:pPr>
        <w:spacing w:after="160"/>
      </w:pPr>
      <w:r>
        <w:rPr>
          <w:rFonts w:ascii="Arial" w:cs="Arial" w:eastAsia="Arial" w:hAnsi="Arial"/>
          <w:b/>
          <w:bCs/>
          <w:color w:val="7F8C8D"/>
          <w:sz w:val="20"/>
          <w:szCs w:val="20"/>
        </w:rPr>
        <w:t xml:space="preserve">Document Classification: </w:t>
      </w:r>
      <w:r>
        <w:rPr>
          <w:rFonts w:ascii="Arial" w:cs="Arial" w:eastAsia="Arial" w:hAnsi="Arial"/>
          <w:b/>
          <w:bCs/>
          <w:color w:val="C0392B"/>
          <w:sz w:val="20"/>
          <w:szCs w:val="20"/>
        </w:rPr>
        <w:t xml:space="preserve">INTERNAL — CONFIDENTIAL</w:t>
      </w:r>
    </w:p>
    <w:p>
      <w:pPr>
        <w:spacing w:after="160"/>
      </w:pPr>
      <w:r>
        <w:rPr>
          <w:rFonts w:ascii="Arial" w:cs="Arial" w:eastAsia="Arial" w:hAnsi="Arial"/>
          <w:color w:val="7F8C8D"/>
          <w:sz w:val="20"/>
          <w:szCs w:val="20"/>
        </w:rPr>
        <w:t xml:space="preserve">Author: Allan Smeyatsky | Date: February 2026 | Version: 1.0</w:t>
      </w:r>
    </w:p>
    <w:p>
      <w:pPr>
        <w:spacing w:after="160"/>
      </w:pPr>
      <w:r>
        <w:rPr>
          <w:rFonts w:ascii="Arial" w:cs="Arial" w:eastAsia="Arial" w:hAnsi="Arial"/>
          <w:i/>
          <w:iCs/>
          <w:color w:val="7F8C8D"/>
          <w:sz w:val="18"/>
          <w:szCs w:val="18"/>
        </w:rPr>
        <w:t xml:space="preserve">This document contains confidential and proprietary information. Distribution is restricted to Searce Inc. leadership and authorised stakeholders only.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2" w:space="4"/>
      </w:pBdr>
      <w:jc w:val="center"/>
    </w:pPr>
    <w:r>
      <w:rPr>
        <w:rFonts w:ascii="Arial" w:cs="Arial" w:eastAsia="Arial" w:hAnsi="Arial"/>
        <w:color w:val="7F8C8D"/>
        <w:sz w:val="16"/>
        <w:szCs w:val="16"/>
      </w:rPr>
      <w:t xml:space="preserve">CONFIDENTIAL — Searce Inc.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7F8C8D"/>
        <w:sz w:val="16"/>
        <w:szCs w:val="16"/>
      </w:rPr>
      <w:t xml:space="preserve">Project Nexus — Salesforce Replacement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2026-02-28T10:24:37.741Z</dcterms:created>
  <dcterms:modified xsi:type="dcterms:W3CDTF">2026-02-28T10:24:37.743Z</dcterms:modified>
</cp:coreProperties>
</file>

<file path=docProps/custom.xml><?xml version="1.0" encoding="utf-8"?>
<Properties xmlns="http://schemas.openxmlformats.org/officeDocument/2006/custom-properties" xmlns:vt="http://schemas.openxmlformats.org/officeDocument/2006/docPropsVTypes"/>
</file>