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pPr>
      <w:r>
        <w:rPr>
          <w:rFonts w:ascii="Arial" w:cs="Arial" w:eastAsia="Arial" w:hAnsi="Arial"/>
          <w:b/>
          <w:bCs/>
          <w:color w:val="1B3A6B"/>
          <w:sz w:val="52"/>
          <w:szCs w:val="52"/>
        </w:rPr>
        <w:t xml:space="preserve">Salesforce → Nexus CRM</w:t>
      </w:r>
    </w:p>
    <w:p>
      <w:pPr>
        <w:spacing w:before="0" w:after="60"/>
      </w:pPr>
      <w:r>
        <w:rPr>
          <w:rFonts w:ascii="Arial" w:cs="Arial" w:eastAsia="Arial" w:hAnsi="Arial"/>
          <w:b w:val="false"/>
          <w:bCs w:val="false"/>
          <w:color w:val="2A7AE4"/>
          <w:sz w:val="42"/>
          <w:szCs w:val="42"/>
        </w:rPr>
        <w:t xml:space="preserve">Migration Accelerator</w:t>
      </w:r>
    </w:p>
    <w:p>
      <w:pPr>
        <w:spacing w:before="0" w:after="320"/>
      </w:pPr>
      <w:r>
        <w:rPr>
          <w:rFonts w:ascii="Arial" w:cs="Arial" w:eastAsia="Arial" w:hAnsi="Arial"/>
          <w:color w:val="5A6175"/>
          <w:sz w:val="22"/>
          <w:szCs w:val="22"/>
        </w:rPr>
        <w:t xml:space="preserve">Product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D6E8FA" w:val="clear"/>
            <w:tcMar>
              <w:top w:type="dxa" w:w="80"/>
              <w:left w:type="dxa" w:w="160"/>
              <w:bottom w:type="dxa" w:w="80"/>
              <w:right w:type="dxa" w:w="120"/>
            </w:tcMar>
          </w:tcPr>
          <w:p>
            <w:r>
              <w:rPr>
                <w:rFonts w:ascii="Arial" w:cs="Arial" w:eastAsia="Arial" w:hAnsi="Arial"/>
                <w:b/>
                <w:bCs/>
                <w:color w:val="1B3A6B"/>
                <w:sz w:val="20"/>
                <w:szCs w:val="20"/>
              </w:rPr>
              <w:t xml:space="preserve">Product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Salesforce → Nexus Migration Accelerator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D6E8FA" w:val="clear"/>
            <w:tcMar>
              <w:top w:type="dxa" w:w="80"/>
              <w:left w:type="dxa" w:w="160"/>
              <w:bottom w:type="dxa" w:w="80"/>
              <w:right w:type="dxa" w:w="120"/>
            </w:tcMar>
          </w:tcPr>
          <w:p>
            <w:r>
              <w:rPr>
                <w:rFonts w:ascii="Arial" w:cs="Arial" w:eastAsia="Arial" w:hAnsi="Arial"/>
                <w:b/>
                <w:bCs/>
                <w:color w:val="1B3A6B"/>
                <w:sz w:val="20"/>
                <w:szCs w:val="20"/>
              </w:rPr>
              <w:t xml:space="preserve">Version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1.0 — Initial 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D6E8FA" w:val="clear"/>
            <w:tcMar>
              <w:top w:type="dxa" w:w="80"/>
              <w:left w:type="dxa" w:w="160"/>
              <w:bottom w:type="dxa" w:w="80"/>
              <w:right w:type="dxa" w:w="120"/>
            </w:tcMar>
          </w:tcPr>
          <w:p>
            <w:r>
              <w:rPr>
                <w:rFonts w:ascii="Arial" w:cs="Arial" w:eastAsia="Arial" w:hAnsi="Arial"/>
                <w:b/>
                <w:bCs/>
                <w:color w:val="1B3A6B"/>
                <w:sz w:val="20"/>
                <w:szCs w:val="20"/>
              </w:rPr>
              <w:t xml:space="preserve">Author</w:t>
            </w:r>
          </w:p>
        </w:tc>
        <w:tc>
          <w:tcPr>
            <w:tcW w:type="dxa" w:w="7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Smeyatsky Labs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D6E8FA" w:val="clear"/>
            <w:tcMar>
              <w:top w:type="dxa" w:w="80"/>
              <w:left w:type="dxa" w:w="160"/>
              <w:bottom w:type="dxa" w:w="80"/>
              <w:right w:type="dxa" w:w="120"/>
            </w:tcMar>
          </w:tcPr>
          <w:p>
            <w:r>
              <w:rPr>
                <w:rFonts w:ascii="Arial" w:cs="Arial" w:eastAsia="Arial" w:hAnsi="Arial"/>
                <w:b/>
                <w:bCs/>
                <w:color w:val="1B3A6B"/>
                <w:sz w:val="20"/>
                <w:szCs w:val="20"/>
              </w:rPr>
              <w:t xml:space="preserve">Date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D6E8FA" w:val="clear"/>
            <w:tcMar>
              <w:top w:type="dxa" w:w="80"/>
              <w:left w:type="dxa" w:w="160"/>
              <w:bottom w:type="dxa" w:w="80"/>
              <w:right w:type="dxa" w:w="120"/>
            </w:tcMar>
          </w:tcPr>
          <w:p>
            <w:r>
              <w:rPr>
                <w:rFonts w:ascii="Arial" w:cs="Arial" w:eastAsia="Arial" w:hAnsi="Arial"/>
                <w:b/>
                <w:bCs/>
                <w:color w:val="1B3A6B"/>
                <w:sz w:val="20"/>
                <w:szCs w:val="20"/>
              </w:rPr>
              <w:t xml:space="preserve">Status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Draft — For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D6E8FA" w:val="clear"/>
            <w:tcMar>
              <w:top w:type="dxa" w:w="80"/>
              <w:left w:type="dxa" w:w="160"/>
              <w:bottom w:type="dxa" w:w="80"/>
              <w:right w:type="dxa" w:w="120"/>
            </w:tcMar>
          </w:tcPr>
          <w:p>
            <w:r>
              <w:rPr>
                <w:rFonts w:ascii="Arial" w:cs="Arial" w:eastAsia="Arial" w:hAnsi="Arial"/>
                <w:b/>
                <w:bCs/>
                <w:color w:val="1B3A6B"/>
                <w:sz w:val="20"/>
                <w:szCs w:val="20"/>
              </w:rPr>
              <w:t xml:space="preserve">Classification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Confidential</w:t>
            </w:r>
          </w:p>
        </w:tc>
      </w:tr>
    </w:tbl>
    <w:p>
      <w:pPr>
        <w:spacing w:before="0" w:after="0"/>
      </w:pPr>
      <w:r>
        <w:rPr>
          <w:sz w:val="20"/>
          <w:szCs w:val="20"/>
        </w:rPr>
        <w:t xml:space="preserve"/>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 Executive Summary</w:t>
      </w:r>
    </w:p>
    <w:p>
      <w:pPr>
        <w:spacing w:before="60" w:after="100"/>
      </w:pPr>
      <w:r>
        <w:rPr>
          <w:rFonts w:ascii="Arial" w:cs="Arial" w:eastAsia="Arial" w:hAnsi="Arial"/>
          <w:color w:val="1A1A2E"/>
          <w:sz w:val="22"/>
          <w:szCs w:val="22"/>
        </w:rPr>
        <w:t xml:space="preserve">Nexus CRM requires a robust, repeatable migration pathway for organisations transitioning from Salesforce. This tool — the Salesforce → Nexus Migration Accelerator — provides a dual-mode extraction engine, an intelligent field-mapping layer, and configurable output options to support migrations of any scale, with minimal risk and maximum data fidelity.</w:t>
      </w:r>
    </w:p>
    <w:p>
      <w:pPr>
        <w:spacing w:before="60" w:after="100"/>
      </w:pPr>
      <w:r>
        <w:rPr>
          <w:rFonts w:ascii="Arial" w:cs="Arial" w:eastAsia="Arial" w:hAnsi="Arial"/>
          <w:color w:val="1A1A2E"/>
          <w:sz w:val="22"/>
          <w:szCs w:val="22"/>
        </w:rPr>
        <w:t xml:space="preserve">The Accelerator supports both Salesforce API-based extraction (for automated, live migrations) and CSV-based extraction (for manual or air-gapped scenarios), covering the four core object domains: Accounts, Contacts, Opportunities, and Activities.</w:t>
      </w:r>
    </w:p>
    <w:p>
      <w:pPr>
        <w:spacing w:before="60" w:after="100"/>
      </w:pPr>
      <w:r>
        <w:rPr>
          <w:rFonts w:ascii="Arial" w:cs="Arial" w:eastAsia="Arial" w:hAnsi="Arial"/>
          <w:color w:val="1A1A2E"/>
          <w:sz w:val="22"/>
          <w:szCs w:val="22"/>
        </w:rPr>
        <w:t xml:space="preserve">Output is configurable: organisations may push directly to the Nexus CRM API for in-place migrations, export structured JSON or CSV files for staged imports, or both simultaneously for validation workflows.</w:t>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2. Background &amp; Problem Statement</w:t>
      </w:r>
    </w:p>
    <w:p>
      <w:pPr>
        <w:pStyle w:val="Heading2"/>
        <w:spacing w:before="280" w:after="120"/>
      </w:pPr>
      <w:r>
        <w:rPr>
          <w:rFonts w:ascii="Arial" w:cs="Arial" w:eastAsia="Arial" w:hAnsi="Arial"/>
          <w:b/>
          <w:bCs/>
          <w:color w:val="2A7AE4"/>
          <w:sz w:val="26"/>
          <w:szCs w:val="26"/>
        </w:rPr>
        <w:t xml:space="preserve">2.1  The Migration Problem</w:t>
      </w:r>
    </w:p>
    <w:p>
      <w:pPr>
        <w:spacing w:before="60" w:after="100"/>
      </w:pPr>
      <w:r>
        <w:rPr>
          <w:rFonts w:ascii="Arial" w:cs="Arial" w:eastAsia="Arial" w:hAnsi="Arial"/>
          <w:color w:val="1A1A2E"/>
          <w:sz w:val="22"/>
          <w:szCs w:val="22"/>
        </w:rPr>
        <w:t xml:space="preserve">Salesforce is deeply embedded in many enterprise CRM workflows, but organisations seeking to move to Nexus face a significant barrier: data migration. The challenges are well-documented:</w:t>
      </w:r>
    </w:p>
    <w:p>
      <w:pPr>
        <w:pStyle w:val="ListParagraph"/>
        <w:numPr>
          <w:ilvl w:val="0"/>
          <w:numId w:val="2"/>
        </w:numPr>
        <w:spacing w:before="40" w:after="40"/>
      </w:pPr>
      <w:r>
        <w:rPr>
          <w:rFonts w:ascii="Arial" w:cs="Arial" w:eastAsia="Arial" w:hAnsi="Arial"/>
          <w:color w:val="1A1A2E"/>
          <w:sz w:val="22"/>
          <w:szCs w:val="22"/>
        </w:rPr>
        <w:t xml:space="preserve">Salesforce's data model is complex, with custom fields, picklists, and lookup relationships that do not map directly to target CRM schemas.</w:t>
      </w:r>
    </w:p>
    <w:p>
      <w:pPr>
        <w:pStyle w:val="ListParagraph"/>
        <w:numPr>
          <w:ilvl w:val="0"/>
          <w:numId w:val="2"/>
        </w:numPr>
        <w:spacing w:before="40" w:after="40"/>
      </w:pPr>
      <w:r>
        <w:rPr>
          <w:rFonts w:ascii="Arial" w:cs="Arial" w:eastAsia="Arial" w:hAnsi="Arial"/>
          <w:color w:val="1A1A2E"/>
          <w:sz w:val="22"/>
          <w:szCs w:val="22"/>
        </w:rPr>
        <w:t xml:space="preserve">Manual migration via CSV export is error-prone, time-consuming, and risky for large datasets.</w:t>
      </w:r>
    </w:p>
    <w:p>
      <w:pPr>
        <w:pStyle w:val="ListParagraph"/>
        <w:numPr>
          <w:ilvl w:val="0"/>
          <w:numId w:val="2"/>
        </w:numPr>
        <w:spacing w:before="40" w:after="40"/>
      </w:pPr>
      <w:r>
        <w:rPr>
          <w:rFonts w:ascii="Arial" w:cs="Arial" w:eastAsia="Arial" w:hAnsi="Arial"/>
          <w:color w:val="1A1A2E"/>
          <w:sz w:val="22"/>
          <w:szCs w:val="22"/>
        </w:rPr>
        <w:t xml:space="preserve">API-based migrations require Salesforce Connected App configuration, OAuth flows, and SOQL expertise.</w:t>
      </w:r>
    </w:p>
    <w:p>
      <w:pPr>
        <w:pStyle w:val="ListParagraph"/>
        <w:numPr>
          <w:ilvl w:val="0"/>
          <w:numId w:val="2"/>
        </w:numPr>
        <w:spacing w:before="40" w:after="40"/>
      </w:pPr>
      <w:r>
        <w:rPr>
          <w:rFonts w:ascii="Arial" w:cs="Arial" w:eastAsia="Arial" w:hAnsi="Arial"/>
          <w:color w:val="1A1A2E"/>
          <w:sz w:val="22"/>
          <w:szCs w:val="22"/>
        </w:rPr>
        <w:t xml:space="preserve">Data quality issues — duplicates, nulls, encoding anomalies — are routinely encountered and require systematic handling.</w:t>
      </w:r>
    </w:p>
    <w:p>
      <w:pPr>
        <w:pStyle w:val="ListParagraph"/>
        <w:numPr>
          <w:ilvl w:val="0"/>
          <w:numId w:val="2"/>
        </w:numPr>
        <w:spacing w:before="40" w:after="40"/>
      </w:pPr>
      <w:r>
        <w:rPr>
          <w:rFonts w:ascii="Arial" w:cs="Arial" w:eastAsia="Arial" w:hAnsi="Arial"/>
          <w:color w:val="1A1A2E"/>
          <w:sz w:val="22"/>
          <w:szCs w:val="22"/>
        </w:rPr>
        <w:t xml:space="preserve">Relationship integrity (e.g. Contact-to-Account links, Activity-to-Opportunity associations) must be preserved across object domains.</w:t>
      </w:r>
    </w:p>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2.2  Strategic Opportunity</w:t>
      </w:r>
    </w:p>
    <w:p>
      <w:pPr>
        <w:spacing w:before="60" w:after="100"/>
      </w:pPr>
      <w:r>
        <w:rPr>
          <w:rFonts w:ascii="Arial" w:cs="Arial" w:eastAsia="Arial" w:hAnsi="Arial"/>
          <w:color w:val="1A1A2E"/>
          <w:sz w:val="22"/>
          <w:szCs w:val="22"/>
        </w:rPr>
        <w:t xml:space="preserve">A first-class migration tool dramatically reduces the friction of Nexus adoption. It positions Nexus as enterprise-ready and directly addresses the most common objection raised by Salesforce customers evaluating alternatives. The Accelerator also has potential as a standalone commercial offering for system integrators and consulting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E4" w:sz="12"/>
              <w:left w:val="single" w:color="2A7AE4" w:sz="12"/>
              <w:bottom w:val="single" w:color="D0D7E2" w:sz="1"/>
              <w:right w:val="single" w:color="D0D7E2" w:sz="1"/>
            </w:tcBorders>
            <w:shd w:fill="EBF4FF" w:val="clear"/>
            <w:tcMar>
              <w:top w:type="dxa" w:w="120"/>
              <w:left w:type="dxa" w:w="240"/>
              <w:bottom w:type="dxa" w:w="120"/>
              <w:right w:type="dxa" w:w="200"/>
            </w:tcMar>
          </w:tcPr>
          <w:p>
            <w:pPr>
              <w:spacing w:after="60"/>
            </w:pPr>
            <w:r>
              <w:rPr>
                <w:rFonts w:ascii="Arial" w:cs="Arial" w:eastAsia="Arial" w:hAnsi="Arial"/>
                <w:b/>
                <w:bCs/>
                <w:color w:val="2A7AE4"/>
                <w:sz w:val="21"/>
                <w:szCs w:val="21"/>
              </w:rPr>
              <w:t xml:space="preserve">Insight</w:t>
            </w:r>
          </w:p>
          <w:p>
            <w:r>
              <w:rPr>
                <w:rFonts w:ascii="Arial" w:cs="Arial" w:eastAsia="Arial" w:hAnsi="Arial"/>
                <w:color w:val="1A1A2E"/>
                <w:sz w:val="20"/>
                <w:szCs w:val="20"/>
              </w:rPr>
              <w:t xml:space="preserve">Many SME and mid-market Salesforce customers are actively evaluating lower-cost CRM alternatives in 2025–2026. A polished migration tool is a competitive differentiator and a direct response to this market moment.</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3. Goals &amp; Non-Goals</w:t>
      </w:r>
    </w:p>
    <w:p>
      <w:pPr>
        <w:pStyle w:val="Heading2"/>
        <w:spacing w:before="280" w:after="120"/>
      </w:pPr>
      <w:r>
        <w:rPr>
          <w:rFonts w:ascii="Arial" w:cs="Arial" w:eastAsia="Arial" w:hAnsi="Arial"/>
          <w:b/>
          <w:bCs/>
          <w:color w:val="2A7AE4"/>
          <w:sz w:val="26"/>
          <w:szCs w:val="26"/>
        </w:rPr>
        <w:t xml:space="preserve">3.1  Goals</w:t>
      </w:r>
    </w:p>
    <w:p>
      <w:pPr>
        <w:pStyle w:val="ListParagraph"/>
        <w:numPr>
          <w:ilvl w:val="0"/>
          <w:numId w:val="2"/>
        </w:numPr>
        <w:spacing w:before="40" w:after="40"/>
      </w:pPr>
      <w:r>
        <w:rPr>
          <w:rFonts w:ascii="Arial" w:cs="Arial" w:eastAsia="Arial" w:hAnsi="Arial"/>
          <w:color w:val="1A1A2E"/>
          <w:sz w:val="22"/>
          <w:szCs w:val="22"/>
        </w:rPr>
        <w:t xml:space="preserve">Provide a reliable, repeatable migration pathway from Salesforce to Nexus CRM.</w:t>
      </w:r>
    </w:p>
    <w:p>
      <w:pPr>
        <w:pStyle w:val="ListParagraph"/>
        <w:numPr>
          <w:ilvl w:val="0"/>
          <w:numId w:val="2"/>
        </w:numPr>
        <w:spacing w:before="40" w:after="40"/>
      </w:pPr>
      <w:r>
        <w:rPr>
          <w:rFonts w:ascii="Arial" w:cs="Arial" w:eastAsia="Arial" w:hAnsi="Arial"/>
          <w:color w:val="1A1A2E"/>
          <w:sz w:val="22"/>
          <w:szCs w:val="22"/>
        </w:rPr>
        <w:t xml:space="preserve">Support both API-based and CSV-based Salesforce data extraction.</w:t>
      </w:r>
    </w:p>
    <w:p>
      <w:pPr>
        <w:pStyle w:val="ListParagraph"/>
        <w:numPr>
          <w:ilvl w:val="0"/>
          <w:numId w:val="2"/>
        </w:numPr>
        <w:spacing w:before="40" w:after="40"/>
      </w:pPr>
      <w:r>
        <w:rPr>
          <w:rFonts w:ascii="Arial" w:cs="Arial" w:eastAsia="Arial" w:hAnsi="Arial"/>
          <w:color w:val="1A1A2E"/>
          <w:sz w:val="22"/>
          <w:szCs w:val="22"/>
        </w:rPr>
        <w:t xml:space="preserve">Cover all four primary object types: Accounts → Companies, Contacts, Opportunities → Deals, Tasks &amp; Events → Activities.</w:t>
      </w:r>
    </w:p>
    <w:p>
      <w:pPr>
        <w:pStyle w:val="ListParagraph"/>
        <w:numPr>
          <w:ilvl w:val="0"/>
          <w:numId w:val="2"/>
        </w:numPr>
        <w:spacing w:before="40" w:after="40"/>
      </w:pPr>
      <w:r>
        <w:rPr>
          <w:rFonts w:ascii="Arial" w:cs="Arial" w:eastAsia="Arial" w:hAnsi="Arial"/>
          <w:color w:val="1A1A2E"/>
          <w:sz w:val="22"/>
          <w:szCs w:val="22"/>
        </w:rPr>
        <w:t xml:space="preserve">Deliver configurable output: direct Nexus API push, structured file export (JSON/CSV), or both.</w:t>
      </w:r>
    </w:p>
    <w:p>
      <w:pPr>
        <w:pStyle w:val="ListParagraph"/>
        <w:numPr>
          <w:ilvl w:val="0"/>
          <w:numId w:val="2"/>
        </w:numPr>
        <w:spacing w:before="40" w:after="40"/>
      </w:pPr>
      <w:r>
        <w:rPr>
          <w:rFonts w:ascii="Arial" w:cs="Arial" w:eastAsia="Arial" w:hAnsi="Arial"/>
          <w:color w:val="1A1A2E"/>
          <w:sz w:val="22"/>
          <w:szCs w:val="22"/>
        </w:rPr>
        <w:t xml:space="preserve">Handle common data quality issues gracefully (nulls, duplicates, encoding, date formats).</w:t>
      </w:r>
    </w:p>
    <w:p>
      <w:pPr>
        <w:pStyle w:val="ListParagraph"/>
        <w:numPr>
          <w:ilvl w:val="0"/>
          <w:numId w:val="2"/>
        </w:numPr>
        <w:spacing w:before="40" w:after="40"/>
      </w:pPr>
      <w:r>
        <w:rPr>
          <w:rFonts w:ascii="Arial" w:cs="Arial" w:eastAsia="Arial" w:hAnsi="Arial"/>
          <w:color w:val="1A1A2E"/>
          <w:sz w:val="22"/>
          <w:szCs w:val="22"/>
        </w:rPr>
        <w:t xml:space="preserve">Preserve referential integrity across migrated objects.</w:t>
      </w:r>
    </w:p>
    <w:p>
      <w:pPr>
        <w:pStyle w:val="ListParagraph"/>
        <w:numPr>
          <w:ilvl w:val="0"/>
          <w:numId w:val="2"/>
        </w:numPr>
        <w:spacing w:before="40" w:after="40"/>
      </w:pPr>
      <w:r>
        <w:rPr>
          <w:rFonts w:ascii="Arial" w:cs="Arial" w:eastAsia="Arial" w:hAnsi="Arial"/>
          <w:color w:val="1A1A2E"/>
          <w:sz w:val="22"/>
          <w:szCs w:val="22"/>
        </w:rPr>
        <w:t xml:space="preserve">Provide a field-mapping layer that is human-readable and overridable.</w:t>
      </w:r>
    </w:p>
    <w:p>
      <w:pPr>
        <w:pStyle w:val="ListParagraph"/>
        <w:numPr>
          <w:ilvl w:val="0"/>
          <w:numId w:val="2"/>
        </w:numPr>
        <w:spacing w:before="40" w:after="40"/>
      </w:pPr>
      <w:r>
        <w:rPr>
          <w:rFonts w:ascii="Arial" w:cs="Arial" w:eastAsia="Arial" w:hAnsi="Arial"/>
          <w:color w:val="1A1A2E"/>
          <w:sz w:val="22"/>
          <w:szCs w:val="22"/>
        </w:rPr>
        <w:t xml:space="preserve">Log all migration activity with clear success/failure reporting.</w:t>
      </w:r>
    </w:p>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3.2  Non-Goals</w:t>
      </w:r>
    </w:p>
    <w:p>
      <w:pPr>
        <w:pStyle w:val="ListParagraph"/>
        <w:numPr>
          <w:ilvl w:val="0"/>
          <w:numId w:val="2"/>
        </w:numPr>
        <w:spacing w:before="40" w:after="40"/>
      </w:pPr>
      <w:r>
        <w:rPr>
          <w:rFonts w:ascii="Arial" w:cs="Arial" w:eastAsia="Arial" w:hAnsi="Arial"/>
          <w:color w:val="1A1A2E"/>
          <w:sz w:val="22"/>
          <w:szCs w:val="22"/>
        </w:rPr>
        <w:t xml:space="preserve">Real-time bidirectional sync between Salesforce and Nexus (out of scope for v1).</w:t>
      </w:r>
    </w:p>
    <w:p>
      <w:pPr>
        <w:pStyle w:val="ListParagraph"/>
        <w:numPr>
          <w:ilvl w:val="0"/>
          <w:numId w:val="2"/>
        </w:numPr>
        <w:spacing w:before="40" w:after="40"/>
      </w:pPr>
      <w:r>
        <w:rPr>
          <w:rFonts w:ascii="Arial" w:cs="Arial" w:eastAsia="Arial" w:hAnsi="Arial"/>
          <w:color w:val="1A1A2E"/>
          <w:sz w:val="22"/>
          <w:szCs w:val="22"/>
        </w:rPr>
        <w:t xml:space="preserve">Migration of Salesforce custom objects beyond the four core domains.</w:t>
      </w:r>
    </w:p>
    <w:p>
      <w:pPr>
        <w:pStyle w:val="ListParagraph"/>
        <w:numPr>
          <w:ilvl w:val="0"/>
          <w:numId w:val="2"/>
        </w:numPr>
        <w:spacing w:before="40" w:after="40"/>
      </w:pPr>
      <w:r>
        <w:rPr>
          <w:rFonts w:ascii="Arial" w:cs="Arial" w:eastAsia="Arial" w:hAnsi="Arial"/>
          <w:color w:val="1A1A2E"/>
          <w:sz w:val="22"/>
          <w:szCs w:val="22"/>
        </w:rPr>
        <w:t xml:space="preserve">Salesforce Apex trigger or workflow migration.</w:t>
      </w:r>
    </w:p>
    <w:p>
      <w:pPr>
        <w:pStyle w:val="ListParagraph"/>
        <w:numPr>
          <w:ilvl w:val="0"/>
          <w:numId w:val="2"/>
        </w:numPr>
        <w:spacing w:before="40" w:after="40"/>
      </w:pPr>
      <w:r>
        <w:rPr>
          <w:rFonts w:ascii="Arial" w:cs="Arial" w:eastAsia="Arial" w:hAnsi="Arial"/>
          <w:color w:val="1A1A2E"/>
          <w:sz w:val="22"/>
          <w:szCs w:val="22"/>
        </w:rPr>
        <w:t xml:space="preserve">Email template, report, or dashboard migration.</w:t>
      </w:r>
    </w:p>
    <w:p>
      <w:pPr>
        <w:pStyle w:val="ListParagraph"/>
        <w:numPr>
          <w:ilvl w:val="0"/>
          <w:numId w:val="2"/>
        </w:numPr>
        <w:spacing w:before="40" w:after="40"/>
      </w:pPr>
      <w:r>
        <w:rPr>
          <w:rFonts w:ascii="Arial" w:cs="Arial" w:eastAsia="Arial" w:hAnsi="Arial"/>
          <w:color w:val="1A1A2E"/>
          <w:sz w:val="22"/>
          <w:szCs w:val="22"/>
        </w:rPr>
        <w:t xml:space="preserve">Support for Salesforce Communities or Experience Cloud data.</w:t>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4. Architecture Overview</w:t>
      </w:r>
    </w:p>
    <w:p>
      <w:pPr>
        <w:spacing w:before="60" w:after="100"/>
      </w:pPr>
      <w:r>
        <w:rPr>
          <w:rFonts w:ascii="Arial" w:cs="Arial" w:eastAsia="Arial" w:hAnsi="Arial"/>
          <w:color w:val="1A1A2E"/>
          <w:sz w:val="22"/>
          <w:szCs w:val="22"/>
        </w:rPr>
        <w:t xml:space="preserve">The Accelerator is structured as a three-stage ETL pipeline with a configuration layer governing input mode, object scope, field mapping, and output destination.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2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41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 Extract</w:t>
            </w:r>
          </w:p>
        </w:tc>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Extractor / CSV Extractor</w:t>
            </w:r>
          </w:p>
        </w:tc>
        <w:tc>
          <w:tcPr>
            <w:tcW w:type="dxa" w:w="4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Pull raw Salesforce data via Connected App OAuth or parse exported CSV files</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 Transform</w:t>
            </w:r>
          </w:p>
        </w:tc>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Schema Mapper / Data Cleaner</w:t>
            </w:r>
          </w:p>
        </w:tc>
        <w:tc>
          <w:tcPr>
            <w:tcW w:type="dxa" w:w="4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Map SF fields to Nexus schema, normalise values, resolve relationships</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 Load</w:t>
            </w:r>
          </w:p>
        </w:tc>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 API Loader / File Exporter</w:t>
            </w:r>
          </w:p>
        </w:tc>
        <w:tc>
          <w:tcPr>
            <w:tcW w:type="dxa" w:w="4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Push to Nexus REST API and/or write JSON/CSV output files</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Config Layer</w:t>
            </w:r>
          </w:p>
        </w:tc>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Migration Config</w:t>
            </w:r>
          </w:p>
        </w:tc>
        <w:tc>
          <w:tcPr>
            <w:tcW w:type="dxa" w:w="4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YAML-driven configuration for credentials, object scope, field overrides, output mode</w:t>
            </w:r>
          </w:p>
        </w:tc>
      </w:tr>
    </w:tbl>
    <w:p>
      <w:pPr>
        <w:spacing w:before="0" w:after="0"/>
      </w:pPr>
      <w:r>
        <w:rPr>
          <w:sz w:val="20"/>
          <w:szCs w:val="20"/>
        </w:rPr>
        <w:t xml:space="preserve"/>
      </w:r>
    </w:p>
    <w:p>
      <w:pPr>
        <w:spacing w:before="60" w:after="100"/>
      </w:pPr>
      <w:r>
        <w:rPr>
          <w:rFonts w:ascii="Arial" w:cs="Arial" w:eastAsia="Arial" w:hAnsi="Arial"/>
          <w:color w:val="1A1A2E"/>
          <w:sz w:val="22"/>
          <w:szCs w:val="22"/>
        </w:rPr>
        <w:t xml:space="preserve">The pipeline is invoked via a Python CLI tool (migrate.py) and optionally surfaced through a web-based UI for non-technical users requiring guided migration workflows.</w:t>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5. Input Modes</w:t>
      </w:r>
    </w:p>
    <w:p>
      <w:pPr>
        <w:pStyle w:val="Heading2"/>
        <w:spacing w:before="280" w:after="120"/>
      </w:pPr>
      <w:r>
        <w:rPr>
          <w:rFonts w:ascii="Arial" w:cs="Arial" w:eastAsia="Arial" w:hAnsi="Arial"/>
          <w:b/>
          <w:bCs/>
          <w:color w:val="2A7AE4"/>
          <w:sz w:val="26"/>
          <w:szCs w:val="26"/>
        </w:rPr>
        <w:t xml:space="preserve">5.1  Salesforce API Mode</w:t>
      </w:r>
    </w:p>
    <w:p>
      <w:pPr>
        <w:spacing w:before="60" w:after="100"/>
      </w:pPr>
      <w:r>
        <w:rPr>
          <w:rFonts w:ascii="Arial" w:cs="Arial" w:eastAsia="Arial" w:hAnsi="Arial"/>
          <w:color w:val="1A1A2E"/>
          <w:sz w:val="22"/>
          <w:szCs w:val="22"/>
        </w:rPr>
        <w:t xml:space="preserve">Uses the Salesforce REST/Bulk API via simple_salesforce (Python). Requires a Salesforce Connected App with OAuth 2.0 credentials.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Config Field</w:t>
            </w:r>
          </w:p>
        </w:tc>
        <w:tc>
          <w:tcPr>
            <w:tcW w:type="dxa" w:w="61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username</w:t>
            </w:r>
          </w:p>
        </w:tc>
        <w:tc>
          <w:tcPr>
            <w:tcW w:type="dxa" w:w="6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login username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password</w:t>
            </w:r>
          </w:p>
        </w:tc>
        <w:tc>
          <w:tcPr>
            <w:tcW w:type="dxa" w:w="6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account password</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security_token</w:t>
            </w:r>
          </w:p>
        </w:tc>
        <w:tc>
          <w:tcPr>
            <w:tcW w:type="dxa" w:w="6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API security token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w:t>
            </w:r>
          </w:p>
        </w:tc>
        <w:tc>
          <w:tcPr>
            <w:tcW w:type="dxa" w:w="6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"login" (production) or "test" (sandbox)</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api_version</w:t>
            </w:r>
          </w:p>
        </w:tc>
        <w:tc>
          <w:tcPr>
            <w:tcW w:type="dxa" w:w="6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API version — default 57.0</w:t>
            </w:r>
          </w:p>
        </w:tc>
      </w:tr>
    </w:tbl>
    <w:p>
      <w:pPr>
        <w:spacing w:before="0" w:after="0"/>
      </w:pPr>
      <w:r>
        <w:rPr>
          <w:sz w:val="20"/>
          <w:szCs w:val="20"/>
        </w:rPr>
        <w:t xml:space="preserve"/>
      </w:r>
    </w:p>
    <w:p>
      <w:pPr>
        <w:spacing w:before="60" w:after="100"/>
      </w:pPr>
      <w:r>
        <w:rPr>
          <w:rFonts w:ascii="Arial" w:cs="Arial" w:eastAsia="Arial" w:hAnsi="Arial"/>
          <w:color w:val="1A1A2E"/>
          <w:sz w:val="22"/>
          <w:szCs w:val="22"/>
        </w:rPr>
        <w:t xml:space="preserve">The API extractor uses SOQL queries to fetch all records for each in-scope object. Bulk API v2 is used for datasets exceeding 2,000 records to ensure performance and avoid governor limits.</w:t>
      </w:r>
    </w:p>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5.2  CSV Mode</w:t>
      </w:r>
    </w:p>
    <w:p>
      <w:pPr>
        <w:spacing w:before="60" w:after="100"/>
      </w:pPr>
      <w:r>
        <w:rPr>
          <w:rFonts w:ascii="Arial" w:cs="Arial" w:eastAsia="Arial" w:hAnsi="Arial"/>
          <w:color w:val="1A1A2E"/>
          <w:sz w:val="22"/>
          <w:szCs w:val="22"/>
        </w:rPr>
        <w:t xml:space="preserve">Accepts manually exported Salesforce CSV files (from Setup → Data Export or Data Loader). Each object type maps to a dedicated file path in configuration.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Object</w:t>
            </w:r>
          </w:p>
        </w:tc>
        <w:tc>
          <w:tcPr>
            <w:tcW w:type="dxa" w:w="65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Expected CSV Export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Accounts</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Account.csv (standard Salesforce export)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Contacts</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Contact.csv</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Opportunities</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Opportunity.csv</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Tasks</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Task.csv</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Events</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Event.csv</w:t>
            </w:r>
          </w:p>
        </w:tc>
      </w:tr>
    </w:tbl>
    <w:p>
      <w:pPr>
        <w:spacing w:before="0" w:after="0"/>
      </w:pPr>
      <w:r>
        <w:rPr>
          <w:sz w:val="20"/>
          <w:szCs w:val="20"/>
        </w:rPr>
        <w:t xml:space="preserve"/>
      </w:r>
    </w:p>
    <w:p>
      <w:pPr>
        <w:spacing w:before="60" w:after="100"/>
      </w:pPr>
      <w:r>
        <w:rPr>
          <w:rFonts w:ascii="Arial" w:cs="Arial" w:eastAsia="Arial" w:hAnsi="Arial"/>
          <w:color w:val="1A1A2E"/>
          <w:sz w:val="22"/>
          <w:szCs w:val="22"/>
        </w:rPr>
        <w:t xml:space="preserve">The CSV extractor validates headers against expected Salesforce column names on load and raises descriptive errors for missing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E4" w:sz="12"/>
              <w:left w:val="single" w:color="2A7AE4" w:sz="12"/>
              <w:bottom w:val="single" w:color="D0D7E2" w:sz="1"/>
              <w:right w:val="single" w:color="D0D7E2" w:sz="1"/>
            </w:tcBorders>
            <w:shd w:fill="EBF4FF" w:val="clear"/>
            <w:tcMar>
              <w:top w:type="dxa" w:w="120"/>
              <w:left w:type="dxa" w:w="240"/>
              <w:bottom w:type="dxa" w:w="120"/>
              <w:right w:type="dxa" w:w="200"/>
            </w:tcMar>
          </w:tcPr>
          <w:p>
            <w:pPr>
              <w:spacing w:after="60"/>
            </w:pPr>
            <w:r>
              <w:rPr>
                <w:rFonts w:ascii="Arial" w:cs="Arial" w:eastAsia="Arial" w:hAnsi="Arial"/>
                <w:b/>
                <w:bCs/>
                <w:color w:val="2A7AE4"/>
                <w:sz w:val="21"/>
                <w:szCs w:val="21"/>
              </w:rPr>
              <w:t xml:space="preserve">Design Note</w:t>
            </w:r>
          </w:p>
          <w:p>
            <w:r>
              <w:rPr>
                <w:rFonts w:ascii="Arial" w:cs="Arial" w:eastAsia="Arial" w:hAnsi="Arial"/>
                <w:color w:val="1A1A2E"/>
                <w:sz w:val="20"/>
                <w:szCs w:val="20"/>
              </w:rPr>
              <w:t xml:space="preserve">Both modes produce an identical normalised intermediate representation (a list of Python dicts), ensuring the Transform and Load stages are fully input-agnostic.</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6. Object Scope &amp; Field Mappings</w:t>
      </w:r>
    </w:p>
    <w:p>
      <w:pPr>
        <w:pStyle w:val="Heading2"/>
        <w:spacing w:before="280" w:after="120"/>
      </w:pPr>
      <w:r>
        <w:rPr>
          <w:rFonts w:ascii="Arial" w:cs="Arial" w:eastAsia="Arial" w:hAnsi="Arial"/>
          <w:b/>
          <w:bCs/>
          <w:color w:val="2A7AE4"/>
          <w:sz w:val="26"/>
          <w:szCs w:val="26"/>
        </w:rPr>
        <w:t xml:space="preserve">6.1  Accounts → Nexus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Salesforce Field</w:t>
            </w:r>
          </w:p>
        </w:tc>
        <w:tc>
          <w:tcPr>
            <w:tcW w:type="dxa" w:w="27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Nexus Field</w:t>
            </w:r>
          </w:p>
        </w:tc>
        <w:tc>
          <w:tcPr>
            <w:tcW w:type="dxa" w:w="36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Transformation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Stored for cross-reference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Phone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phone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Website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website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URL normalisation (add https:// if missing)</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Industry</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industry</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Picklist → string</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BillingCity</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city</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BillingCountry</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country</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NumberOfEmployees</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employee_count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Integer cast</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AnnualRevenue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annual_revenue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Float cast</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notes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CreatedDate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created_at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 8601 normalisation</w:t>
            </w:r>
          </w:p>
        </w:tc>
      </w:tr>
    </w:tbl>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6.2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Salesforce Field</w:t>
            </w:r>
          </w:p>
        </w:tc>
        <w:tc>
          <w:tcPr>
            <w:tcW w:type="dxa" w:w="27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Nexus Field</w:t>
            </w:r>
          </w:p>
        </w:tc>
        <w:tc>
          <w:tcPr>
            <w:tcW w:type="dxa" w:w="36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Transformation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Stored for cross-reference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FirstName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first_name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LastName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last_name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Lowercase + trim</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Phone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phone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MobilePhone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job_title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AccountId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Resolved via Account salesforce_id → Nexus company_id</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LeadSource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lead_source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Picklist → string</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notes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CreatedDate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created_at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 8601 normalisation</w:t>
            </w:r>
          </w:p>
        </w:tc>
      </w:tr>
    </w:tbl>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6.3  Opportunities → Nexus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Salesforce Field</w:t>
            </w:r>
          </w:p>
        </w:tc>
        <w:tc>
          <w:tcPr>
            <w:tcW w:type="dxa" w:w="27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Nexus Field</w:t>
            </w:r>
          </w:p>
        </w:tc>
        <w:tc>
          <w:tcPr>
            <w:tcW w:type="dxa" w:w="36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Transformation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Stored for cross-reference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AccountId</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Resolved via Account salesforce_id</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Amount</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value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Float cast</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CurrencyIsoCode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currency</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Default USD if absent</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StageName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stage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Picklist → Nexus stage enum (see 6.3a)</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Probability</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probability</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Integer (0–100)</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CloseDate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close_date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 8601 date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notes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CreatedDate</w:t>
            </w:r>
          </w:p>
        </w:tc>
        <w:tc>
          <w:tcPr>
            <w:tcW w:type="dxa" w:w="2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created_at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 8601 normalisation</w:t>
            </w:r>
          </w:p>
        </w:tc>
      </w:tr>
    </w:tbl>
    <w:p>
      <w:pPr>
        <w:spacing w:before="0" w:after="0"/>
      </w:pPr>
      <w:r>
        <w:rPr>
          <w:sz w:val="20"/>
          <w:szCs w:val="20"/>
        </w:rPr>
        <w:t xml:space="preserve"/>
      </w:r>
    </w:p>
    <w:p>
      <w:pPr>
        <w:pStyle w:val="Heading3"/>
        <w:spacing w:before="200" w:after="80"/>
      </w:pPr>
      <w:r>
        <w:rPr>
          <w:rFonts w:ascii="Arial" w:cs="Arial" w:eastAsia="Arial" w:hAnsi="Arial"/>
          <w:b/>
          <w:bCs/>
          <w:color w:val="1A1A2E"/>
          <w:sz w:val="22"/>
          <w:szCs w:val="22"/>
        </w:rPr>
        <w:t xml:space="preserve">6.3a  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Salesforce StageName</w:t>
            </w:r>
          </w:p>
        </w:tc>
        <w:tc>
          <w:tcPr>
            <w:tcW w:type="dxa" w:w="468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Nexus Deal Stage</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Prospecting</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lead</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Qualification</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qualified</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Needs Analysis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qualified</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Value Proposition</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proposal</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Decision Makers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proposal</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Perception Analysis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proposal</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Proposal/Price Quote</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proposal</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Negotiation/Review</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negotiation</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Closed Won</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won</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Closed Lost</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lost</w:t>
            </w:r>
          </w:p>
        </w:tc>
      </w:tr>
      <w:tr>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(unmapped)</w:t>
            </w:r>
          </w:p>
        </w:tc>
        <w:tc>
          <w:tcPr>
            <w:tcW w:type="dxa" w:w="46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 (fallback)</w:t>
            </w:r>
          </w:p>
        </w:tc>
      </w:tr>
    </w:tbl>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6.4  Tasks &amp; Events → Nexus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60"/>
        <w:gridCol w:w="3600"/>
      </w:tblGrid>
      <w:tr>
        <w:tc>
          <w:tcPr>
            <w:tcW w:type="dxa" w:w="34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Salesforce Field</w:t>
            </w:r>
          </w:p>
        </w:tc>
        <w:tc>
          <w:tcPr>
            <w:tcW w:type="dxa" w:w="23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Nexus Field</w:t>
            </w:r>
          </w:p>
        </w:tc>
        <w:tc>
          <w:tcPr>
            <w:tcW w:type="dxa" w:w="36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Transformation</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Stored for cross-reference</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Subject</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WhatId</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related_id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Resolved to Nexus company_id or deal_id</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WhoId</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contact_id</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Resolved to Nexus contact_id</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ActivityDate / ActivityDateTime</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due_date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 8601 normalisation</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Status (Task)</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Mapped: Completed → done, others → pending</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Type</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activity_type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call / email / meeting / task</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 / Body</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notes</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Direct map</w:t>
            </w:r>
          </w:p>
        </w:tc>
      </w:tr>
      <w:tr>
        <w:tc>
          <w:tcPr>
            <w:tcW w:type="dxa" w:w="3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OwnerId</w:t>
            </w:r>
          </w:p>
        </w:tc>
        <w:tc>
          <w:tcPr>
            <w:tcW w:type="dxa" w:w="23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assigned_to</w:t>
            </w:r>
          </w:p>
        </w:tc>
        <w:tc>
          <w:tcPr>
            <w:tcW w:type="dxa" w:w="3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User Id — stored as reference</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7. Transform Layer</w:t>
      </w:r>
    </w:p>
    <w:p>
      <w:pPr>
        <w:pStyle w:val="Heading2"/>
        <w:spacing w:before="280" w:after="120"/>
      </w:pPr>
      <w:r>
        <w:rPr>
          <w:rFonts w:ascii="Arial" w:cs="Arial" w:eastAsia="Arial" w:hAnsi="Arial"/>
          <w:b/>
          <w:bCs/>
          <w:color w:val="2A7AE4"/>
          <w:sz w:val="26"/>
          <w:szCs w:val="26"/>
        </w:rPr>
        <w:t xml:space="preserve">7.1  Data Cleaning</w:t>
      </w:r>
    </w:p>
    <w:p>
      <w:pPr>
        <w:pStyle w:val="ListParagraph"/>
        <w:numPr>
          <w:ilvl w:val="0"/>
          <w:numId w:val="2"/>
        </w:numPr>
        <w:spacing w:before="40" w:after="40"/>
      </w:pPr>
      <w:r>
        <w:rPr>
          <w:rFonts w:ascii="Arial" w:cs="Arial" w:eastAsia="Arial" w:hAnsi="Arial"/>
          <w:b/>
          <w:bCs/>
          <w:color w:val="1A1A2E"/>
          <w:sz w:val="22"/>
          <w:szCs w:val="22"/>
        </w:rPr>
        <w:t xml:space="preserve">Missing required fields are flagged in the migration log; records with missing required fields are quarantined to a separate error output, not dropped silently.: </w:t>
      </w:r>
      <w:r>
        <w:rPr>
          <w:rFonts w:ascii="Arial" w:cs="Arial" w:eastAsia="Arial" w:hAnsi="Arial"/>
          <w:color w:val="1A1A2E"/>
          <w:sz w:val="22"/>
          <w:szCs w:val="22"/>
        </w:rPr>
        <w:t xml:space="preserve">Null handling</w:t>
      </w:r>
    </w:p>
    <w:p>
      <w:pPr>
        <w:pStyle w:val="ListParagraph"/>
        <w:numPr>
          <w:ilvl w:val="0"/>
          <w:numId w:val="2"/>
        </w:numPr>
        <w:spacing w:before="40" w:after="40"/>
      </w:pPr>
      <w:r>
        <w:rPr>
          <w:rFonts w:ascii="Arial" w:cs="Arial" w:eastAsia="Arial" w:hAnsi="Arial"/>
          <w:b/>
          <w:bCs/>
          <w:color w:val="1A1A2E"/>
          <w:sz w:val="22"/>
          <w:szCs w:val="22"/>
        </w:rPr>
        <w:t xml:space="preserve">All string values are decoded to UTF-8; common mojibake patterns are corrected automatically.: </w:t>
      </w:r>
      <w:r>
        <w:rPr>
          <w:rFonts w:ascii="Arial" w:cs="Arial" w:eastAsia="Arial" w:hAnsi="Arial"/>
          <w:color w:val="1A1A2E"/>
          <w:sz w:val="22"/>
          <w:szCs w:val="22"/>
        </w:rPr>
        <w:t xml:space="preserve">Encoding</w:t>
      </w:r>
    </w:p>
    <w:p>
      <w:pPr>
        <w:pStyle w:val="ListParagraph"/>
        <w:numPr>
          <w:ilvl w:val="0"/>
          <w:numId w:val="2"/>
        </w:numPr>
        <w:spacing w:before="40" w:after="40"/>
      </w:pPr>
      <w:r>
        <w:rPr>
          <w:rFonts w:ascii="Arial" w:cs="Arial" w:eastAsia="Arial" w:hAnsi="Arial"/>
          <w:b/>
          <w:bCs/>
          <w:color w:val="1A1A2E"/>
          <w:sz w:val="22"/>
          <w:szCs w:val="22"/>
        </w:rPr>
        <w:t xml:space="preserve">All date/datetime fields are normalised to ISO 8601. Timezone-naive datetimes are assumed UTC.: </w:t>
      </w:r>
      <w:r>
        <w:rPr>
          <w:rFonts w:ascii="Arial" w:cs="Arial" w:eastAsia="Arial" w:hAnsi="Arial"/>
          <w:color w:val="1A1A2E"/>
          <w:sz w:val="22"/>
          <w:szCs w:val="22"/>
        </w:rPr>
        <w:t xml:space="preserve">Date normalisation</w:t>
      </w:r>
    </w:p>
    <w:p>
      <w:pPr>
        <w:pStyle w:val="ListParagraph"/>
        <w:numPr>
          <w:ilvl w:val="0"/>
          <w:numId w:val="2"/>
        </w:numPr>
        <w:spacing w:before="40" w:after="40"/>
      </w:pPr>
      <w:r>
        <w:rPr>
          <w:rFonts w:ascii="Arial" w:cs="Arial" w:eastAsia="Arial" w:hAnsi="Arial"/>
          <w:b/>
          <w:bCs/>
          <w:color w:val="1A1A2E"/>
          <w:sz w:val="22"/>
          <w:szCs w:val="22"/>
        </w:rPr>
        <w:t xml:space="preserve">Website fields are checked for valid URL format; bare domains (e.g. example.com) are prefixed with https://.: </w:t>
      </w:r>
      <w:r>
        <w:rPr>
          <w:rFonts w:ascii="Arial" w:cs="Arial" w:eastAsia="Arial" w:hAnsi="Arial"/>
          <w:color w:val="1A1A2E"/>
          <w:sz w:val="22"/>
          <w:szCs w:val="22"/>
        </w:rPr>
        <w:t xml:space="preserve">URL normalisation</w:t>
      </w:r>
    </w:p>
    <w:p>
      <w:pPr>
        <w:pStyle w:val="ListParagraph"/>
        <w:numPr>
          <w:ilvl w:val="0"/>
          <w:numId w:val="2"/>
        </w:numPr>
        <w:spacing w:before="40" w:after="40"/>
      </w:pPr>
      <w:r>
        <w:rPr>
          <w:rFonts w:ascii="Arial" w:cs="Arial" w:eastAsia="Arial" w:hAnsi="Arial"/>
          <w:b/>
          <w:bCs/>
          <w:color w:val="1A1A2E"/>
          <w:sz w:val="22"/>
          <w:szCs w:val="22"/>
        </w:rPr>
        <w:t xml:space="preserve">Email addresses are lowercased and trimmed; invalid format emails are flagged.: </w:t>
      </w:r>
      <w:r>
        <w:rPr>
          <w:rFonts w:ascii="Arial" w:cs="Arial" w:eastAsia="Arial" w:hAnsi="Arial"/>
          <w:color w:val="1A1A2E"/>
          <w:sz w:val="22"/>
          <w:szCs w:val="22"/>
        </w:rPr>
        <w:t xml:space="preserve">Email normalisation</w:t>
      </w:r>
    </w:p>
    <w:p>
      <w:pPr>
        <w:pStyle w:val="ListParagraph"/>
        <w:numPr>
          <w:ilvl w:val="0"/>
          <w:numId w:val="2"/>
        </w:numPr>
        <w:spacing w:before="40" w:after="40"/>
      </w:pPr>
      <w:r>
        <w:rPr>
          <w:rFonts w:ascii="Arial" w:cs="Arial" w:eastAsia="Arial" w:hAnsi="Arial"/>
          <w:b/>
          <w:bCs/>
          <w:color w:val="1A1A2E"/>
          <w:sz w:val="22"/>
          <w:szCs w:val="22"/>
        </w:rPr>
        <w:t xml:space="preserve">Records with identical email (Contacts) or Name (Accounts/Deals) are flagged with a WARNING in the migration log; deduplication strategy is configurable (skip, overwrite, or keep-both).: </w:t>
      </w:r>
      <w:r>
        <w:rPr>
          <w:rFonts w:ascii="Arial" w:cs="Arial" w:eastAsia="Arial" w:hAnsi="Arial"/>
          <w:color w:val="1A1A2E"/>
          <w:sz w:val="22"/>
          <w:szCs w:val="22"/>
        </w:rPr>
        <w:t xml:space="preserve">Duplicate detection</w:t>
      </w:r>
    </w:p>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7.2  Relationship Resolution</w:t>
      </w:r>
    </w:p>
    <w:p>
      <w:pPr>
        <w:spacing w:before="60" w:after="100"/>
      </w:pPr>
      <w:r>
        <w:rPr>
          <w:rFonts w:ascii="Arial" w:cs="Arial" w:eastAsia="Arial" w:hAnsi="Arial"/>
          <w:color w:val="1A1A2E"/>
          <w:sz w:val="22"/>
          <w:szCs w:val="22"/>
        </w:rPr>
        <w:t xml:space="preserve">Relationship integrity is maintained via a two-pass migration strategy:</w:t>
      </w:r>
    </w:p>
    <w:p>
      <w:pPr>
        <w:pStyle w:val="ListParagraph"/>
        <w:numPr>
          <w:ilvl w:val="0"/>
          <w:numId w:val="2"/>
        </w:numPr>
        <w:spacing w:before="40" w:after="40"/>
      </w:pPr>
      <w:r>
        <w:rPr>
          <w:rFonts w:ascii="Arial" w:cs="Arial" w:eastAsia="Arial" w:hAnsi="Arial"/>
          <w:b/>
          <w:bCs/>
          <w:color w:val="1A1A2E"/>
          <w:sz w:val="22"/>
          <w:szCs w:val="22"/>
        </w:rPr>
        <w:t xml:space="preserve">Accounts and Contacts are migrated first; a Salesforce ID → Nexus ID lookup table is built in memory.: </w:t>
      </w:r>
      <w:r>
        <w:rPr>
          <w:rFonts w:ascii="Arial" w:cs="Arial" w:eastAsia="Arial" w:hAnsi="Arial"/>
          <w:color w:val="1A1A2E"/>
          <w:sz w:val="22"/>
          <w:szCs w:val="22"/>
        </w:rPr>
        <w:t xml:space="preserve">Pass 1</w:t>
      </w:r>
    </w:p>
    <w:p>
      <w:pPr>
        <w:pStyle w:val="ListParagraph"/>
        <w:numPr>
          <w:ilvl w:val="0"/>
          <w:numId w:val="2"/>
        </w:numPr>
        <w:spacing w:before="40" w:after="40"/>
      </w:pPr>
      <w:r>
        <w:rPr>
          <w:rFonts w:ascii="Arial" w:cs="Arial" w:eastAsia="Arial" w:hAnsi="Arial"/>
          <w:b/>
          <w:bCs/>
          <w:color w:val="1A1A2E"/>
          <w:sz w:val="22"/>
          <w:szCs w:val="22"/>
        </w:rPr>
        <w:t xml:space="preserve">Opportunities and Activities use the lookup table to resolve AccountId, WhatId, and WhoId references to their corresponding Nexus entity IDs.: </w:t>
      </w:r>
      <w:r>
        <w:rPr>
          <w:rFonts w:ascii="Arial" w:cs="Arial" w:eastAsia="Arial" w:hAnsi="Arial"/>
          <w:color w:val="1A1A2E"/>
          <w:sz w:val="22"/>
          <w:szCs w:val="22"/>
        </w:rPr>
        <w:t xml:space="preserve">Pass 2</w:t>
      </w:r>
    </w:p>
    <w:p>
      <w:pPr>
        <w:spacing w:before="60" w:after="100"/>
      </w:pPr>
      <w:r>
        <w:rPr>
          <w:rFonts w:ascii="Arial" w:cs="Arial" w:eastAsia="Arial" w:hAnsi="Arial"/>
          <w:color w:val="1A1A2E"/>
          <w:sz w:val="22"/>
          <w:szCs w:val="22"/>
        </w:rPr>
        <w:t xml:space="preserve">Unresolvable references (e.g. Contact linked to an Account not included in scope) are flagged in the migration log rather than causing hard failures.</w:t>
      </w:r>
    </w:p>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7.3  Custom Field Overrides</w:t>
      </w:r>
    </w:p>
    <w:p>
      <w:pPr>
        <w:spacing w:before="60" w:after="100"/>
      </w:pPr>
      <w:r>
        <w:rPr>
          <w:rFonts w:ascii="Arial" w:cs="Arial" w:eastAsia="Arial" w:hAnsi="Arial"/>
          <w:color w:val="1A1A2E"/>
          <w:sz w:val="22"/>
          <w:szCs w:val="22"/>
        </w:rPr>
        <w:t xml:space="preserve">The configuration layer supports a field_overrides map, allowing operators to define custom Salesforce → Nexus field mappings or override defaults. This accommodates Salesforce orgs with renamed or custom fields without requiring code changes.</w:t>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8. Output Modes</w:t>
      </w:r>
    </w:p>
    <w:p>
      <w:pPr>
        <w:pStyle w:val="Heading2"/>
        <w:spacing w:before="280" w:after="120"/>
      </w:pPr>
      <w:r>
        <w:rPr>
          <w:rFonts w:ascii="Arial" w:cs="Arial" w:eastAsia="Arial" w:hAnsi="Arial"/>
          <w:b/>
          <w:bCs/>
          <w:color w:val="2A7AE4"/>
          <w:sz w:val="26"/>
          <w:szCs w:val="26"/>
        </w:rPr>
        <w:t xml:space="preserve">8.1  Nexus API Push</w:t>
      </w:r>
    </w:p>
    <w:p>
      <w:pPr>
        <w:spacing w:before="60" w:after="100"/>
      </w:pPr>
      <w:r>
        <w:rPr>
          <w:rFonts w:ascii="Arial" w:cs="Arial" w:eastAsia="Arial" w:hAnsi="Arial"/>
          <w:color w:val="1A1A2E"/>
          <w:sz w:val="22"/>
          <w:szCs w:val="22"/>
        </w:rPr>
        <w:t xml:space="preserve">Records are posted to the Nexus CRM REST API in configurable batch sizes (default: 50 records per request). The loader handles:</w:t>
      </w:r>
    </w:p>
    <w:p>
      <w:pPr>
        <w:pStyle w:val="ListParagraph"/>
        <w:numPr>
          <w:ilvl w:val="0"/>
          <w:numId w:val="2"/>
        </w:numPr>
        <w:spacing w:before="40" w:after="40"/>
      </w:pPr>
      <w:r>
        <w:rPr>
          <w:rFonts w:ascii="Arial" w:cs="Arial" w:eastAsia="Arial" w:hAnsi="Arial"/>
          <w:color w:val="1A1A2E"/>
          <w:sz w:val="22"/>
          <w:szCs w:val="22"/>
        </w:rPr>
        <w:t xml:space="preserve">Authentication via API key (Bearer token)</w:t>
      </w:r>
    </w:p>
    <w:p>
      <w:pPr>
        <w:pStyle w:val="ListParagraph"/>
        <w:numPr>
          <w:ilvl w:val="0"/>
          <w:numId w:val="2"/>
        </w:numPr>
        <w:spacing w:before="40" w:after="40"/>
      </w:pPr>
      <w:r>
        <w:rPr>
          <w:rFonts w:ascii="Arial" w:cs="Arial" w:eastAsia="Arial" w:hAnsi="Arial"/>
          <w:color w:val="1A1A2E"/>
          <w:sz w:val="22"/>
          <w:szCs w:val="22"/>
        </w:rPr>
        <w:t xml:space="preserve">Retry logic with exponential backoff for 429/5xx responses</w:t>
      </w:r>
    </w:p>
    <w:p>
      <w:pPr>
        <w:pStyle w:val="ListParagraph"/>
        <w:numPr>
          <w:ilvl w:val="0"/>
          <w:numId w:val="2"/>
        </w:numPr>
        <w:spacing w:before="40" w:after="40"/>
      </w:pPr>
      <w:r>
        <w:rPr>
          <w:rFonts w:ascii="Arial" w:cs="Arial" w:eastAsia="Arial" w:hAnsi="Arial"/>
          <w:color w:val="1A1A2E"/>
          <w:sz w:val="22"/>
          <w:szCs w:val="22"/>
        </w:rPr>
        <w:t xml:space="preserve">Per-record success/failure tracking</w:t>
      </w:r>
    </w:p>
    <w:p>
      <w:pPr>
        <w:pStyle w:val="ListParagraph"/>
        <w:numPr>
          <w:ilvl w:val="0"/>
          <w:numId w:val="2"/>
        </w:numPr>
        <w:spacing w:before="40" w:after="40"/>
      </w:pPr>
      <w:r>
        <w:rPr>
          <w:rFonts w:ascii="Arial" w:cs="Arial" w:eastAsia="Arial" w:hAnsi="Arial"/>
          <w:color w:val="1A1A2E"/>
          <w:sz w:val="22"/>
          <w:szCs w:val="22"/>
        </w:rPr>
        <w:t xml:space="preserve">Dry-run mode — validates payloads and connectivity without writing data</w:t>
      </w:r>
    </w:p>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8.2  File Export</w:t>
      </w:r>
    </w:p>
    <w:p>
      <w:pPr>
        <w:spacing w:before="60" w:after="100"/>
      </w:pPr>
      <w:r>
        <w:rPr>
          <w:rFonts w:ascii="Arial" w:cs="Arial" w:eastAsia="Arial" w:hAnsi="Arial"/>
          <w:color w:val="1A1A2E"/>
          <w:sz w:val="22"/>
          <w:szCs w:val="22"/>
        </w:rPr>
        <w:t xml:space="preserve">Records are written to structured output files in the output directory. Both JSON and CSV formats are supported per object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4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File Naming</w:t>
            </w:r>
          </w:p>
        </w:tc>
        <w:tc>
          <w:tcPr>
            <w:tcW w:type="dxa" w:w="37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nexus_companies.json / nexus_contacts.json / etc.</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Array of Nexus-schema objects. UTF-8 encoded.</w:t>
            </w:r>
          </w:p>
        </w:tc>
      </w:tr>
      <w:tr>
        <w:tc>
          <w:tcPr>
            <w:tcW w:type="dxa" w:w="1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CSV</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nexus_companies.csv / etc.</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Flat representation; nested objects serialised as JSON strings.</w:t>
            </w:r>
          </w:p>
        </w:tc>
      </w:tr>
    </w:tbl>
    <w:p>
      <w:pPr>
        <w:spacing w:before="0" w:after="0"/>
      </w:pPr>
      <w:r>
        <w:rPr>
          <w:sz w:val="20"/>
          <w:szCs w:val="20"/>
        </w:rPr>
        <w:t xml:space="preserve"/>
      </w:r>
    </w:p>
    <w:p>
      <w:pPr>
        <w:pStyle w:val="Heading2"/>
        <w:spacing w:before="280" w:after="120"/>
      </w:pPr>
      <w:r>
        <w:rPr>
          <w:rFonts w:ascii="Arial" w:cs="Arial" w:eastAsia="Arial" w:hAnsi="Arial"/>
          <w:b/>
          <w:bCs/>
          <w:color w:val="2A7AE4"/>
          <w:sz w:val="26"/>
          <w:szCs w:val="26"/>
        </w:rPr>
        <w:t xml:space="preserve">8.3  Both Modes</w:t>
      </w:r>
    </w:p>
    <w:p>
      <w:pPr>
        <w:spacing w:before="60" w:after="100"/>
      </w:pPr>
      <w:r>
        <w:rPr>
          <w:rFonts w:ascii="Arial" w:cs="Arial" w:eastAsia="Arial" w:hAnsi="Arial"/>
          <w:color w:val="1A1A2E"/>
          <w:sz w:val="22"/>
          <w:szCs w:val="22"/>
        </w:rPr>
        <w:t xml:space="preserve">When output_mode is set to both, the tool performs the API push and simultaneously writes export files. This is the recommended approach for production migrations as it provides an audit trail and a rollback dataset.</w:t>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9. Configuration Reference</w:t>
      </w:r>
    </w:p>
    <w:p>
      <w:pPr>
        <w:spacing w:before="60" w:after="100"/>
      </w:pPr>
      <w:r>
        <w:rPr>
          <w:rFonts w:ascii="Arial" w:cs="Arial" w:eastAsia="Arial" w:hAnsi="Arial"/>
          <w:color w:val="1A1A2E"/>
          <w:sz w:val="22"/>
          <w:szCs w:val="22"/>
        </w:rPr>
        <w:t xml:space="preserve">The Accelerator is driven by a YAML configuration file (migration.yaml). All credentials, scope, mapping overrides, and output settings are defined here.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c>
          <w:tcPr>
            <w:tcW w:type="dxa" w:w="18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26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Key</w:t>
            </w:r>
          </w:p>
        </w:tc>
        <w:tc>
          <w:tcPr>
            <w:tcW w:type="dxa" w:w="14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35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input</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or "csv" or "both"</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input.api</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username / password / security_token</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API mode</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Connected App credentials</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input.api</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"login" (prod) or "test" (sandbox). Default: login</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input.csv</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accounts_path / contacts_path / etc.</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CSV mode</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 paths for each object CSV</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scope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objects</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List: accounts, contacts, opportunities, activities</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transform</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duplicate_strategy</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skip | overwrite | keep_both. Default: skip</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transform</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field_overrides</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Map of SF field → Nexus field overrides</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"nexus_api" or "file" or "both"</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output.nexus_api</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base_url / api_key</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Nexus API mode</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 CRM API endpoint and authentication</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output.nexus_api</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batch_size</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Records per API batch. Default: 50</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output.nexus_api</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dry_run</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true/false. Validates without writing. Default: false</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output.file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path / format</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file mode</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 directory and format: json | csv | both</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logging</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level</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INFO | WARNING | ERROR. Default: INFO</w:t>
            </w:r>
          </w:p>
        </w:tc>
      </w:tr>
      <w:tr>
        <w:tc>
          <w:tcPr>
            <w:tcW w:type="dxa" w:w="1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logging</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output_path</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 file path. Default: ./migration.log</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10. CLI Interface</w:t>
      </w:r>
    </w:p>
    <w:p>
      <w:pPr>
        <w:spacing w:before="60" w:after="100"/>
      </w:pPr>
      <w:r>
        <w:rPr>
          <w:rFonts w:ascii="Arial" w:cs="Arial" w:eastAsia="Arial" w:hAnsi="Arial"/>
          <w:color w:val="1A1A2E"/>
          <w:sz w:val="22"/>
          <w:szCs w:val="22"/>
        </w:rPr>
        <w:t xml:space="preserve">The primary interface is a Python CLI tool: migrate.py.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45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4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migrate.py --config migration.yaml</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Run full migration using config file</w:t>
            </w:r>
          </w:p>
        </w:tc>
      </w:tr>
      <w:tr>
        <w:tc>
          <w:tcPr>
            <w:tcW w:type="dxa" w:w="4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migrate.py --config migration.yaml --dry-run</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Validate and report without writing data</w:t>
            </w:r>
          </w:p>
        </w:tc>
      </w:tr>
      <w:tr>
        <w:tc>
          <w:tcPr>
            <w:tcW w:type="dxa" w:w="4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migrate.py --config migration.yaml --objects accounts contacts</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Migrate specific objects only</w:t>
            </w:r>
          </w:p>
        </w:tc>
      </w:tr>
      <w:tr>
        <w:tc>
          <w:tcPr>
            <w:tcW w:type="dxa" w:w="4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migrate.py --config migration.yaml --resume</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Resume from last checkpoint after failure</w:t>
            </w:r>
          </w:p>
        </w:tc>
      </w:tr>
      <w:tr>
        <w:tc>
          <w:tcPr>
            <w:tcW w:type="dxa" w:w="4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migrate.py validate --config migration.yaml</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Validate config file and Salesforce/Nexus connectivity</w:t>
            </w:r>
          </w:p>
        </w:tc>
      </w:tr>
      <w:tr>
        <w:tc>
          <w:tcPr>
            <w:tcW w:type="dxa" w:w="4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migrate.py report --log migration.log</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 HTML summary report from log file</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11. Migration Log &amp; Reporting</w:t>
      </w:r>
    </w:p>
    <w:p>
      <w:pPr>
        <w:spacing w:before="60" w:after="100"/>
      </w:pPr>
      <w:r>
        <w:rPr>
          <w:rFonts w:ascii="Arial" w:cs="Arial" w:eastAsia="Arial" w:hAnsi="Arial"/>
          <w:color w:val="1A1A2E"/>
          <w:sz w:val="22"/>
          <w:szCs w:val="22"/>
        </w:rPr>
        <w:t xml:space="preserve">Every migration run produces a structured log file and a summary report. The log captures per-record outcomes, enabling full auditability and targeted remediation.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Log Level</w:t>
            </w:r>
          </w:p>
        </w:tc>
        <w:tc>
          <w:tcPr>
            <w:tcW w:type="dxa" w:w="71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Events Captured</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INFO</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Records successfully extracted, transformed, loaded. Batch progress. Run start/end.</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WARNING</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Duplicate detected. Unresolvable reference. Missing optional field. URL/email format issue.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ERROR</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 quarantined (missing required field). API failure (after retries). Config validation failure.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CRITICAL</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Authentication failure. Network unavailability. Schema mismatch requiring abort.</w:t>
            </w:r>
          </w:p>
        </w:tc>
      </w:tr>
    </w:tbl>
    <w:p>
      <w:pPr>
        <w:spacing w:before="0" w:after="0"/>
      </w:pPr>
      <w:r>
        <w:rPr>
          <w:sz w:val="20"/>
          <w:szCs w:val="20"/>
        </w:rPr>
        <w:t xml:space="preserve"/>
      </w:r>
    </w:p>
    <w:p>
      <w:pPr>
        <w:spacing w:before="60" w:after="100"/>
      </w:pPr>
      <w:r>
        <w:rPr>
          <w:rFonts w:ascii="Arial" w:cs="Arial" w:eastAsia="Arial" w:hAnsi="Arial"/>
          <w:color w:val="1A1A2E"/>
          <w:sz w:val="22"/>
          <w:szCs w:val="22"/>
        </w:rPr>
        <w:t xml:space="preserve">The report command (python migrate.py report) generates a single-page HTML summary showing: total records per object, success/warning/error counts, list of quarantined records, and recommended remediation steps for common error patterns.</w:t>
      </w:r>
    </w:p>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65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Performance</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Process 10,000+ records per object within 15 minutes on standard hardware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Reliability</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Idempotent runs — re-running a completed migration does not create duplicates (skip strategy default)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Resumability</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Checkpointing every 500 records; --resume flag restarts from last checkpoint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Security</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Credentials stored in config file only; never logged or output to console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Compatibility</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3.10+; supports macOS, Linux, Windows WSL2</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Observability</w:t>
            </w:r>
          </w:p>
        </w:tc>
        <w:tc>
          <w:tcPr>
            <w:tcW w:type="dxa" w:w="6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Structured log output; HTML report generation on completion</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45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2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Mode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simple_salesforce</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API client (SOQL / Bulk API v2)</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mode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pandas</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CSV parsing, validation, transformation</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CSV mode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requests</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 API HTTP client</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output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pyyaml</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Configuration file parsing</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click</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 interface</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tenacity</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Retry logic with exponential backoff</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output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jinja2</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HTML report generation</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Reporting</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pytest</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Unit and integration test suite</w:t>
            </w:r>
          </w:p>
        </w:tc>
        <w:tc>
          <w:tcPr>
            <w:tcW w:type="dxa" w:w="2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Development</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14.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45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24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1 — Core Engine</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Config layer, CSV extractor, transform pipeline (all 4 objects), file export (JSON/CSV)</w:t>
            </w:r>
          </w:p>
        </w:tc>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1–2</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2 — API Integration</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API extractor (REST + Bulk), Nexus API loader, retry logic, dry-run mode</w:t>
            </w:r>
          </w:p>
        </w:tc>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3–4</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3 — Quality &amp; Ops</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Duplicate detection, resumability/checkpointing, HTML report generation, full test suite</w:t>
            </w:r>
          </w:p>
        </w:tc>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5</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4 — UI (Optional)</w:t>
            </w:r>
          </w:p>
        </w:tc>
        <w:tc>
          <w:tcPr>
            <w:tcW w:type="dxa" w:w="45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Web-based configuration and field-mapping UI for non-technical users</w:t>
            </w:r>
          </w:p>
        </w:tc>
        <w:tc>
          <w:tcPr>
            <w:tcW w:type="dxa" w:w="2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Post-v1</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3760"/>
      </w:tblGrid>
      <w:tr>
        <w:tc>
          <w:tcPr>
            <w:tcW w:type="dxa" w:w="30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4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120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3760"/>
            <w:tcBorders>
              <w:top w:val="single" w:color="D0D7E2" w:sz="1"/>
              <w:left w:val="single" w:color="D0D7E2" w:sz="1"/>
              <w:bottom w:val="single" w:color="D0D7E2" w:sz="1"/>
              <w:right w:val="single" w:color="D0D7E2"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Salesforce Connected App access denied by IT policy</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1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CSV mode as full fallback; document both paths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Nexus API schema changes breaking loader</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c>
          <w:tcPr>
            <w:tcW w:type="dxa" w:w="1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Version-lock Nexus API calls; integration tests against staging</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Large datasets hitting Salesforce governor limits</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1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Bulk API v2 for &gt;2k records; implement offset pagination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 quality worse than expected in customer SF org</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1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Dry-run + quarantine report before live run; configurable duplicate strategy</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Relationship resolution failures for partial migrations</w:t>
            </w:r>
          </w:p>
        </w:tc>
        <w:tc>
          <w:tcPr>
            <w:tcW w:type="dxa" w:w="14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1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37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Warn but continue; log all unresolved refs; document manual remediation</w:t>
            </w:r>
          </w:p>
        </w:tc>
      </w:tr>
    </w:tbl>
    <w:p>
      <w:pPr>
        <w:spacing w:before="0" w:after="0"/>
      </w:pPr>
      <w:r>
        <w:rPr>
          <w:sz w:val="20"/>
          <w:szCs w:val="20"/>
        </w:rPr>
        <w:t xml:space="preserve"/>
      </w:r>
    </w:p>
    <w:p>
      <w:pPr>
        <w:pStyle w:val="Heading1"/>
        <w:pBdr>
          <w:bottom w:val="single" w:color="2A7AE4" w:sz="8" w:space="6"/>
        </w:pBdr>
        <w:spacing w:before="360" w:after="160"/>
      </w:pPr>
      <w:r>
        <w:rPr>
          <w:rFonts w:ascii="Arial" w:cs="Arial" w:eastAsia="Arial" w:hAnsi="Arial"/>
          <w:b/>
          <w:bCs/>
          <w:color w:val="1B3A6B"/>
          <w:sz w:val="32"/>
          <w:szCs w:val="32"/>
        </w:rPr>
        <w:t xml:space="preserve">16. Success Metrics</w:t>
      </w:r>
    </w:p>
    <w:p>
      <w:pPr>
        <w:pStyle w:val="ListParagraph"/>
        <w:numPr>
          <w:ilvl w:val="0"/>
          <w:numId w:val="2"/>
        </w:numPr>
        <w:spacing w:before="40" w:after="40"/>
      </w:pPr>
      <w:r>
        <w:rPr>
          <w:rFonts w:ascii="Arial" w:cs="Arial" w:eastAsia="Arial" w:hAnsi="Arial"/>
          <w:color w:val="1A1A2E"/>
          <w:sz w:val="22"/>
          <w:szCs w:val="22"/>
        </w:rPr>
        <w:t xml:space="preserve">Data fidelity rate ≥ 99% for clean Salesforce orgs (measured by record count and spot-check validation)</w:t>
      </w:r>
    </w:p>
    <w:p>
      <w:pPr>
        <w:pStyle w:val="ListParagraph"/>
        <w:numPr>
          <w:ilvl w:val="0"/>
          <w:numId w:val="2"/>
        </w:numPr>
        <w:spacing w:before="40" w:after="40"/>
      </w:pPr>
      <w:r>
        <w:rPr>
          <w:rFonts w:ascii="Arial" w:cs="Arial" w:eastAsia="Arial" w:hAnsi="Arial"/>
          <w:color w:val="1A1A2E"/>
          <w:sz w:val="22"/>
          <w:szCs w:val="22"/>
        </w:rPr>
        <w:t xml:space="preserve">Full migration of a 50,000-record Salesforce org (all 4 objects) completing within 45 minutes</w:t>
      </w:r>
    </w:p>
    <w:p>
      <w:pPr>
        <w:pStyle w:val="ListParagraph"/>
        <w:numPr>
          <w:ilvl w:val="0"/>
          <w:numId w:val="2"/>
        </w:numPr>
        <w:spacing w:before="40" w:after="40"/>
      </w:pPr>
      <w:r>
        <w:rPr>
          <w:rFonts w:ascii="Arial" w:cs="Arial" w:eastAsia="Arial" w:hAnsi="Arial"/>
          <w:color w:val="1A1A2E"/>
          <w:sz w:val="22"/>
          <w:szCs w:val="22"/>
        </w:rPr>
        <w:t xml:space="preserve">Zero silent data loss — every non-migrated record is accounted for in the quarantine log</w:t>
      </w:r>
    </w:p>
    <w:p>
      <w:pPr>
        <w:pStyle w:val="ListParagraph"/>
        <w:numPr>
          <w:ilvl w:val="0"/>
          <w:numId w:val="2"/>
        </w:numPr>
        <w:spacing w:before="40" w:after="40"/>
      </w:pPr>
      <w:r>
        <w:rPr>
          <w:rFonts w:ascii="Arial" w:cs="Arial" w:eastAsia="Arial" w:hAnsi="Arial"/>
          <w:color w:val="1A1A2E"/>
          <w:sz w:val="22"/>
          <w:szCs w:val="22"/>
        </w:rPr>
        <w:t xml:space="preserve">Successful dry-run → live-run workflow validated against a representative customer dataset prior to v1 release</w:t>
      </w:r>
    </w:p>
    <w:p>
      <w:pPr>
        <w:pStyle w:val="ListParagraph"/>
        <w:numPr>
          <w:ilvl w:val="0"/>
          <w:numId w:val="2"/>
        </w:numPr>
        <w:spacing w:before="40" w:after="40"/>
      </w:pPr>
      <w:r>
        <w:rPr>
          <w:rFonts w:ascii="Arial" w:cs="Arial" w:eastAsia="Arial" w:hAnsi="Arial"/>
          <w:color w:val="1A1A2E"/>
          <w:sz w:val="22"/>
          <w:szCs w:val="22"/>
        </w:rPr>
        <w:t xml:space="preserve">Tool adopted as the standard onboarding migration path for all new Nexus CRM customers within 90 days of release</w:t>
      </w:r>
    </w:p>
    <w:p>
      <w:pPr>
        <w:spacing w:before="0" w:after="0"/>
      </w:pPr>
      <w:r>
        <w:rPr>
          <w:sz w:val="20"/>
          <w:szCs w:val="20"/>
        </w:rPr>
        <w:t xml:space="preserve"/>
      </w:r>
    </w:p>
    <w:p>
      <w:pPr>
        <w:spacing w:before="0" w:after="0"/>
      </w:pPr>
      <w:r>
        <w:rPr>
          <w:sz w:val="20"/>
          <w:szCs w:val="20"/>
        </w:rPr>
        <w:t xml:space="preserve"/>
      </w:r>
    </w:p>
    <w:p>
      <w:pPr>
        <w:pBdr>
          <w:top w:val="single" w:color="D0D7E2" w:sz="4" w:space="8"/>
        </w:pBdr>
        <w:spacing w:before="240" w:after="80"/>
      </w:pPr>
      <w:r>
        <w:rPr>
          <w:rFonts w:ascii="Arial" w:cs="Arial" w:eastAsia="Arial" w:hAnsi="Arial"/>
          <w:i/>
          <w:iCs/>
          <w:color w:val="5A6175"/>
          <w:sz w:val="18"/>
          <w:szCs w:val="18"/>
        </w:rPr>
        <w:t xml:space="preserve">Document prepared by Smeyatsky Labs  ·  Nexus CRM Product Suite  ·  Confidential</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tabs>
        <w:tab w:val="right" w:pos="9026"/>
      </w:tabs>
      <w:spacing w:before="0"/>
    </w:pPr>
    <w:r>
      <w:rPr>
        <w:rFonts w:ascii="Arial" w:cs="Arial" w:eastAsia="Arial" w:hAnsi="Arial"/>
        <w:color w:val="5A6175"/>
        <w:sz w:val="16"/>
        <w:szCs w:val="16"/>
      </w:rPr>
      <w:t xml:space="preserve">Smeyatsky Labs  |  Confidential</w:t>
    </w:r>
    <w:r>
      <w:rPr>
        <w:rFonts w:ascii="Arial" w:cs="Arial" w:eastAsia="Arial" w:hAnsi="Arial"/>
        <w:color w:val="5A6175"/>
        <w:sz w:val="16"/>
        <w:szCs w:val="16"/>
      </w:rPr>
      <w:t xml:space="preserve">	Page </w:t>
    </w:r>
    <w:r>
      <w:rPr>
        <w:rFonts w:ascii="Arial" w:cs="Arial" w:eastAsia="Arial" w:hAnsi="Arial"/>
        <w:color w:val="5A6175"/>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E4" w:sz="6" w:space="4"/>
      </w:pBdr>
      <w:tabs>
        <w:tab w:val="right" w:pos="9026"/>
      </w:tabs>
      <w:spacing w:after="0"/>
    </w:pPr>
    <w:r>
      <w:rPr>
        <w:rFonts w:ascii="Arial" w:cs="Arial" w:eastAsia="Arial" w:hAnsi="Arial"/>
        <w:b/>
        <w:bCs/>
        <w:color w:val="1B3A6B"/>
        <w:sz w:val="18"/>
        <w:szCs w:val="18"/>
      </w:rPr>
      <w:t xml:space="preserve">Nexus CRM  </w:t>
    </w:r>
    <w:r>
      <w:rPr>
        <w:rFonts w:ascii="Arial" w:cs="Arial" w:eastAsia="Arial" w:hAnsi="Arial"/>
        <w:color w:val="5A6175"/>
        <w:sz w:val="18"/>
        <w:szCs w:val="18"/>
      </w:rPr>
      <w:t xml:space="preserve">Salesforce Migration Accelerator</w:t>
    </w:r>
    <w:r>
      <w:rPr>
        <w:rFonts w:ascii="Arial" w:cs="Arial" w:eastAsia="Arial" w:hAnsi="Arial"/>
        <w:color w:val="5A6175"/>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A7AE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2026-03-05T04:29:55.479Z</dcterms:created>
  <dcterms:modified xsi:type="dcterms:W3CDTF">2026-03-05T04:29:55.480Z</dcterms:modified>
</cp:coreProperties>
</file>

<file path=docProps/custom.xml><?xml version="1.0" encoding="utf-8"?>
<Properties xmlns="http://schemas.openxmlformats.org/officeDocument/2006/custom-properties" xmlns:vt="http://schemas.openxmlformats.org/officeDocument/2006/docPropsVTypes"/>
</file>