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cs="Times New Roman" w:ascii="Times New Roman" w:hAnsi="Times New Roman"/>
          <w:b/>
        </w:rPr>
        <w:t>Cross section</w:t>
      </w:r>
    </w:p>
    <w:p>
      <w:pPr>
        <w:pStyle w:val="Normal"/>
        <w:spacing w:lineRule="auto" w:line="360"/>
        <w:jc w:val="both"/>
        <w:rPr/>
      </w:pPr>
      <w:r>
        <w:rPr>
          <w:rFonts w:cs="Times New Roman" w:ascii="Times New Roman" w:hAnsi="Times New Roman"/>
        </w:rPr>
        <w:t>For the cross-section data, Evaluated Nuclear Data File I.e. ENDF are used from ENDF Database. The version is ENDF/B-VIII.0, published in February 2018 in USA. Cross sectional data for the Fuel (UO</w:t>
      </w:r>
      <w:r>
        <w:rPr>
          <w:rFonts w:cs="Times New Roman" w:ascii="Times New Roman" w:hAnsi="Times New Roman"/>
          <w:vertAlign w:val="subscript"/>
        </w:rPr>
        <w:t>2</w:t>
      </w:r>
      <w:r>
        <w:rPr>
          <w:rFonts w:cs="Times New Roman" w:ascii="Times New Roman" w:hAnsi="Times New Roman"/>
        </w:rPr>
        <w:t>), cladding material (Al) and Moderator are obtained from this database. Fission, scattering  and capture cross section data were obtained. The energy range for these data starts from 3x10</w:t>
      </w:r>
      <w:r>
        <w:rPr>
          <w:rFonts w:cs="Times New Roman" w:ascii="Times New Roman" w:hAnsi="Times New Roman"/>
          <w:vertAlign w:val="superscript"/>
        </w:rPr>
        <w:t>-5</w:t>
      </w:r>
      <w:r>
        <w:rPr>
          <w:rFonts w:cs="Times New Roman" w:ascii="Times New Roman" w:hAnsi="Times New Roman"/>
        </w:rPr>
        <w:t xml:space="preserve"> electron volt (eV) to 3x10</w:t>
      </w:r>
      <w:r>
        <w:rPr>
          <w:rFonts w:cs="Times New Roman" w:ascii="Times New Roman" w:hAnsi="Times New Roman"/>
          <w:vertAlign w:val="superscript"/>
        </w:rPr>
        <w:t>7</w:t>
      </w:r>
      <w:r>
        <w:rPr>
          <w:rFonts w:cs="Times New Roman" w:ascii="Times New Roman" w:hAnsi="Times New Roman"/>
        </w:rPr>
        <w:t>electron volt. Cross sectional data have been taken by dividing the energy range into equal 13 groups. The total scattering cross sectional data is obtained by finding the values of these different cross-sectional data and adding elastic and inelastic scattering cross sectional values. In order to achieve the cross-sectional data for capture, n,gamma cross section data for these energy groups have been used. The cross section values in barns [10</w:t>
      </w:r>
      <w:r>
        <w:rPr>
          <w:rFonts w:cs="Times New Roman" w:ascii="Times New Roman" w:hAnsi="Times New Roman"/>
          <w:vertAlign w:val="superscript"/>
        </w:rPr>
        <w:t>-24</w:t>
      </w:r>
      <w:r>
        <w:rPr>
          <w:rFonts w:cs="Times New Roman" w:ascii="Times New Roman" w:hAnsi="Times New Roman"/>
        </w:rPr>
        <w:t xml:space="preserve"> cm</w:t>
      </w:r>
      <w:r>
        <w:rPr>
          <w:rFonts w:cs="Times New Roman" w:ascii="Times New Roman" w:hAnsi="Times New Roman"/>
          <w:vertAlign w:val="superscript"/>
        </w:rPr>
        <w:t>2</w:t>
      </w:r>
      <w:r>
        <w:rPr>
          <w:rFonts w:cs="Times New Roman" w:ascii="Times New Roman" w:hAnsi="Times New Roman"/>
        </w:rPr>
        <w:t>] are converted to cm</w:t>
      </w:r>
      <w:r>
        <w:rPr>
          <w:rFonts w:cs="Times New Roman" w:ascii="Times New Roman" w:hAnsi="Times New Roman"/>
          <w:vertAlign w:val="superscript"/>
        </w:rPr>
        <w:t>2</w:t>
      </w:r>
      <w:r>
        <w:rPr>
          <w:rFonts w:cs="Times New Roman" w:ascii="Times New Roman" w:hAnsi="Times New Roman"/>
        </w:rPr>
        <w:t xml:space="preserve"> by multiplying by 1e</w:t>
      </w:r>
      <w:r>
        <w:rPr>
          <w:rFonts w:cs="Times New Roman" w:ascii="Times New Roman" w:hAnsi="Times New Roman"/>
          <w:vertAlign w:val="superscript"/>
        </w:rPr>
        <w:t>-24</w:t>
      </w:r>
      <w:r>
        <w:rPr>
          <w:rFonts w:cs="Times New Roman" w:ascii="Times New Roman" w:hAnsi="Times New Roman"/>
        </w:rPr>
        <w:t xml:space="preserve">. Then these microscopic cross sections are converted into macroscopic cross sections (1/cm) by multiplying them by the number density for each element and material.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Fission cross section, capture cross section and scattering cross section data are plotted for the fuel material:</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drawing>
          <wp:inline distT="0" distB="0" distL="0" distR="0">
            <wp:extent cx="4140200" cy="24561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140200" cy="2456180"/>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t>Figure 1: Fission cross section for Fuel</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drawing>
          <wp:inline distT="0" distB="0" distL="0" distR="0">
            <wp:extent cx="4191000" cy="245491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191000" cy="2454910"/>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t>Figure 2: Capture cross section for Fuel</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4235450" cy="251904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235450" cy="2519045"/>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t>Figure 3: Scattering cross section for Fuel</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jc w:val="both"/>
        <w:rPr/>
      </w:pPr>
      <w:r>
        <w:rPr>
          <w:rFonts w:cs="Times New Roman" w:ascii="Times New Roman" w:hAnsi="Times New Roman" w:asciiTheme="majorBidi" w:cstheme="majorBidi" w:hAnsiTheme="majorBidi"/>
          <w:b/>
          <w:bCs/>
        </w:rPr>
        <w:t>Neutron Moderator</w:t>
      </w:r>
    </w:p>
    <w:p>
      <w:pPr>
        <w:pStyle w:val="Normal"/>
        <w:spacing w:lineRule="auto" w:line="360"/>
        <w:jc w:val="both"/>
        <w:rPr/>
      </w:pPr>
      <w:r>
        <w:rPr>
          <w:rFonts w:cs="Times New Roman" w:ascii="Times New Roman" w:hAnsi="Times New Roman" w:asciiTheme="majorBidi" w:cstheme="majorBidi" w:hAnsiTheme="majorBidi"/>
        </w:rPr>
        <w:t xml:space="preserve">The reactor core is moderated by non-boronised light water. Although neutron collision from elastic scattering can slow down the neutrons, a quicker method that is used is the neutron moderator. It slows down the neutrons going from fission to the thermal energies. The figure below shows how the moderator slows down the neutrons and prevent them from colliding into each other. To have an effective moderator, it is important to have a high elastic scattering cross-section and a high average logarithmic energy decrement. </w:t>
      </w:r>
    </w:p>
    <w:p>
      <w:pPr>
        <w:pStyle w:val="Normal"/>
        <w:spacing w:lineRule="auto" w:line="360"/>
        <w:ind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ind w:firstLine="360"/>
        <w:jc w:val="center"/>
        <w:rPr>
          <w:rFonts w:ascii="Times New Roman" w:hAnsi="Times New Roman" w:cs="Times New Roman" w:asciiTheme="majorBidi" w:cstheme="majorBidi" w:hAnsiTheme="majorBidi"/>
        </w:rPr>
      </w:pPr>
      <w:r>
        <w:rPr/>
        <w:drawing>
          <wp:inline distT="0" distB="0" distL="0" distR="0">
            <wp:extent cx="2982595" cy="2641600"/>
            <wp:effectExtent l="0" t="0" r="0" b="0"/>
            <wp:docPr id="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
                    <pic:cNvPicPr>
                      <a:picLocks noChangeAspect="1" noChangeArrowheads="1"/>
                    </pic:cNvPicPr>
                  </pic:nvPicPr>
                  <pic:blipFill>
                    <a:blip r:embed="rId5"/>
                    <a:stretch>
                      <a:fillRect/>
                    </a:stretch>
                  </pic:blipFill>
                  <pic:spPr bwMode="auto">
                    <a:xfrm>
                      <a:off x="0" y="0"/>
                      <a:ext cx="2982595" cy="2641600"/>
                    </a:xfrm>
                    <a:prstGeom prst="rect">
                      <a:avLst/>
                    </a:prstGeom>
                  </pic:spPr>
                </pic:pic>
              </a:graphicData>
            </a:graphic>
          </wp:inline>
        </w:drawing>
      </w:r>
    </w:p>
    <w:p>
      <w:pPr>
        <w:pStyle w:val="Normal"/>
        <w:spacing w:lineRule="auto" w:line="360"/>
        <w:ind w:firstLine="36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Demonstration of how the neutron moderator works</w:t>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jc w:val="both"/>
        <w:rPr/>
      </w:pPr>
      <w:r>
        <w:rPr>
          <w:rFonts w:cs="Times New Roman" w:ascii="Times New Roman" w:hAnsi="Times New Roman" w:asciiTheme="majorBidi" w:cstheme="majorBidi" w:hAnsiTheme="majorBidi"/>
          <w:b/>
          <w:bCs/>
        </w:rPr>
        <w:t>Maxwellian-Boltzmann Distribution</w:t>
      </w:r>
    </w:p>
    <w:p>
      <w:pPr>
        <w:pStyle w:val="Normal"/>
        <w:spacing w:lineRule="auto" w:line="360"/>
        <w:jc w:val="both"/>
        <w:rPr/>
      </w:pPr>
      <w:r>
        <w:rPr>
          <w:rFonts w:cs="Times New Roman" w:ascii="Times New Roman" w:hAnsi="Times New Roman" w:asciiTheme="majorBidi" w:cstheme="majorBidi" w:hAnsiTheme="majorBidi"/>
        </w:rPr>
        <w:t xml:space="preserve">Neutron moderators are mainly used in thermal reactors in which the reactor uses thermal neutrons to sustain the chain reaction. Neutrons in the thermal region achieve thermal equilibrium with the atoms of the moderator. These neutron’s energies are distributed using Maxwellian-Boltzmann distribution which is shown in the equation below, where T is the temperature of the moderator and k is the Boltzmann constant which is </w:t>
      </w:r>
      <w:r>
        <w:rPr/>
      </w:r>
      <m:oMath xmlns:m="http://schemas.openxmlformats.org/officeDocument/2006/math">
        <m:r>
          <w:rPr>
            <w:rFonts w:ascii="Cambria Math" w:hAnsi="Cambria Math"/>
          </w:rPr>
          <m:t xml:space="preserve">8.52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oMath>
      <w:r>
        <w:rPr>
          <w:rFonts w:eastAsia="DengXian" w:cs="Times New Roman" w:ascii="Times New Roman" w:hAnsi="Times New Roman" w:asciiTheme="majorBidi" w:cstheme="majorBidi" w:eastAsiaTheme="minorEastAsia" w:hAnsiTheme="majorBidi"/>
        </w:rPr>
        <w:t xml:space="preserve"> eV/K. </w:t>
      </w:r>
    </w:p>
    <w:p>
      <w:pPr>
        <w:pStyle w:val="Normal"/>
        <w:spacing w:lineRule="auto" w:line="360"/>
        <w:jc w:val="both"/>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ind w:firstLine="360"/>
        <w:jc w:val="right"/>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E</m:t>
            </m:r>
          </m:e>
        </m:d>
        <m:r>
          <w:rPr>
            <w:rFonts w:ascii="Cambria Math" w:hAnsi="Cambria Math"/>
          </w:rPr>
          <m:t xml:space="preserve">=</m:t>
        </m:r>
        <m:f>
          <m:num>
            <m:r>
              <w:rPr>
                <w:rFonts w:ascii="Cambria Math" w:hAnsi="Cambria Math"/>
              </w:rPr>
              <m:t xml:space="preserve">2</m:t>
            </m:r>
            <m:r>
              <w:rPr>
                <w:rFonts w:ascii="Cambria Math" w:hAnsi="Cambria Math"/>
              </w:rPr>
              <m:t xml:space="preserve">π</m:t>
            </m:r>
            <m:sSup>
              <m:e>
                <m:r>
                  <w:rPr>
                    <w:rFonts w:ascii="Cambria Math" w:hAnsi="Cambria Math"/>
                  </w:rPr>
                  <m:t xml:space="preserve">E</m:t>
                </m:r>
              </m:e>
              <m:sup>
                <m:f>
                  <m:fPr>
                    <m:type m:val="lin"/>
                  </m:fPr>
                  <m:num>
                    <m:r>
                      <w:rPr>
                        <w:rFonts w:ascii="Cambria Math" w:hAnsi="Cambria Math"/>
                      </w:rPr>
                      <m:t xml:space="preserve">1</m:t>
                    </m:r>
                  </m:num>
                  <m:den>
                    <m:r>
                      <w:rPr>
                        <w:rFonts w:ascii="Cambria Math" w:hAnsi="Cambria Math"/>
                      </w:rPr>
                      <m:t xml:space="preserve">2</m:t>
                    </m:r>
                  </m:den>
                </m:f>
              </m:sup>
            </m:sSup>
          </m:num>
          <m:den>
            <m:sSup>
              <m:e>
                <m:d>
                  <m:dPr>
                    <m:begChr m:val="("/>
                    <m:endChr m:val=")"/>
                  </m:dPr>
                  <m:e>
                    <m:r>
                      <w:rPr>
                        <w:rFonts w:ascii="Cambria Math" w:hAnsi="Cambria Math"/>
                      </w:rPr>
                      <m:t xml:space="preserve">πkT</m:t>
                    </m:r>
                  </m:e>
                </m:d>
              </m:e>
              <m:sup>
                <m:f>
                  <m:fPr>
                    <m:type m:val="lin"/>
                  </m:fPr>
                  <m:num>
                    <m:r>
                      <w:rPr>
                        <w:rFonts w:ascii="Cambria Math" w:hAnsi="Cambria Math"/>
                      </w:rPr>
                      <m:t xml:space="preserve">3</m:t>
                    </m:r>
                  </m:num>
                  <m:den>
                    <m:r>
                      <w:rPr>
                        <w:rFonts w:ascii="Cambria Math" w:hAnsi="Cambria Math"/>
                      </w:rPr>
                      <m:t xml:space="preserve">2</m:t>
                    </m:r>
                  </m:den>
                </m:f>
              </m:sup>
            </m:sSup>
          </m:den>
        </m:f>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kT</m:t>
                </m:r>
              </m:den>
            </m:f>
          </m:sup>
        </m:sSup>
      </m:oMath>
      <w:r>
        <w:rPr>
          <w:rFonts w:eastAsia="DengXian" w:cs="Times New Roman" w:ascii="Times New Roman" w:hAnsi="Times New Roman" w:asciiTheme="majorBidi" w:cstheme="majorBidi" w:eastAsiaTheme="minorEastAsia" w:hAnsiTheme="majorBidi"/>
        </w:rPr>
        <w:t xml:space="preserve"> </w:t>
      </w:r>
      <w:r>
        <w:rPr>
          <w:rFonts w:eastAsia="DengXian" w:cs="Times New Roman" w:ascii="Times New Roman" w:hAnsi="Times New Roman" w:asciiTheme="majorBidi" w:cstheme="majorBidi" w:eastAsiaTheme="minorEastAsia" w:hAnsiTheme="majorBidi"/>
        </w:rPr>
        <w:tab/>
        <w:tab/>
        <w:tab/>
        <w:tab/>
        <w:tab/>
      </w:r>
    </w:p>
    <w:p>
      <w:pPr>
        <w:pStyle w:val="Normal"/>
        <w:spacing w:lineRule="auto" w:line="360"/>
        <w:ind w:firstLine="360"/>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ind w:hanging="0"/>
        <w:jc w:val="both"/>
        <w:rPr>
          <w:rFonts w:ascii="Times New Roman" w:hAnsi="Times New Roman" w:eastAsia="DengXian" w:cs="Times New Roman" w:asciiTheme="majorBidi" w:cstheme="majorBidi" w:eastAsiaTheme="minorEastAsia" w:hAnsiTheme="majorBidi"/>
        </w:rPr>
      </w:pPr>
      <w:r>
        <w:rPr>
          <w:rFonts w:eastAsia="DengXian" w:cs="Times New Roman" w:ascii="Times New Roman" w:hAnsi="Times New Roman" w:cstheme="majorBidi" w:eastAsiaTheme="minorEastAsia"/>
        </w:rPr>
        <w:t xml:space="preserve">The thermal spectrum is defined in the following equation, where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rFonts w:eastAsia="DengXian" w:cs="Times New Roman" w:ascii="Times New Roman" w:hAnsi="Times New Roman" w:cstheme="majorBidi" w:eastAsiaTheme="minorEastAsia"/>
        </w:rPr>
        <w:t xml:space="preserve"> is the total thermal neutron density. </w:t>
      </w:r>
    </w:p>
    <w:p>
      <w:pPr>
        <w:pStyle w:val="Normal"/>
        <w:spacing w:lineRule="auto" w:line="360"/>
        <w:ind w:firstLine="360"/>
        <w:jc w:val="both"/>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ind w:firstLine="360"/>
        <w:jc w:val="right"/>
        <w:rPr/>
      </w:pPr>
      <w:r>
        <w:rPr/>
      </w:r>
      <m:oMath xmlns:m="http://schemas.openxmlformats.org/officeDocument/2006/math">
        <m:r>
          <w:rPr>
            <w:rFonts w:ascii="Cambria Math" w:hAnsi="Cambria Math"/>
          </w:rPr>
          <m:t xml:space="preserve">ϕ</m:t>
        </m:r>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r>
          <w:rPr>
            <w:rFonts w:ascii="Cambria Math" w:hAnsi="Cambria Math"/>
          </w:rPr>
          <m:t xml:space="preserve">vM</m:t>
        </m:r>
        <m:d>
          <m:dPr>
            <m:begChr m:val="("/>
            <m:endChr m:val=")"/>
          </m:dPr>
          <m:e>
            <m:r>
              <w:rPr>
                <w:rFonts w:ascii="Cambria Math" w:hAnsi="Cambria Math"/>
              </w:rPr>
              <m:t xml:space="preserve">E</m:t>
            </m:r>
          </m:e>
        </m:d>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E</m:t>
                </m:r>
              </m:num>
              <m:den>
                <m:r>
                  <w:rPr>
                    <w:rFonts w:ascii="Cambria Math" w:hAnsi="Cambria Math"/>
                  </w:rPr>
                  <m:t xml:space="preserve">m</m:t>
                </m:r>
              </m:den>
            </m:f>
          </m:e>
        </m:rad>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sSup>
              <m:e>
                <m:r>
                  <w:rPr>
                    <w:rFonts w:ascii="Cambria Math" w:hAnsi="Cambria Math"/>
                  </w:rPr>
                  <m:t xml:space="preserve">E</m:t>
                </m:r>
              </m:e>
              <m:sup>
                <m:f>
                  <m:fPr>
                    <m:type m:val="lin"/>
                  </m:fPr>
                  <m:num>
                    <m:r>
                      <w:rPr>
                        <w:rFonts w:ascii="Cambria Math" w:hAnsi="Cambria Math"/>
                      </w:rPr>
                      <m:t xml:space="preserve">1</m:t>
                    </m:r>
                  </m:num>
                  <m:den>
                    <m:r>
                      <w:rPr>
                        <w:rFonts w:ascii="Cambria Math" w:hAnsi="Cambria Math"/>
                      </w:rPr>
                      <m:t xml:space="preserve">2</m:t>
                    </m:r>
                  </m:den>
                </m:f>
              </m:sup>
            </m:sSup>
          </m:num>
          <m:den>
            <m:sSup>
              <m:e>
                <m:d>
                  <m:dPr>
                    <m:begChr m:val="("/>
                    <m:endChr m:val=")"/>
                  </m:dPr>
                  <m:e>
                    <m:r>
                      <w:rPr>
                        <w:rFonts w:ascii="Cambria Math" w:hAnsi="Cambria Math"/>
                      </w:rPr>
                      <m:t xml:space="preserve">πkT</m:t>
                    </m:r>
                  </m:e>
                </m:d>
              </m:e>
              <m:sup>
                <m:f>
                  <m:fPr>
                    <m:type m:val="lin"/>
                  </m:fPr>
                  <m:num>
                    <m:r>
                      <w:rPr>
                        <w:rFonts w:ascii="Cambria Math" w:hAnsi="Cambria Math"/>
                      </w:rPr>
                      <m:t xml:space="preserve">3</m:t>
                    </m:r>
                  </m:num>
                  <m:den>
                    <m:r>
                      <w:rPr>
                        <w:rFonts w:ascii="Cambria Math" w:hAnsi="Cambria Math"/>
                      </w:rPr>
                      <m:t xml:space="preserve">2</m:t>
                    </m:r>
                  </m:den>
                </m:f>
              </m:sup>
            </m:sSup>
          </m:den>
        </m:f>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kT</m:t>
                </m:r>
              </m:den>
            </m:f>
          </m:sup>
        </m:sSup>
      </m:oMath>
      <w:r>
        <w:rPr>
          <w:rFonts w:eastAsia="DengXian" w:cs="Times New Roman" w:ascii="Times New Roman" w:hAnsi="Times New Roman" w:asciiTheme="majorBidi" w:cstheme="majorBidi" w:eastAsiaTheme="minorEastAsia" w:hAnsiTheme="majorBidi"/>
        </w:rPr>
        <w:t xml:space="preserve"> </w:t>
      </w:r>
      <w:r>
        <w:rPr>
          <w:rFonts w:eastAsia="DengXian" w:cs="Times New Roman" w:ascii="Times New Roman" w:hAnsi="Times New Roman" w:asciiTheme="majorBidi" w:cstheme="majorBidi" w:eastAsiaTheme="minorEastAsia" w:hAnsiTheme="majorBidi"/>
        </w:rPr>
        <w:tab/>
        <w:tab/>
        <w:tab/>
        <w:t xml:space="preserve"> </w:t>
      </w:r>
    </w:p>
    <w:p>
      <w:pPr>
        <w:pStyle w:val="Normal"/>
        <w:spacing w:lineRule="auto" w:line="360"/>
        <w:jc w:val="both"/>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jc w:val="both"/>
        <w:rPr/>
      </w:pPr>
      <w:r>
        <w:rPr>
          <w:rFonts w:eastAsia="DengXian" w:cs="Times New Roman" w:ascii="Times New Roman" w:hAnsi="Times New Roman" w:asciiTheme="majorBidi" w:cstheme="majorBidi" w:eastAsiaTheme="minorEastAsia" w:hAnsiTheme="majorBidi"/>
        </w:rPr>
        <w:t>The figure below graphically shows the thermal spectrum in relation to the rest of the reactor neutron spectrum.</w:t>
      </w:r>
    </w:p>
    <w:p>
      <w:pPr>
        <w:pStyle w:val="Normal"/>
        <w:spacing w:lineRule="auto" w:line="360"/>
        <w:ind w:firstLine="360"/>
        <w:jc w:val="center"/>
        <w:rPr>
          <w:rFonts w:ascii="Times New Roman" w:hAnsi="Times New Roman" w:cs="Times New Roman" w:asciiTheme="majorBidi" w:cstheme="majorBidi" w:hAnsiTheme="majorBidi"/>
        </w:rPr>
      </w:pPr>
      <w:r>
        <w:rPr/>
        <w:drawing>
          <wp:inline distT="0" distB="0" distL="0" distR="0">
            <wp:extent cx="5600700" cy="3808095"/>
            <wp:effectExtent l="0" t="0" r="0" b="0"/>
            <wp:docPr id="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
                    <pic:cNvPicPr>
                      <a:picLocks noChangeAspect="1" noChangeArrowheads="1"/>
                    </pic:cNvPicPr>
                  </pic:nvPicPr>
                  <pic:blipFill>
                    <a:blip r:embed="rId6"/>
                    <a:stretch>
                      <a:fillRect/>
                    </a:stretch>
                  </pic:blipFill>
                  <pic:spPr bwMode="auto">
                    <a:xfrm>
                      <a:off x="0" y="0"/>
                      <a:ext cx="5600700" cy="3808095"/>
                    </a:xfrm>
                    <a:prstGeom prst="rect">
                      <a:avLst/>
                    </a:prstGeom>
                  </pic:spPr>
                </pic:pic>
              </a:graphicData>
            </a:graphic>
          </wp:inline>
        </w:drawing>
      </w:r>
    </w:p>
    <w:p>
      <w:pPr>
        <w:pStyle w:val="Normal"/>
        <w:spacing w:lineRule="auto" w:line="360"/>
        <w:ind w:firstLine="36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Figure 9: Thermal reactor neutron spectrum</w:t>
      </w:r>
    </w:p>
    <w:p>
      <w:pPr>
        <w:pStyle w:val="Normal"/>
        <w:spacing w:lineRule="auto" w:line="360"/>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360"/>
        <w:rPr/>
      </w:pPr>
      <w:r>
        <w:rPr>
          <w:rFonts w:cs="Times New Roman" w:ascii="Times New Roman" w:hAnsi="Times New Roman" w:asciiTheme="majorBidi" w:cstheme="majorBidi" w:hAnsiTheme="majorBidi"/>
          <w:b/>
        </w:rPr>
        <w:t>Geometry and Boundary Conditions</w:t>
      </w:r>
    </w:p>
    <w:p>
      <w:pPr>
        <w:pStyle w:val="Normal"/>
        <w:spacing w:lineRule="auto" w:line="360"/>
        <w:jc w:val="both"/>
        <w:rPr/>
      </w:pPr>
      <w:r>
        <w:rPr>
          <w:rFonts w:cs="Times New Roman" w:ascii="Times New Roman" w:hAnsi="Times New Roman" w:asciiTheme="majorBidi" w:cstheme="majorBidi" w:hAnsiTheme="majorBidi"/>
        </w:rPr>
        <w:t>Qualifying is a transport code and is made to demonstrate criticality calculation for simplified 2D pincell geometry by using Monte Carlo methods for ten group cross sections. Geometry and boundary conditions are shown below.</w:t>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mc:AlternateContent>
          <mc:Choice Requires="wpg">
            <w:drawing>
              <wp:anchor behindDoc="0" distT="0" distB="0" distL="114300" distR="114300" simplePos="0" locked="0" layoutInCell="1" allowOverlap="1" relativeHeight="2" wp14:anchorId="3E18FBAE">
                <wp:simplePos x="0" y="0"/>
                <wp:positionH relativeFrom="column">
                  <wp:posOffset>1031875</wp:posOffset>
                </wp:positionH>
                <wp:positionV relativeFrom="paragraph">
                  <wp:posOffset>-342900</wp:posOffset>
                </wp:positionV>
                <wp:extent cx="2891790" cy="2978785"/>
                <wp:effectExtent l="0" t="0" r="0" b="0"/>
                <wp:wrapNone/>
                <wp:docPr id="6" name="Group 28"/>
                <a:graphic xmlns:a="http://schemas.openxmlformats.org/drawingml/2006/main">
                  <a:graphicData uri="http://schemas.microsoft.com/office/word/2010/wordprocessingGroup">
                    <wpg:wgp>
                      <wpg:cNvGrpSpPr/>
                      <wpg:grpSpPr>
                        <a:xfrm>
                          <a:off x="0" y="0"/>
                          <a:ext cx="2891160" cy="2978280"/>
                        </a:xfrm>
                      </wpg:grpSpPr>
                      <wps:wsp>
                        <wps:cNvSpPr/>
                        <wps:spPr>
                          <a:xfrm>
                            <a:off x="452160" y="452880"/>
                            <a:ext cx="2050920" cy="2050560"/>
                          </a:xfrm>
                          <a:prstGeom prst="ellipse">
                            <a:avLst/>
                          </a:prstGeom>
                          <a:noFill/>
                          <a:ln w="9360">
                            <a:solidFill>
                              <a:schemeClr val="dk1"/>
                            </a:solidFill>
                            <a:round/>
                          </a:ln>
                        </wps:spPr>
                        <wps:style>
                          <a:lnRef idx="0"/>
                          <a:fillRef idx="0"/>
                          <a:effectRef idx="0"/>
                          <a:fontRef idx="minor"/>
                        </wps:style>
                        <wps:bodyPr/>
                      </wps:wsp>
                      <wps:wsp>
                        <wps:cNvSpPr/>
                        <wps:spPr>
                          <a:xfrm>
                            <a:off x="595080" y="605160"/>
                            <a:ext cx="1758240" cy="1757520"/>
                          </a:xfrm>
                          <a:prstGeom prst="ellipse">
                            <a:avLst/>
                          </a:prstGeom>
                          <a:noFill/>
                          <a:ln w="9360">
                            <a:solidFill>
                              <a:schemeClr val="dk1"/>
                            </a:solidFill>
                            <a:round/>
                          </a:ln>
                        </wps:spPr>
                        <wps:style>
                          <a:lnRef idx="0"/>
                          <a:fillRef idx="0"/>
                          <a:effectRef idx="0"/>
                          <a:fontRef idx="minor"/>
                        </wps:style>
                        <wps:bodyPr/>
                      </wps:wsp>
                      <wps:wsp>
                        <wps:cNvSpPr/>
                        <wps:spPr>
                          <a:xfrm>
                            <a:off x="181080" y="186120"/>
                            <a:ext cx="2562840" cy="2562120"/>
                          </a:xfrm>
                          <a:prstGeom prst="rect">
                            <a:avLst/>
                          </a:prstGeom>
                          <a:noFill/>
                          <a:ln w="9360">
                            <a:solidFill>
                              <a:schemeClr val="dk1"/>
                            </a:solidFill>
                            <a:round/>
                          </a:ln>
                        </wps:spPr>
                        <wps:style>
                          <a:lnRef idx="0"/>
                          <a:fillRef idx="0"/>
                          <a:effectRef idx="0"/>
                          <a:fontRef idx="minor"/>
                        </wps:style>
                        <wps:bodyPr/>
                      </wps:wsp>
                      <wps:wsp>
                        <wps:cNvSpPr/>
                        <wps:spPr>
                          <a:xfrm>
                            <a:off x="1374120" y="1374120"/>
                            <a:ext cx="278280" cy="253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asciiTheme="minorHAnsi" w:cstheme="minorBidi" w:eastAsiaTheme="minorHAnsi" w:hAnsiTheme="minorHAnsi" w:eastAsia="Calibri" w:ascii="Calibri" w:hAnsi="Calibri"/>
                                  <w:color w:val="000000"/>
                                </w:rPr>
                                <w:t>F</w:t>
                              </w:r>
                            </w:p>
                          </w:txbxContent>
                        </wps:txbx>
                        <wps:bodyPr lIns="90000" rIns="90000" tIns="45000" bIns="45000">
                          <a:noAutofit/>
                        </wps:bodyPr>
                      </wps:wsp>
                      <wps:wsp>
                        <wps:cNvSpPr/>
                        <wps:spPr>
                          <a:xfrm>
                            <a:off x="1974960" y="671760"/>
                            <a:ext cx="415800" cy="255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eastAsia="Calibri" w:ascii="Calibri" w:hAnsi="Calibri"/>
                                  <w:color w:val="000000"/>
                                </w:rPr>
                                <w:t>C</w:t>
                              </w:r>
                            </w:p>
                          </w:txbxContent>
                        </wps:txbx>
                        <wps:bodyPr lIns="90000" rIns="90000" tIns="45000" bIns="45000">
                          <a:noAutofit/>
                        </wps:bodyPr>
                      </wps:wsp>
                      <wps:wsp>
                        <wps:cNvSpPr/>
                        <wps:spPr>
                          <a:xfrm>
                            <a:off x="2381760" y="304920"/>
                            <a:ext cx="453960" cy="253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asciiTheme="minorHAnsi" w:cstheme="minorBidi" w:eastAsiaTheme="minorHAnsi" w:hAnsiTheme="minorHAnsi" w:eastAsia="Calibri" w:ascii="Calibri" w:hAnsi="Calibri"/>
                                  <w:color w:val="000000"/>
                                </w:rPr>
                                <w:t>M</w:t>
                              </w:r>
                            </w:p>
                          </w:txbxContent>
                        </wps:txbx>
                        <wps:bodyPr lIns="90000" rIns="90000" tIns="45000" bIns="45000">
                          <a:noAutofit/>
                        </wps:bodyPr>
                      </wps:wsp>
                      <wps:wsp>
                        <wps:cNvSpPr/>
                        <wps:spPr>
                          <a:xfrm>
                            <a:off x="0" y="1212120"/>
                            <a:ext cx="208800" cy="253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wps:txbx>
                        <wps:bodyPr lIns="90000" rIns="90000" tIns="45000" bIns="45000">
                          <a:noAutofit/>
                        </wps:bodyPr>
                      </wps:wsp>
                      <wps:wsp>
                        <wps:cNvSpPr/>
                        <wps:spPr>
                          <a:xfrm>
                            <a:off x="1350000" y="0"/>
                            <a:ext cx="209520" cy="253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wps:txbx>
                        <wps:bodyPr lIns="90000" rIns="90000" tIns="45000" bIns="45000">
                          <a:noAutofit/>
                        </wps:bodyPr>
                      </wps:wsp>
                      <wps:wsp>
                        <wps:cNvSpPr/>
                        <wps:spPr>
                          <a:xfrm>
                            <a:off x="2682360" y="1217160"/>
                            <a:ext cx="208800" cy="253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wps:txbx>
                        <wps:bodyPr lIns="90000" rIns="90000" tIns="45000" bIns="45000">
                          <a:noAutofit/>
                        </wps:bodyPr>
                      </wps:wsp>
                      <wps:wsp>
                        <wps:cNvSpPr/>
                        <wps:spPr>
                          <a:xfrm>
                            <a:off x="1393200" y="2724840"/>
                            <a:ext cx="209520" cy="253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wps:txbx>
                        <wps:bodyPr lIns="90000" rIns="90000" tIns="45000" bIns="45000">
                          <a:noAutofit/>
                        </wps:bodyPr>
                      </wps:wsp>
                    </wpg:wgp>
                  </a:graphicData>
                </a:graphic>
              </wp:anchor>
            </w:drawing>
          </mc:Choice>
          <mc:Fallback>
            <w:pict>
              <v:group id="shape_0" alt="Group 28" style="position:absolute;margin-left:81.25pt;margin-top:-27pt;width:227.65pt;height:234.5pt" coordorigin="1625,-540" coordsize="4553,4690">
                <v:oval id="shape_0" stroked="t" style="position:absolute;left:2337;top:173;width:3229;height:3228">
                  <w10:wrap type="none"/>
                  <v:fill o:detectmouseclick="t" on="false"/>
                  <v:stroke color="black" weight="9360" joinstyle="round" endcap="flat"/>
                </v:oval>
                <v:oval id="shape_0" stroked="t" style="position:absolute;left:2562;top:413;width:2768;height:2767">
                  <w10:wrap type="none"/>
                  <v:fill o:detectmouseclick="t" on="false"/>
                  <v:stroke color="black" weight="9360" joinstyle="round" endcap="flat"/>
                </v:oval>
                <v:rect id="shape_0" stroked="t" style="position:absolute;left:1910;top:-247;width:4035;height:4034">
                  <w10:wrap type="none"/>
                  <v:fill o:detectmouseclick="t" on="false"/>
                  <v:stroke color="black" weight="9360" joinstyle="round" endcap="flat"/>
                </v:rect>
                <v:rect id="shape_0" stroked="f" style="position:absolute;left:3789;top:1624;width:437;height:398">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asciiTheme="minorHAnsi" w:cstheme="minorBidi" w:eastAsiaTheme="minorHAnsi" w:hAnsiTheme="minorHAnsi" w:eastAsia="Calibri" w:ascii="Calibri" w:hAnsi="Calibri"/>
                            <w:color w:val="000000"/>
                          </w:rPr>
                          <w:t>F</w:t>
                        </w:r>
                      </w:p>
                    </w:txbxContent>
                  </v:textbox>
                  <w10:wrap type="square"/>
                  <v:fill o:detectmouseclick="t" on="false"/>
                  <v:stroke color="#3465a4" joinstyle="round" endcap="flat"/>
                </v:rect>
                <v:rect id="shape_0" stroked="f" style="position:absolute;left:4735;top:518;width:654;height:402">
                  <v:textbox>
                    <w:txbxContent>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eastAsia="Calibri" w:ascii="Calibri" w:hAnsi="Calibri"/>
                            <w:color w:val="000000"/>
                          </w:rPr>
                          <w:t>C</w:t>
                        </w:r>
                      </w:p>
                    </w:txbxContent>
                  </v:textbox>
                  <w10:wrap type="square"/>
                  <v:fill o:detectmouseclick="t" on="false"/>
                  <v:stroke color="#3465a4" joinstyle="round" endcap="flat"/>
                </v:rect>
                <v:rect id="shape_0" stroked="f" style="position:absolute;left:5376;top:-60;width:714;height:398">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asciiTheme="minorHAnsi" w:cstheme="minorBidi" w:eastAsiaTheme="minorHAnsi" w:hAnsiTheme="minorHAnsi" w:eastAsia="Calibri" w:ascii="Calibri" w:hAnsi="Calibri"/>
                            <w:color w:val="000000"/>
                          </w:rPr>
                          <w:t>M</w:t>
                        </w:r>
                      </w:p>
                    </w:txbxContent>
                  </v:textbox>
                  <w10:wrap type="square"/>
                  <v:fill o:detectmouseclick="t" on="false"/>
                  <v:stroke color="#3465a4" joinstyle="round" endcap="flat"/>
                </v:rect>
                <v:rect id="shape_0" stroked="f" style="position:absolute;left:1625;top:1369;width:328;height:398">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v:textbox>
                  <w10:wrap type="square"/>
                  <v:fill o:detectmouseclick="t" on="false"/>
                  <v:stroke color="#3465a4" joinstyle="round" endcap="flat"/>
                </v:rect>
                <v:rect id="shape_0" stroked="f" style="position:absolute;left:3751;top:-540;width:329;height:398">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v:textbox>
                  <w10:wrap type="square"/>
                  <v:fill o:detectmouseclick="t" on="false"/>
                  <v:stroke color="#3465a4" joinstyle="round" endcap="flat"/>
                </v:rect>
                <v:rect id="shape_0" stroked="f" style="position:absolute;left:5849;top:1377;width:328;height:398">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v:textbox>
                  <w10:wrap type="square"/>
                  <v:fill o:detectmouseclick="t" on="false"/>
                  <v:stroke color="#3465a4" joinstyle="round" endcap="flat"/>
                </v:rect>
                <v:rect id="shape_0" stroked="f" style="position:absolute;left:3819;top:3751;width:329;height:398">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v:textbox>
                  <w10:wrap type="square"/>
                  <v:fill o:detectmouseclick="t" on="false"/>
                  <v:stroke color="#3465a4" joinstyle="round" endcap="flat"/>
                </v:rect>
              </v:group>
            </w:pict>
          </mc:Fallback>
        </mc:AlternateContent>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mc:AlternateContent>
          <mc:Choice Requires="wps">
            <w:drawing>
              <wp:anchor behindDoc="0" distT="45720" distB="45720" distL="114300" distR="114300" simplePos="0" locked="0" layoutInCell="1" allowOverlap="1" relativeHeight="3" wp14:anchorId="37F688C4">
                <wp:simplePos x="0" y="0"/>
                <wp:positionH relativeFrom="column">
                  <wp:posOffset>4004310</wp:posOffset>
                </wp:positionH>
                <wp:positionV relativeFrom="paragraph">
                  <wp:posOffset>-34290</wp:posOffset>
                </wp:positionV>
                <wp:extent cx="1804035" cy="1421765"/>
                <wp:effectExtent l="0" t="0" r="27305" b="26670"/>
                <wp:wrapSquare wrapText="bothSides"/>
                <wp:docPr id="7" name="Text Box 2"/>
                <a:graphic xmlns:a="http://schemas.openxmlformats.org/drawingml/2006/main">
                  <a:graphicData uri="http://schemas.microsoft.com/office/word/2010/wordprocessingShape">
                    <wps:wsp>
                      <wps:cNvSpPr/>
                      <wps:spPr>
                        <a:xfrm>
                          <a:off x="0" y="0"/>
                          <a:ext cx="1803240" cy="1421280"/>
                        </a:xfrm>
                        <a:prstGeom prst="rect">
                          <a:avLst/>
                        </a:prstGeom>
                        <a:ln/>
                      </wps:spPr>
                      <wps:style>
                        <a:lnRef idx="2">
                          <a:schemeClr val="accent3"/>
                        </a:lnRef>
                        <a:fillRef idx="1">
                          <a:schemeClr val="lt1"/>
                        </a:fillRef>
                        <a:effectRef idx="0">
                          <a:schemeClr val="accent3"/>
                        </a:effectRef>
                        <a:fontRef idx="minor"/>
                      </wps:style>
                      <wps:txbx>
                        <w:txbxContent>
                          <w:p>
                            <w:pPr>
                              <w:pStyle w:val="FrameContents"/>
                              <w:rPr>
                                <w:sz w:val="18"/>
                              </w:rPr>
                            </w:pPr>
                            <w:r>
                              <w:rPr>
                                <w:color w:val="000000"/>
                                <w:sz w:val="18"/>
                              </w:rPr>
                              <w:t>F : Fuel</w:t>
                            </w:r>
                          </w:p>
                          <w:p>
                            <w:pPr>
                              <w:pStyle w:val="FrameContents"/>
                              <w:rPr>
                                <w:sz w:val="18"/>
                              </w:rPr>
                            </w:pPr>
                            <w:r>
                              <w:rPr>
                                <w:color w:val="000000"/>
                                <w:sz w:val="18"/>
                              </w:rPr>
                              <w:t>C : Cladding</w:t>
                            </w:r>
                          </w:p>
                          <w:p>
                            <w:pPr>
                              <w:pStyle w:val="FrameContents"/>
                              <w:rPr>
                                <w:sz w:val="18"/>
                              </w:rPr>
                            </w:pPr>
                            <w:r>
                              <w:rPr>
                                <w:color w:val="000000"/>
                                <w:sz w:val="18"/>
                              </w:rPr>
                              <w:t>M: Moderator</w:t>
                            </w:r>
                          </w:p>
                          <w:p>
                            <w:pPr>
                              <w:pStyle w:val="FrameContents"/>
                              <w:rPr>
                                <w:sz w:val="18"/>
                              </w:rPr>
                            </w:pPr>
                            <w:r>
                              <w:rPr>
                                <w:color w:val="000000"/>
                                <w:sz w:val="18"/>
                              </w:rPr>
                              <w:t>P : Periodic Boundary Condition</w:t>
                            </w:r>
                          </w:p>
                          <w:p>
                            <w:pPr>
                              <w:pStyle w:val="FrameContents"/>
                              <w:rPr>
                                <w:color w:val="000000"/>
                              </w:rPr>
                            </w:pPr>
                            <w:r>
                              <w:rPr>
                                <w:color w:val="000000"/>
                                <w:sz w:val="18"/>
                              </w:rPr>
                              <w:t>r</w:t>
                            </w:r>
                            <w:r>
                              <w:rPr>
                                <w:color w:val="000000"/>
                                <w:sz w:val="18"/>
                                <w:vertAlign w:val="subscript"/>
                              </w:rPr>
                              <w:t>fuel</w:t>
                            </w:r>
                            <w:r>
                              <w:rPr>
                                <w:color w:val="000000"/>
                                <w:sz w:val="18"/>
                              </w:rPr>
                              <w:t xml:space="preserve"> = 0.53 cm</w:t>
                            </w:r>
                          </w:p>
                          <w:p>
                            <w:pPr>
                              <w:pStyle w:val="FrameContents"/>
                              <w:rPr>
                                <w:color w:val="000000"/>
                              </w:rPr>
                            </w:pPr>
                            <w:r>
                              <w:rPr>
                                <w:color w:val="000000"/>
                                <w:sz w:val="18"/>
                              </w:rPr>
                              <w:t>r</w:t>
                            </w:r>
                            <w:r>
                              <w:rPr>
                                <w:color w:val="000000"/>
                                <w:sz w:val="18"/>
                                <w:vertAlign w:val="subscript"/>
                              </w:rPr>
                              <w:t>clad_inner</w:t>
                            </w:r>
                            <w:r>
                              <w:rPr>
                                <w:color w:val="000000"/>
                                <w:sz w:val="18"/>
                              </w:rPr>
                              <w:t xml:space="preserve"> = 0.53 cm</w:t>
                            </w:r>
                          </w:p>
                          <w:p>
                            <w:pPr>
                              <w:pStyle w:val="FrameContents"/>
                              <w:rPr>
                                <w:color w:val="000000"/>
                              </w:rPr>
                            </w:pPr>
                            <w:r>
                              <w:rPr>
                                <w:color w:val="000000"/>
                                <w:sz w:val="18"/>
                              </w:rPr>
                              <w:t>r</w:t>
                            </w:r>
                            <w:r>
                              <w:rPr>
                                <w:color w:val="000000"/>
                                <w:sz w:val="18"/>
                                <w:vertAlign w:val="subscript"/>
                              </w:rPr>
                              <w:t>clad_outer</w:t>
                            </w:r>
                            <w:r>
                              <w:rPr>
                                <w:color w:val="000000"/>
                                <w:sz w:val="18"/>
                              </w:rPr>
                              <w:t xml:space="preserve"> = 0.90 cm</w:t>
                            </w:r>
                          </w:p>
                          <w:p>
                            <w:pPr>
                              <w:pStyle w:val="FrameContents"/>
                              <w:rPr/>
                            </w:pPr>
                            <w:r>
                              <w:rPr>
                                <w:color w:val="000000"/>
                                <w:sz w:val="18"/>
                              </w:rPr>
                              <w:t>pitch = 1.8 cm</w:t>
                            </w:r>
                          </w:p>
                        </w:txbxContent>
                      </wps:txbx>
                      <wps:bodyPr>
                        <a:noAutofit/>
                      </wps:bodyPr>
                    </wps:wsp>
                  </a:graphicData>
                </a:graphic>
              </wp:anchor>
            </w:drawing>
          </mc:Choice>
          <mc:Fallback>
            <w:pict>
              <v:rect id="shape_0" ID="Text Box 2" fillcolor="white" stroked="t" style="position:absolute;margin-left:315.3pt;margin-top:-2.7pt;width:141.95pt;height:111.85pt" wp14:anchorId="37F688C4">
                <w10:wrap type="square"/>
                <v:fill o:detectmouseclick="t" type="solid" color2="black"/>
                <v:stroke color="#a5a5a5" weight="12600" joinstyle="miter" endcap="flat"/>
                <v:textbox>
                  <w:txbxContent>
                    <w:p>
                      <w:pPr>
                        <w:pStyle w:val="FrameContents"/>
                        <w:rPr>
                          <w:sz w:val="18"/>
                        </w:rPr>
                      </w:pPr>
                      <w:r>
                        <w:rPr>
                          <w:color w:val="000000"/>
                          <w:sz w:val="18"/>
                        </w:rPr>
                        <w:t>F : Fuel</w:t>
                      </w:r>
                    </w:p>
                    <w:p>
                      <w:pPr>
                        <w:pStyle w:val="FrameContents"/>
                        <w:rPr>
                          <w:sz w:val="18"/>
                        </w:rPr>
                      </w:pPr>
                      <w:r>
                        <w:rPr>
                          <w:color w:val="000000"/>
                          <w:sz w:val="18"/>
                        </w:rPr>
                        <w:t>C : Cladding</w:t>
                      </w:r>
                    </w:p>
                    <w:p>
                      <w:pPr>
                        <w:pStyle w:val="FrameContents"/>
                        <w:rPr>
                          <w:sz w:val="18"/>
                        </w:rPr>
                      </w:pPr>
                      <w:r>
                        <w:rPr>
                          <w:color w:val="000000"/>
                          <w:sz w:val="18"/>
                        </w:rPr>
                        <w:t>M: Moderator</w:t>
                      </w:r>
                    </w:p>
                    <w:p>
                      <w:pPr>
                        <w:pStyle w:val="FrameContents"/>
                        <w:rPr>
                          <w:sz w:val="18"/>
                        </w:rPr>
                      </w:pPr>
                      <w:r>
                        <w:rPr>
                          <w:color w:val="000000"/>
                          <w:sz w:val="18"/>
                        </w:rPr>
                        <w:t>P : Periodic Boundary Condition</w:t>
                      </w:r>
                    </w:p>
                    <w:p>
                      <w:pPr>
                        <w:pStyle w:val="FrameContents"/>
                        <w:rPr>
                          <w:color w:val="000000"/>
                        </w:rPr>
                      </w:pPr>
                      <w:r>
                        <w:rPr>
                          <w:color w:val="000000"/>
                          <w:sz w:val="18"/>
                        </w:rPr>
                        <w:t>r</w:t>
                      </w:r>
                      <w:r>
                        <w:rPr>
                          <w:color w:val="000000"/>
                          <w:sz w:val="18"/>
                          <w:vertAlign w:val="subscript"/>
                        </w:rPr>
                        <w:t>fuel</w:t>
                      </w:r>
                      <w:r>
                        <w:rPr>
                          <w:color w:val="000000"/>
                          <w:sz w:val="18"/>
                        </w:rPr>
                        <w:t xml:space="preserve"> = 0.53 cm</w:t>
                      </w:r>
                    </w:p>
                    <w:p>
                      <w:pPr>
                        <w:pStyle w:val="FrameContents"/>
                        <w:rPr>
                          <w:color w:val="000000"/>
                        </w:rPr>
                      </w:pPr>
                      <w:r>
                        <w:rPr>
                          <w:color w:val="000000"/>
                          <w:sz w:val="18"/>
                        </w:rPr>
                        <w:t>r</w:t>
                      </w:r>
                      <w:r>
                        <w:rPr>
                          <w:color w:val="000000"/>
                          <w:sz w:val="18"/>
                          <w:vertAlign w:val="subscript"/>
                        </w:rPr>
                        <w:t>clad_inner</w:t>
                      </w:r>
                      <w:r>
                        <w:rPr>
                          <w:color w:val="000000"/>
                          <w:sz w:val="18"/>
                        </w:rPr>
                        <w:t xml:space="preserve"> = 0.53 cm</w:t>
                      </w:r>
                    </w:p>
                    <w:p>
                      <w:pPr>
                        <w:pStyle w:val="FrameContents"/>
                        <w:rPr>
                          <w:color w:val="000000"/>
                        </w:rPr>
                      </w:pPr>
                      <w:r>
                        <w:rPr>
                          <w:color w:val="000000"/>
                          <w:sz w:val="18"/>
                        </w:rPr>
                        <w:t>r</w:t>
                      </w:r>
                      <w:r>
                        <w:rPr>
                          <w:color w:val="000000"/>
                          <w:sz w:val="18"/>
                          <w:vertAlign w:val="subscript"/>
                        </w:rPr>
                        <w:t>clad_outer</w:t>
                      </w:r>
                      <w:r>
                        <w:rPr>
                          <w:color w:val="000000"/>
                          <w:sz w:val="18"/>
                        </w:rPr>
                        <w:t xml:space="preserve"> = 0.90 cm</w:t>
                      </w:r>
                    </w:p>
                    <w:p>
                      <w:pPr>
                        <w:pStyle w:val="FrameContents"/>
                        <w:rPr/>
                      </w:pPr>
                      <w:r>
                        <w:rPr>
                          <w:color w:val="000000"/>
                          <w:sz w:val="18"/>
                        </w:rPr>
                        <w:t>pitch = 1.8 cm</w:t>
                      </w:r>
                    </w:p>
                  </w:txbxContent>
                </v:textbox>
              </v:rect>
            </w:pict>
          </mc:Fallback>
        </mc:AlternateContent>
      </w:r>
    </w:p>
    <w:p>
      <w:pPr>
        <w:pStyle w:val="Normal"/>
        <w:spacing w:lineRule="auto" w:line="276"/>
        <w:rPr>
          <w:b/>
          <w:b/>
        </w:rPr>
      </w:pPr>
      <w:r>
        <w:rPr>
          <w:b/>
        </w:rPr>
      </w:r>
    </w:p>
    <w:p>
      <w:pPr>
        <w:pStyle w:val="Normal"/>
        <w:spacing w:lineRule="auto" w:line="276"/>
        <w:rPr>
          <w:b/>
          <w:b/>
        </w:rPr>
      </w:pPr>
      <w:r>
        <w:rPr>
          <w:b/>
        </w:rPr>
      </w:r>
    </w:p>
    <w:p>
      <w:pPr>
        <w:pStyle w:val="Normal"/>
        <w:spacing w:lineRule="auto" w:line="276"/>
        <w:rPr>
          <w:b/>
          <w:b/>
        </w:rPr>
      </w:pPr>
      <w:r>
        <w:rPr>
          <w:b/>
        </w:rPr>
      </w:r>
    </w:p>
    <w:p>
      <w:pPr>
        <w:pStyle w:val="Normal"/>
        <w:spacing w:lineRule="auto" w:line="276"/>
        <w:rPr>
          <w:b/>
          <w:b/>
        </w:rPr>
      </w:pPr>
      <w:r>
        <w:rPr>
          <w:b/>
        </w:rPr>
      </w:r>
    </w:p>
    <w:p>
      <w:pPr>
        <w:pStyle w:val="Normal"/>
        <w:spacing w:lineRule="auto" w:line="276"/>
        <w:rPr>
          <w:b/>
          <w:b/>
        </w:rPr>
      </w:pPr>
      <w:r>
        <w:rPr>
          <w:b/>
        </w:rPr>
      </w:r>
    </w:p>
    <w:p>
      <w:pPr>
        <w:pStyle w:val="Default"/>
        <w:spacing w:lineRule="auto" w:line="360"/>
        <w:jc w:val="both"/>
        <w:rPr/>
      </w:pPr>
      <w:r>
        <w:rPr>
          <w:rFonts w:cs="Times New Roman" w:ascii="Times New Roman" w:hAnsi="Times New Roman" w:asciiTheme="majorBidi" w:cstheme="majorBidi" w:hAnsiTheme="majorBidi"/>
        </w:rPr>
        <w:t>Neutrons are initially distributed uniformly in the fuel region. The fissile content Uranium-dioxide (UO</w:t>
      </w:r>
      <w:r>
        <w:rPr>
          <w:rFonts w:cs="Times New Roman" w:ascii="Times New Roman" w:hAnsi="Times New Roman" w:asciiTheme="majorBidi" w:cstheme="majorBidi" w:hAnsiTheme="majorBidi"/>
          <w:vertAlign w:val="subscript"/>
        </w:rPr>
        <w:t>2</w:t>
      </w:r>
      <w:r>
        <w:rPr>
          <w:rFonts w:cs="Times New Roman" w:ascii="Times New Roman" w:hAnsi="Times New Roman" w:asciiTheme="majorBidi" w:cstheme="majorBidi" w:hAnsiTheme="majorBidi"/>
        </w:rPr>
        <w:t>) is defined as fuel, Aluminum (Al) is defined as cladding material, and water (H</w:t>
      </w:r>
      <w:r>
        <w:rPr>
          <w:rFonts w:cs="Times New Roman" w:ascii="Times New Roman" w:hAnsi="Times New Roman" w:asciiTheme="majorBidi" w:cstheme="majorBidi" w:hAnsiTheme="majorBidi"/>
          <w:vertAlign w:val="subscript"/>
        </w:rPr>
        <w:t>2</w:t>
      </w:r>
      <w:r>
        <w:rPr>
          <w:rFonts w:cs="Times New Roman" w:ascii="Times New Roman" w:hAnsi="Times New Roman" w:asciiTheme="majorBidi" w:cstheme="majorBidi" w:hAnsiTheme="majorBidi"/>
        </w:rPr>
        <w:t xml:space="preserve">O) as moderator. The energy dependent cross sections of these materials are used for calculations. The periodic boundary condition is applied to pincell boundaries, so neutrons are able to leave the system without doing any interaction and appear at the opposite boundary with same direction. The ultimate purpose of this calculation is to calculate effective multiplication factor (keff) for a specific number of neutrons. The Monte Carlo methods are used to simulate neutron movement and interactions. The initial locations, direction angles and the distance neutron can go before interaction are chosen by random numbers. </w:t>
      </w:r>
    </w:p>
    <w:p>
      <w:pPr>
        <w:pStyle w:val="Normal"/>
        <w:spacing w:lineRule="auto" w:line="360"/>
        <w:rPr>
          <w:rFonts w:ascii="Times New Roman" w:hAnsi="Times New Roman" w:cs="Times New Roman" w:asciiTheme="majorBidi" w:cstheme="majorBidi" w:hAnsiTheme="majorBidi"/>
          <w:b/>
          <w:b/>
        </w:rPr>
      </w:pPr>
      <w:r>
        <w:rPr>
          <w:rFonts w:cs="Times New Roman" w:cstheme="majorBidi" w:ascii="Times New Roman" w:hAnsi="Times New Roman"/>
          <w:b/>
        </w:rPr>
      </w:r>
    </w:p>
    <w:p>
      <w:pPr>
        <w:pStyle w:val="Normal"/>
        <w:spacing w:lineRule="auto" w:line="360"/>
        <w:rPr/>
      </w:pPr>
      <w:r>
        <w:rPr>
          <w:rFonts w:cs="Times New Roman" w:ascii="Times New Roman" w:hAnsi="Times New Roman" w:asciiTheme="majorBidi" w:cstheme="majorBidi" w:hAnsiTheme="majorBidi"/>
          <w:b/>
        </w:rPr>
        <w:t>Sampling Initial Neutron Locations</w:t>
      </w:r>
    </w:p>
    <w:p>
      <w:pPr>
        <w:pStyle w:val="Normal"/>
        <w:spacing w:lineRule="auto" w:line="360"/>
        <w:rPr/>
      </w:pPr>
      <w:r>
        <w:rPr>
          <w:rFonts w:cs="Times New Roman" w:ascii="Times New Roman" w:hAnsi="Times New Roman" w:asciiTheme="majorBidi" w:cstheme="majorBidi" w:hAnsiTheme="majorBidi"/>
        </w:rPr>
        <w:t>The initial neutron locations are chosen by using random numbers(</w:t>
      </w:r>
      <w:r>
        <w:rPr/>
      </w:r>
      <m:oMath xmlns:m="http://schemas.openxmlformats.org/officeDocument/2006/math">
        <m:r>
          <w:rPr>
            <w:rFonts w:ascii="Cambria Math" w:hAnsi="Cambria Math"/>
          </w:rPr>
          <m:t xml:space="preserve">ξ</m:t>
        </m:r>
      </m:oMath>
      <w:r>
        <w:rPr>
          <w:rFonts w:cs="Times New Roman" w:ascii="Times New Roman" w:hAnsi="Times New Roman" w:asciiTheme="majorBidi" w:cstheme="majorBidi" w:hAnsiTheme="majorBidi"/>
        </w:rPr>
        <w:t xml:space="preserve">) are between 0 and 1. </w:t>
      </w:r>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 find angular position, theta(</w:t>
      </w:r>
      <w:r>
        <w:rPr/>
      </w:r>
      <m:oMath xmlns:m="http://schemas.openxmlformats.org/officeDocument/2006/math">
        <m:r>
          <w:rPr>
            <w:rFonts w:ascii="Cambria Math" w:hAnsi="Cambria Math"/>
          </w:rPr>
          <m:t xml:space="preserve">θ</m:t>
        </m:r>
      </m:oMath>
      <w:r>
        <w:rPr>
          <w:rFonts w:cs="Times New Roman" w:ascii="Times New Roman" w:hAnsi="Times New Roman" w:asciiTheme="majorBidi" w:cstheme="majorBidi" w:hAnsiTheme="majorBidi"/>
        </w:rPr>
        <w:t xml:space="preserve">) is sampled uniformly over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spacing w:lineRule="auto" w:line="360"/>
        <w:rPr/>
      </w:pP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πξ</m:t>
        </m:r>
      </m:oMath>
    </w:p>
    <w:p>
      <w:pPr>
        <w:pStyle w:val="Normal"/>
        <w:spacing w:lineRule="auto" w:line="360"/>
        <w:jc w:val="both"/>
        <w:rPr/>
      </w:pPr>
      <w:r>
        <w:rPr>
          <w:rFonts w:cs="Times New Roman" w:ascii="Times New Roman" w:hAnsi="Times New Roman" w:asciiTheme="majorBidi" w:cstheme="majorBidi" w:hAnsiTheme="majorBidi"/>
        </w:rPr>
        <w:t>To find radial position, r is sampled over r</w:t>
      </w:r>
      <w:r>
        <w:rPr>
          <w:rFonts w:cs="Times New Roman" w:ascii="Times New Roman" w:hAnsi="Times New Roman" w:asciiTheme="majorBidi" w:cstheme="majorBidi" w:hAnsiTheme="majorBidi"/>
          <w:vertAlign w:val="subscript"/>
        </w:rPr>
        <w:t>fuel</w:t>
      </w:r>
      <w:r>
        <w:rPr>
          <w:rFonts w:cs="Times New Roman" w:ascii="Times New Roman" w:hAnsi="Times New Roman" w:asciiTheme="majorBidi" w:cstheme="majorBidi" w:hAnsiTheme="majorBidi"/>
        </w:rPr>
        <w:t xml:space="preserve"> by considering powerlaw distribution because of radial effect.</w:t>
      </w:r>
    </w:p>
    <w:p>
      <w:pPr>
        <w:pStyle w:val="Normal"/>
        <w:spacing w:lineRule="auto" w:line="360"/>
        <w:rPr>
          <w:rFonts w:ascii="Times New Roman" w:hAnsi="Times New Roman" w:cs="Times New Roman" w:asciiTheme="majorBidi" w:cstheme="majorBidi" w:hAnsiTheme="majorBidi"/>
          <w:b/>
          <w:b/>
        </w:rPr>
      </w:pP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fuel</m:t>
            </m:r>
          </m:sub>
        </m:sSub>
        <m:sSub>
          <m:e>
            <m:r>
              <w:rPr>
                <w:rFonts w:ascii="Cambria Math" w:hAnsi="Cambria Math"/>
              </w:rPr>
              <m:t xml:space="preserve">ξ</m:t>
            </m:r>
          </m:e>
          <m:sub>
            <m:r>
              <w:rPr>
                <w:rFonts w:ascii="Cambria Math" w:hAnsi="Cambria Math"/>
              </w:rPr>
              <m:t xml:space="preserve">powerlaw</m:t>
            </m:r>
          </m:sub>
        </m:sSub>
      </m:oMath>
    </w:p>
    <w:p>
      <w:pPr>
        <w:pStyle w:val="Normal"/>
        <w:spacing w:lineRule="auto" w:line="360"/>
        <w:rPr>
          <w:rFonts w:ascii="Times New Roman" w:hAnsi="Times New Roman" w:cs="Times New Roman" w:asciiTheme="majorBidi" w:cstheme="majorBidi" w:hAnsiTheme="majorBidi"/>
          <w:b/>
          <w:b/>
        </w:rPr>
      </w:pPr>
      <w:r>
        <w:rPr>
          <w:rFonts w:cs="Times New Roman" w:cstheme="majorBidi" w:ascii="Times New Roman" w:hAnsi="Times New Roman"/>
          <w:b/>
        </w:rPr>
      </w:r>
    </w:p>
    <w:p>
      <w:pPr>
        <w:pStyle w:val="Normal"/>
        <w:spacing w:lineRule="auto" w:line="360"/>
        <w:rPr/>
      </w:pPr>
      <w:r>
        <w:rPr>
          <w:rFonts w:cs="Times New Roman" w:ascii="Times New Roman" w:hAnsi="Times New Roman" w:asciiTheme="majorBidi" w:cstheme="majorBidi" w:hAnsiTheme="majorBidi"/>
          <w:b/>
        </w:rPr>
        <w:t>Sampling Neutron Direction and Interaction Distance</w:t>
      </w:r>
    </w:p>
    <w:p>
      <w:pPr>
        <w:pStyle w:val="Normal"/>
        <w:spacing w:lineRule="auto" w:line="360"/>
        <w:jc w:val="both"/>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direction angle theta (θ) is sampled uniformly over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DengXian" w:cs="Times New Roman" w:ascii="Times New Roman" w:hAnsi="Times New Roman" w:asciiTheme="majorBidi" w:cstheme="majorBidi" w:eastAsiaTheme="minorEastAsia" w:hAnsiTheme="majorBidi"/>
        </w:rPr>
        <w:t>. The distance neutron can go before interaction is related to mean free path of a neutron. To sample it correctly, we need to find cumulative distribution function (cdf) from its probability distribution function (pdf) as below,</w:t>
      </w:r>
    </w:p>
    <w:p>
      <w:pPr>
        <w:pStyle w:val="Normal"/>
        <w:spacing w:lineRule="auto" w:line="360"/>
        <w:jc w:val="both"/>
        <w:rPr/>
      </w:pPr>
      <w:r>
        <w:rPr>
          <w:rFonts w:cs="Times New Roman" w:ascii="Times New Roman" w:hAnsi="Times New Roman" w:asciiTheme="majorBidi" w:cstheme="majorBidi" w:hAnsiTheme="majorBidi"/>
        </w:rPr>
        <w:t xml:space="preserve">The probability distribution function of a neutron can be found by using its survival probability. </w:t>
      </w:r>
    </w:p>
    <w:p>
      <w:pPr>
        <w:pStyle w:val="Normal"/>
        <w:spacing w:lineRule="auto" w:line="360"/>
        <w:jc w:val="center"/>
        <w:rPr/>
      </w:pPr>
      <w:r>
        <mc:AlternateContent>
          <mc:Choice Requires="wpg">
            <w:drawing>
              <wp:anchor behindDoc="0" distT="0" distB="0" distL="114300" distR="114300" simplePos="0" locked="0" layoutInCell="1" allowOverlap="1" relativeHeight="4" wp14:anchorId="63E357EF">
                <wp:simplePos x="0" y="0"/>
                <wp:positionH relativeFrom="margin">
                  <wp:posOffset>1915795</wp:posOffset>
                </wp:positionH>
                <wp:positionV relativeFrom="paragraph">
                  <wp:posOffset>635</wp:posOffset>
                </wp:positionV>
                <wp:extent cx="2435225" cy="1118870"/>
                <wp:effectExtent l="0" t="0" r="0" b="27305"/>
                <wp:wrapTopAndBottom/>
                <wp:docPr id="9" name="Group 46"/>
                <a:graphic xmlns:a="http://schemas.openxmlformats.org/drawingml/2006/main">
                  <a:graphicData uri="http://schemas.microsoft.com/office/word/2010/wordprocessingGroup">
                    <wpg:wgp>
                      <wpg:cNvGrpSpPr/>
                      <wpg:grpSpPr>
                        <a:xfrm>
                          <a:off x="0" y="0"/>
                          <a:ext cx="2434680" cy="1118160"/>
                        </a:xfrm>
                      </wpg:grpSpPr>
                      <wps:wsp>
                        <wps:cNvSpPr/>
                        <wps:spPr>
                          <a:xfrm>
                            <a:off x="582840" y="0"/>
                            <a:ext cx="678960" cy="1118160"/>
                          </a:xfrm>
                          <a:prstGeom prst="rect">
                            <a:avLst/>
                          </a:prstGeom>
                          <a:noFill/>
                          <a:ln w="9360">
                            <a:solidFill>
                              <a:schemeClr val="dk1"/>
                            </a:solidFill>
                            <a:round/>
                          </a:ln>
                        </wps:spPr>
                        <wps:style>
                          <a:lnRef idx="0"/>
                          <a:fillRef idx="0"/>
                          <a:effectRef idx="0"/>
                          <a:fontRef idx="minor"/>
                        </wps:style>
                        <wps:bodyPr/>
                      </wps:wsp>
                      <wps:wsp>
                        <wps:cNvSpPr/>
                        <wps:spPr>
                          <a:xfrm>
                            <a:off x="0" y="563760"/>
                            <a:ext cx="48816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wps:wsp>
                        <wps:cNvSpPr/>
                        <wps:spPr>
                          <a:xfrm>
                            <a:off x="1337400" y="568800"/>
                            <a:ext cx="49068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wps:wsp>
                        <wps:cNvSpPr/>
                        <wps:spPr>
                          <a:xfrm>
                            <a:off x="77400" y="318240"/>
                            <a:ext cx="237600" cy="340200"/>
                          </a:xfrm>
                          <a:prstGeom prst="rect">
                            <a:avLst/>
                          </a:prstGeom>
                          <a:noFill/>
                          <a:ln>
                            <a:noFill/>
                          </a:ln>
                        </wps:spPr>
                        <wps:style>
                          <a:lnRef idx="0"/>
                          <a:fillRef idx="0"/>
                          <a:effectRef idx="0"/>
                          <a:fontRef idx="minor"/>
                        </wps:style>
                        <wps:bodyPr/>
                      </wps:wsp>
                      <wps:wsp>
                        <wps:cNvSpPr/>
                        <wps:spPr>
                          <a:xfrm>
                            <a:off x="1134000" y="290880"/>
                            <a:ext cx="1300320" cy="340200"/>
                          </a:xfrm>
                          <a:prstGeom prst="rect">
                            <a:avLst/>
                          </a:prstGeom>
                          <a:noFill/>
                          <a:ln>
                            <a:noFill/>
                          </a:ln>
                        </wps:spPr>
                        <wps:style>
                          <a:lnRef idx="0"/>
                          <a:fillRef idx="0"/>
                          <a:effectRef idx="0"/>
                          <a:fontRef idx="minor"/>
                        </wps:style>
                        <wps:bodyPr/>
                      </wps:wsp>
                    </wpg:wgp>
                  </a:graphicData>
                </a:graphic>
              </wp:anchor>
            </w:drawing>
          </mc:Choice>
          <mc:Fallback>
            <w:pict>
              <v:group id="shape_0" alt="Group 46" style="position:absolute;margin-left:150.85pt;margin-top:0.05pt;width:191.7pt;height:88.05pt" coordorigin="3017,1" coordsize="3834,1761">
                <v:rect id="shape_0" stroked="t" style="position:absolute;left:3935;top:1;width:1068;height:1760;mso-position-horizontal-relative:margin">
                  <w10:wrap type="none"/>
                  <v:fill o:detectmouseclick="t" on="false"/>
                  <v:stroke color="black" weight="9360" joinstyle="round" endcap="flat"/>
                </v:rect>
                <v:rect id="shape_0" stroked="f" style="position:absolute;left:3139;top:502;width:373;height:535;mso-position-horizontal-relative:margin">
                  <w10:wrap type="none"/>
                  <v:fill o:detectmouseclick="t" on="false"/>
                  <v:stroke color="#3465a4" joinstyle="round" endcap="flat"/>
                </v:rect>
                <v:rect id="shape_0" stroked="f" style="position:absolute;left:4803;top:459;width:2047;height:535;mso-position-horizontal-relative:margin">
                  <w10:wrap type="none"/>
                  <v:fill o:detectmouseclick="t" on="false"/>
                  <v:stroke color="#3465a4" joinstyle="round" endcap="flat"/>
                </v:rect>
              </v:group>
            </w:pict>
          </mc:Fallback>
        </mc:AlternateContent>
      </w:r>
      <w:r>
        <w:rPr>
          <w:rFonts w:cs="Times New Roman" w:ascii="Times New Roman" w:hAnsi="Times New Roman" w:asciiTheme="majorBidi" w:cstheme="majorBidi" w:hAnsiTheme="majorBidi"/>
        </w:rPr>
        <w:t>Neutron Interaction</w:t>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survival probability, which is the probability for not being interacted in distance x, is </w:t>
      </w:r>
      <w:r>
        <w:rPr/>
      </w:r>
      <m:oMath xmlns:m="http://schemas.openxmlformats.org/officeDocument/2006/math">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r>
        <w:rPr>
          <w:rFonts w:eastAsia="DengXian" w:cs="Times New Roman" w:ascii="Times New Roman" w:hAnsi="Times New Roman" w:asciiTheme="majorBidi" w:cstheme="majorBidi" w:eastAsiaTheme="minorEastAsia" w:hAnsiTheme="majorBidi"/>
        </w:rPr>
        <w:t xml:space="preserve">. Then the interaction probability in distance x becomes  </w:t>
      </w:r>
      <w:r>
        <w:rPr/>
      </w:r>
      <m:oMath xmlns:m="http://schemas.openxmlformats.org/officeDocument/2006/math">
        <m:sSub>
          <m:e>
            <m:r>
              <w:rPr>
                <w:rFonts w:ascii="Cambria Math" w:hAnsi="Cambria Math"/>
              </w:rPr>
              <m:t xml:space="preserve">Σ</m:t>
            </m:r>
          </m:e>
          <m:sub>
            <m:r>
              <w:rPr>
                <w:rFonts w:ascii="Cambria Math" w:hAnsi="Cambria Math"/>
              </w:rPr>
              <m:t xml:space="preserve">t</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Fonts w:eastAsia="DengXian" w:cs="Times New Roman" w:ascii="Times New Roman" w:hAnsi="Times New Roman" w:asciiTheme="majorBidi" w:cstheme="majorBidi" w:eastAsiaTheme="minorEastAsia" w:hAnsiTheme="majorBidi"/>
        </w:rPr>
        <w:t xml:space="preserve">The probability distribution function(pdf) is </w:t>
      </w:r>
      <w:r>
        <w:rPr/>
      </w:r>
      <m:oMath xmlns:m="http://schemas.openxmlformats.org/officeDocument/2006/math">
        <m:r>
          <w:rPr>
            <w:rFonts w:ascii="Cambria Math" w:hAnsi="Cambria Math"/>
          </w:rPr>
          <m:t xml:space="preserve">pdf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Then the</w:t>
      </w:r>
      <w:r>
        <w:rPr>
          <w:rFonts w:cs="Times New Roman" w:ascii="Times New Roman" w:hAnsi="Times New Roman" w:asciiTheme="majorBidi" w:cstheme="majorBidi" w:hAnsiTheme="majorBidi"/>
          <w:b/>
        </w:rPr>
        <w:t xml:space="preserve"> </w:t>
      </w:r>
      <w:r>
        <w:rPr>
          <w:rFonts w:eastAsia="DengXian" w:cs="Times New Roman" w:ascii="Times New Roman" w:hAnsi="Times New Roman" w:asciiTheme="majorBidi" w:cstheme="majorBidi" w:eastAsiaTheme="minorEastAsia" w:hAnsiTheme="majorBidi"/>
        </w:rPr>
        <w:t>cumulative distribution function(cdf) is calculated by integration pdf between 0 and x</w:t>
      </w:r>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b/>
        </w:rPr>
        <w:t xml:space="preserve"> </w:t>
      </w:r>
      <w:r>
        <w:rPr/>
      </w:r>
      <m:oMath xmlns:m="http://schemas.openxmlformats.org/officeDocument/2006/math">
        <m:r>
          <w:rPr>
            <w:rFonts w:ascii="Cambria Math" w:hAnsi="Cambria Math"/>
          </w:rPr>
          <m:t xml:space="preserve">cdf</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sSub>
              <m:e>
                <m:r>
                  <w:rPr>
                    <w:rFonts w:ascii="Cambria Math" w:hAnsi="Cambria Math"/>
                  </w:rPr>
                  <m:t xml:space="preserve">Σ</m:t>
                </m:r>
              </m:e>
              <m:sub>
                <m:r>
                  <w:rPr>
                    <w:rFonts w:ascii="Cambria Math" w:hAnsi="Cambria Math"/>
                  </w:rPr>
                  <m:t xml:space="preserve">t</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sSup>
                  <m:e>
                    <m:r>
                      <w:rPr>
                        <w:rFonts w:ascii="Cambria Math" w:hAnsi="Cambria Math"/>
                      </w:rPr>
                      <m:t xml:space="preserve">x</m:t>
                    </m:r>
                  </m:e>
                  <m:sup>
                    <m:r>
                      <w:rPr>
                        <w:rFonts w:ascii="Cambria Math" w:hAnsi="Cambria Math"/>
                      </w:rPr>
                      <m:t xml:space="preserve">'</m:t>
                    </m:r>
                  </m:sup>
                </m:sSup>
              </m:sup>
            </m:sSup>
            <m:r>
              <w:rPr>
                <w:rFonts w:ascii="Cambria Math" w:hAnsi="Cambria Math"/>
              </w:rPr>
              <m:t xml:space="preserve">d</m:t>
            </m:r>
            <m:sSup>
              <m:e>
                <m:r>
                  <w:rPr>
                    <w:rFonts w:ascii="Cambria Math" w:hAnsi="Cambria Math"/>
                  </w:rPr>
                  <m:t xml:space="preserve">x</m:t>
                </m:r>
              </m:e>
              <m:sup>
                <m:r>
                  <w:rPr>
                    <w:rFonts w:ascii="Cambria Math" w:hAnsi="Cambria Math"/>
                  </w:rPr>
                  <m:t xml:space="preserve">'</m:t>
                </m:r>
              </m:sup>
            </m:sSup>
          </m:e>
        </m:nary>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Cdf is the distribution function to be used for random numbers to sample interaction length d</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cdf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ξ</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Fonts w:eastAsia="DengXian" w:cs="Times New Roman" w:ascii="Times New Roman" w:hAnsi="Times New Roman" w:asciiTheme="majorBidi" w:cstheme="majorBidi" w:eastAsiaTheme="minorEastAsia" w:hAnsiTheme="majorBidi"/>
        </w:rPr>
        <w:t>Then, the interaction length is sampled by following equation</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1</m:t>
            </m:r>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ln</m:t>
        </m:r>
        <m:d>
          <m:dPr>
            <m:begChr m:val="("/>
            <m:endChr m:val=")"/>
          </m:dPr>
          <m:e>
            <m:r>
              <w:rPr>
                <w:rFonts w:ascii="Cambria Math" w:hAnsi="Cambria Math"/>
              </w:rPr>
              <m:t xml:space="preserve">ξ</m:t>
            </m:r>
          </m:e>
        </m:d>
      </m:oMath>
    </w:p>
    <w:p>
      <w:pPr>
        <w:pStyle w:val="Normal"/>
        <w:spacing w:lineRule="auto" w:line="360"/>
        <w:rPr>
          <w:rFonts w:ascii="Times New Roman" w:hAnsi="Times New Roman" w:cs="Times New Roman" w:asciiTheme="majorBidi" w:cstheme="majorBidi" w:hAnsiTheme="majorBidi"/>
          <w:b/>
          <w:b/>
        </w:rPr>
      </w:pPr>
      <w:r>
        <w:rPr>
          <w:rFonts w:cs="Times New Roman" w:cstheme="majorBidi" w:ascii="Times New Roman" w:hAnsi="Times New Roman"/>
          <w:b/>
        </w:rPr>
      </w:r>
    </w:p>
    <w:p>
      <w:pPr>
        <w:pStyle w:val="Normal"/>
        <w:spacing w:lineRule="auto" w:line="360"/>
        <w:rPr/>
      </w:pPr>
      <w:r>
        <w:rPr>
          <w:rFonts w:cs="Times New Roman" w:ascii="Times New Roman" w:hAnsi="Times New Roman" w:asciiTheme="majorBidi" w:cstheme="majorBidi" w:hAnsiTheme="majorBidi"/>
          <w:b/>
        </w:rPr>
        <w:t>Checking Region Change</w:t>
      </w:r>
    </w:p>
    <w:p>
      <w:pPr>
        <w:pStyle w:val="Normal"/>
        <w:spacing w:lineRule="auto" w:line="360"/>
        <w:jc w:val="both"/>
        <w:rPr/>
      </w:pPr>
      <w:r>
        <w:rPr>
          <w:rFonts w:cs="Times New Roman" w:ascii="Times New Roman" w:hAnsi="Times New Roman" w:asciiTheme="majorBidi" w:cstheme="majorBidi" w:hAnsiTheme="majorBidi"/>
        </w:rPr>
        <w:t xml:space="preserve">The code stores each neutron position even if it is not interacted, which makes it easy to check whether neutron leaving a region and entering another one. The easiest way to check region change is calculating all distances in neutron direction to all boundaries,and then compare it with the interaction length. If the interaction length is bigger than the closest distance, then the neutron will be moved without being interacted to that surface which has the closest distance. </w:t>
      </w:r>
    </w:p>
    <w:p>
      <w:pPr>
        <w:pStyle w:val="Normal"/>
        <w:spacing w:lineRule="auto" w:line="360"/>
        <w:jc w:val="center"/>
        <w:rPr>
          <w:rFonts w:ascii="Times New Roman" w:hAnsi="Times New Roman" w:cs="Times New Roman" w:asciiTheme="majorBidi" w:cstheme="majorBidi" w:hAnsiTheme="majorBidi"/>
          <w:b/>
          <w:b/>
        </w:rPr>
      </w:pPr>
      <w:r>
        <w:rPr/>
        <w:drawing>
          <wp:inline distT="0" distB="0" distL="0" distR="0">
            <wp:extent cx="4823460" cy="1748155"/>
            <wp:effectExtent l="0" t="0" r="0" b="0"/>
            <wp:docPr id="10"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7" descr=""/>
                    <pic:cNvPicPr>
                      <a:picLocks noChangeAspect="1" noChangeArrowheads="1"/>
                    </pic:cNvPicPr>
                  </pic:nvPicPr>
                  <pic:blipFill>
                    <a:blip r:embed="rId7"/>
                    <a:srcRect l="0" t="4832" r="0" b="6072"/>
                    <a:stretch>
                      <a:fillRect/>
                    </a:stretch>
                  </pic:blipFill>
                  <pic:spPr bwMode="auto">
                    <a:xfrm>
                      <a:off x="0" y="0"/>
                      <a:ext cx="4823460" cy="1748155"/>
                    </a:xfrm>
                    <a:prstGeom prst="rect">
                      <a:avLst/>
                    </a:prstGeom>
                  </pic:spPr>
                </pic:pic>
              </a:graphicData>
            </a:graphic>
          </wp:inline>
        </w:drawing>
      </w:r>
    </w:p>
    <w:p>
      <w:pPr>
        <w:pStyle w:val="Normal"/>
        <w:spacing w:lineRule="auto" w:line="360"/>
        <w:jc w:val="center"/>
        <w:rPr/>
      </w:pPr>
      <w:r>
        <w:rPr>
          <w:rFonts w:cs="Times New Roman" w:ascii="Times New Roman" w:hAnsi="Times New Roman" w:asciiTheme="majorBidi" w:cstheme="majorBidi" w:hAnsiTheme="majorBidi"/>
        </w:rPr>
        <w:t>Distances to the boundaries</w:t>
      </w:r>
    </w:p>
    <w:p>
      <w:pPr>
        <w:pStyle w:val="Normal"/>
        <w:spacing w:lineRule="auto" w:line="360"/>
        <w:jc w:val="both"/>
        <w:rPr/>
      </w:pPr>
      <w:r>
        <w:rPr>
          <w:rFonts w:cs="Times New Roman" w:ascii="Times New Roman" w:hAnsi="Times New Roman" w:asciiTheme="majorBidi" w:cstheme="majorBidi" w:hAnsiTheme="majorBidi"/>
        </w:rPr>
        <w:t>As can be seen in the above figure, there are 8 different distance value for 8 different intersection. These distances are calculated line equations for circles and boundaries. According to neutron direction, d</w:t>
      </w:r>
      <w:r>
        <w:rPr>
          <w:rFonts w:cs="Times New Roman" w:ascii="Times New Roman" w:hAnsi="Times New Roman" w:asciiTheme="majorBidi" w:cstheme="majorBidi" w:hAnsiTheme="majorBidi"/>
          <w:vertAlign w:val="subscript"/>
        </w:rPr>
        <w:t>1</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3</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5</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7</w:t>
      </w:r>
      <w:r>
        <w:rPr>
          <w:rFonts w:cs="Times New Roman" w:ascii="Times New Roman" w:hAnsi="Times New Roman" w:asciiTheme="majorBidi" w:cstheme="majorBidi" w:hAnsiTheme="majorBidi"/>
        </w:rPr>
        <w:t xml:space="preserve"> are forward distances and has positive sign. On the other hand d</w:t>
      </w:r>
      <w:r>
        <w:rPr>
          <w:rFonts w:cs="Times New Roman" w:ascii="Times New Roman" w:hAnsi="Times New Roman" w:asciiTheme="majorBidi" w:cstheme="majorBidi" w:hAnsiTheme="majorBidi"/>
          <w:vertAlign w:val="subscript"/>
        </w:rPr>
        <w:t>2</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4</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5</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6</w:t>
      </w:r>
      <w:r>
        <w:rPr>
          <w:rFonts w:cs="Times New Roman" w:ascii="Times New Roman" w:hAnsi="Times New Roman" w:asciiTheme="majorBidi" w:cstheme="majorBidi" w:hAnsiTheme="majorBidi"/>
        </w:rPr>
        <w:t xml:space="preserve"> are backward distances and has negative sign. Among these distance values, the smallest and positive one will be picked and compared to interaction length d to decide neutron is leaving the region or not. </w:t>
      </w:r>
      <w:r>
        <w:rPr>
          <w:rFonts w:eastAsia="DengXian" w:cs="Times New Roman" w:ascii="Times New Roman" w:hAnsi="Times New Roman" w:asciiTheme="majorBidi" w:cstheme="majorBidi" w:eastAsiaTheme="minorEastAsia" w:hAnsiTheme="majorBidi"/>
        </w:rPr>
        <w:t xml:space="preserve">It can be assumed that neutrons are traveling in a line with direction angle </w:t>
      </w:r>
      <w:r>
        <w:rPr/>
      </w:r>
      <m:oMath xmlns:m="http://schemas.openxmlformats.org/officeDocument/2006/math">
        <m:r>
          <w:rPr>
            <w:rFonts w:ascii="Cambria Math" w:hAnsi="Cambria Math"/>
          </w:rPr>
          <m:t xml:space="preserve">θ</m:t>
        </m:r>
      </m:oMath>
      <w:r>
        <w:rPr>
          <w:rFonts w:eastAsia="DengXian" w:cs="Times New Roman" w:ascii="Times New Roman" w:hAnsi="Times New Roman" w:asciiTheme="majorBidi" w:cstheme="majorBidi" w:eastAsiaTheme="minorEastAsia" w:hAnsiTheme="majorBidi"/>
        </w:rPr>
        <w:t>, then the d</w:t>
      </w:r>
      <w:r>
        <w:rPr>
          <w:rFonts w:cs="Times New Roman" w:ascii="Times New Roman" w:hAnsi="Times New Roman" w:asciiTheme="majorBidi" w:cstheme="majorBidi" w:hAnsiTheme="majorBidi"/>
        </w:rPr>
        <w:t>istance values are calculated by using following equations.</w:t>
      </w:r>
    </w:p>
    <w:p>
      <w:pPr>
        <w:pStyle w:val="Normal"/>
        <w:spacing w:lineRule="auto" w:line="360"/>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rPr/>
      </w:pPr>
      <w:r>
        <w:rPr>
          <w:rFonts w:eastAsia="DengXian" w:cs="Times New Roman" w:ascii="Times New Roman" w:hAnsi="Times New Roman" w:asciiTheme="majorBidi" w:cstheme="majorBidi" w:eastAsiaTheme="minorEastAsia" w:hAnsiTheme="majorBidi"/>
        </w:rPr>
        <w:t>For circle surface, the intersection points can be calculated geometrically,</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cos</m:t>
        </m:r>
        <m:r>
          <w:rPr>
            <w:rFonts w:ascii="Cambria Math" w:hAnsi="Cambria Math"/>
          </w:rPr>
          <m:t xml:space="preserve">θ</m:t>
        </m:r>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sin</m:t>
        </m:r>
        <m:r>
          <w:rPr>
            <w:rFonts w:ascii="Cambria Math" w:hAnsi="Cambria Math"/>
          </w:rPr>
          <m:t xml:space="preserve">θ</m:t>
        </m:r>
      </m:oMath>
    </w:p>
    <w:p>
      <w:pPr>
        <w:pStyle w:val="Normal"/>
        <w:spacing w:lineRule="auto" w:line="360"/>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cos</m:t>
                </m:r>
                <m:r>
                  <w:rPr>
                    <w:rFonts w:ascii="Cambria Math" w:hAnsi="Cambria Math"/>
                  </w:rPr>
                  <m:t xml:space="preserve">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sin</m:t>
                </m:r>
                <m:r>
                  <w:rPr>
                    <w:rFonts w:ascii="Cambria Math" w:hAnsi="Cambria Math"/>
                  </w:rPr>
                  <m:t xml:space="preserve">θ</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xd</m:t>
        </m:r>
        <m:r>
          <w:rPr>
            <w:rFonts w:ascii="Cambria Math" w:hAnsi="Cambria Math"/>
          </w:rPr>
          <m:t xml:space="preserve">cos</m:t>
        </m:r>
        <m:r>
          <w:rPr>
            <w:rFonts w:ascii="Cambria Math" w:hAnsi="Cambria Math"/>
          </w:rPr>
          <m:t xml:space="preserve">θ</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yd</m:t>
        </m:r>
        <m:r>
          <w:rPr>
            <w:rFonts w:ascii="Cambria Math" w:hAnsi="Cambria Math"/>
          </w:rPr>
          <m:t xml:space="preserve">sin</m:t>
        </m:r>
        <m:r>
          <w:rPr>
            <w:rFonts w:ascii="Cambria Math" w:hAnsi="Cambria Math"/>
          </w:rPr>
          <m:t xml:space="preserve">θ</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d>
              <m:dPr>
                <m:begChr m:val="("/>
                <m:sepChr m:val="|"/>
                <m:endChr m:val=")"/>
              </m:dPr>
              <m:e>
                <m:r>
                  <w:rPr>
                    <w:rFonts w:ascii="Cambria Math" w:hAnsi="Cambria Math"/>
                  </w:rPr>
                  <m:t xml:space="preserve">sin</m:t>
                </m:r>
              </m:e>
              <m:e>
                <m:r>
                  <w:rPr>
                    <w:rFonts w:ascii="Cambria Math" w:hAnsi="Cambria Math"/>
                  </w:rPr>
                  <m:t xml:space="preserve">2</m:t>
                </m:r>
                <m:r>
                  <w:rPr>
                    <w:rFonts w:ascii="Cambria Math" w:hAnsi="Cambria Math"/>
                  </w:rPr>
                  <m:t xml:space="preserve">θ</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e>
            </m:d>
            <m:r>
              <w:rPr>
                <w:rFonts w:ascii="Cambria Math" w:hAnsi="Cambria Math"/>
              </w:rPr>
              <m:t xml:space="preserve">d</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sin</m:t>
            </m:r>
            <m:r>
              <w:rPr>
                <w:rFonts w:ascii="Cambria Math" w:hAnsi="Cambria Math"/>
              </w:rPr>
              <m:t xml:space="preserve">θ</m:t>
            </m:r>
          </m:e>
        </m:d>
        <m:r>
          <w:rPr>
            <w:rFonts w:ascii="Cambria Math" w:hAnsi="Cambria Math"/>
          </w:rPr>
          <m:t xml:space="preserve">d</m:t>
        </m:r>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r>
          <w:rPr>
            <w:rFonts w:ascii="Cambria Math" w:hAnsi="Cambria Math"/>
          </w:rPr>
          <m:t xml:space="preserve">=</m:t>
        </m:r>
        <m:r>
          <w:rPr>
            <w:rFonts w:ascii="Cambria Math" w:hAnsi="Cambria Math"/>
          </w:rPr>
          <m:t xml:space="preserve">0</m:t>
        </m:r>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sin</m:t>
            </m:r>
            <m:r>
              <w:rPr>
                <w:rFonts w:ascii="Cambria Math" w:hAnsi="Cambria Math"/>
              </w:rPr>
              <m:t xml:space="preserve">θ</m:t>
            </m:r>
          </m:e>
        </m:d>
        <m:r>
          <w:rPr>
            <w:rFonts w:ascii="Cambria Math" w:hAnsi="Cambria Math"/>
          </w:rPr>
          <m:t xml:space="preserve">d</m:t>
        </m:r>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r>
          <w:rPr>
            <w:rFonts w:ascii="Cambria Math" w:hAnsi="Cambria Math"/>
          </w:rPr>
          <m:t xml:space="preserve">=</m:t>
        </m:r>
        <m:r>
          <w:rPr>
            <w:rFonts w:ascii="Cambria Math" w:hAnsi="Cambria Math"/>
          </w:rPr>
          <m:t xml:space="preserve">0</m:t>
        </m:r>
      </m:oMath>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This is quadratic equation with coefficients,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c</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Δ</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with</m:t>
        </m:r>
        <m:r>
          <w:rPr>
            <w:rFonts w:ascii="Cambria Math" w:hAnsi="Cambria Math"/>
          </w:rPr>
          <m:t xml:space="preserve">the</m:t>
        </m:r>
        <m:acc>
          <m:accPr>
            <m:chr m:val="˚"/>
          </m:accPr>
          <m:e>
            <m:r>
              <w:rPr>
                <w:rFonts w:ascii="Cambria Math" w:hAnsi="Cambria Math"/>
              </w:rPr>
              <m:t xml:space="preserve">surface</m:t>
            </m:r>
          </m:e>
        </m:acc>
      </m:oMath>
    </w:p>
    <w:p>
      <w:pPr>
        <w:pStyle w:val="Normal"/>
        <w:spacing w:lineRule="auto" w:line="360"/>
        <w:rPr>
          <w:rFonts w:ascii="Times New Roman" w:hAnsi="Times New Roman" w:cs="Times New Roman" w:asciiTheme="majorBidi" w:cstheme="majorBidi" w:hAnsiTheme="majorBidi"/>
        </w:rPr>
      </w:pPr>
      <w:r>
        <w:rPr/>
      </w:r>
      <m:oMath xmlns:m="http://schemas.openxmlformats.org/officeDocument/2006/math">
        <m:r>
          <w:rPr>
            <w:rFonts w:ascii="Cambria Math" w:hAnsi="Cambria Math"/>
          </w:rPr>
          <m:t xml:space="preserve">Δ</m:t>
        </m:r>
        <m:r>
          <w:rPr>
            <w:rFonts w:ascii="Cambria Math" w:hAnsi="Cambria Math"/>
          </w:rPr>
          <m:t xml:space="preserve">&lt;</m:t>
        </m:r>
        <m:r>
          <w:rPr>
            <w:rFonts w:ascii="Cambria Math" w:hAnsi="Cambria Math"/>
          </w:rPr>
          <m:t xml:space="preserve">0</m:t>
        </m:r>
        <m:r>
          <w:rPr>
            <w:rFonts w:ascii="Cambria Math" w:hAnsi="Cambria Math"/>
          </w:rPr>
          <m:t xml:space="preserve">→</m:t>
        </m:r>
        <m:r>
          <w:rPr>
            <w:rFonts w:ascii="Cambria Math" w:hAnsi="Cambria Math"/>
          </w:rPr>
          <m:t xml:space="preserve">no</m:t>
        </m:r>
        <m:r>
          <w:rPr>
            <w:rFonts w:ascii="Cambria Math" w:hAnsi="Cambria Math"/>
          </w:rPr>
          <m:t xml:space="preserve">∩</m:t>
        </m:r>
        <m:r>
          <w:rPr>
            <w:rFonts w:ascii="Cambria Math" w:hAnsi="Cambria Math"/>
          </w:rPr>
          <m:t xml:space="preserve">with</m:t>
        </m:r>
        <m:r>
          <w:rPr>
            <w:rFonts w:ascii="Cambria Math" w:hAnsi="Cambria Math"/>
          </w:rPr>
          <m:t xml:space="preserve">the</m:t>
        </m:r>
        <m:acc>
          <m:accPr>
            <m:chr m:val="˚"/>
          </m:accPr>
          <m:e>
            <m:r>
              <w:rPr>
                <w:rFonts w:ascii="Cambria Math" w:hAnsi="Cambria Math"/>
              </w:rPr>
              <m:t xml:space="preserve">surface</m:t>
            </m:r>
          </m:e>
        </m:acc>
      </m:oMath>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roots of this equation are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eastAsia="DengXian" w:cs="Times New Roman" w:ascii="Times New Roman" w:hAnsi="Times New Roman" w:asciiTheme="majorBidi" w:cstheme="majorBidi" w:eastAsiaTheme="minorEastAsia" w:hAnsiTheme="majorBidi"/>
        </w:rPr>
        <w:t xml:space="preserve"> and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rFonts w:eastAsia="DengXian" w:cs="Times New Roman" w:ascii="Times New Roman" w:hAnsi="Times New Roman" w:asciiTheme="majorBidi" w:cstheme="majorBidi" w:eastAsiaTheme="minorEastAsia" w:hAnsiTheme="majorBidi"/>
        </w:rPr>
        <w:t>,</w:t>
      </w:r>
    </w:p>
    <w:p>
      <w:pPr>
        <w:pStyle w:val="Normal"/>
        <w:spacing w:lineRule="auto" w:line="360"/>
        <w:rPr/>
      </w:pPr>
      <w:r>
        <w:rPr/>
      </w:r>
      <m:oMath xmlns:m="http://schemas.openxmlformats.org/officeDocument/2006/math">
        <m:sSub>
          <m:e>
            <m:r>
              <w:rPr>
                <w:rFonts w:ascii="Cambria Math" w:hAnsi="Cambria Math"/>
              </w:rPr>
              <m:t xml:space="preserve">d</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r>
                  <w:rPr>
                    <w:rFonts w:ascii="Cambria Math" w:hAnsi="Cambria Math"/>
                  </w:rPr>
                  <m:t xml:space="preserve">Δ</m:t>
                </m:r>
              </m:e>
            </m:rad>
          </m:num>
          <m:den>
            <m:r>
              <w:rPr>
                <w:rFonts w:ascii="Cambria Math" w:hAnsi="Cambria Math"/>
              </w:rPr>
              <m:t xml:space="preserve">2</m:t>
            </m:r>
            <m:r>
              <w:rPr>
                <w:rFonts w:ascii="Cambria Math" w:hAnsi="Cambria Math"/>
              </w:rPr>
              <m:t xml:space="preserve">a</m:t>
            </m:r>
          </m:den>
        </m:f>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p>
    <w:p>
      <w:pPr>
        <w:pStyle w:val="Normal"/>
        <w:spacing w:lineRule="auto" w:line="360"/>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rPr/>
      </w:pPr>
      <w:r>
        <w:rPr>
          <w:rFonts w:eastAsia="DengXian" w:cs="Times New Roman" w:ascii="Times New Roman" w:hAnsi="Times New Roman" w:asciiTheme="majorBidi" w:cstheme="majorBidi" w:eastAsiaTheme="minorEastAsia" w:hAnsiTheme="majorBidi"/>
        </w:rPr>
        <w:t>For right and left boundaries, the intersection points can be calculated geometrically,</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m:t>
        </m:r>
        <m:f>
          <m:num>
            <m:r>
              <w:rPr>
                <w:rFonts w:ascii="Cambria Math" w:hAnsi="Cambria Math"/>
              </w:rPr>
              <m:t xml:space="preserve">pitch</m:t>
            </m:r>
          </m:num>
          <m:den>
            <m:r>
              <w:rPr>
                <w:rFonts w:ascii="Cambria Math" w:hAnsi="Cambria Math"/>
              </w:rPr>
              <m:t xml:space="preserve">2</m:t>
            </m:r>
          </m:den>
        </m:f>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cos</m:t>
        </m:r>
        <m:r>
          <w:rPr>
            <w:rFonts w:ascii="Cambria Math" w:hAnsi="Cambria Math"/>
          </w:rPr>
          <m:t xml:space="preserve">θ</m:t>
        </m:r>
      </m:oMath>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roots of this equation are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eastAsia="DengXian" w:cs="Times New Roman" w:ascii="Times New Roman" w:hAnsi="Times New Roman" w:asciiTheme="majorBidi" w:cstheme="majorBidi" w:eastAsiaTheme="minorEastAsia" w:hAnsiTheme="majorBidi"/>
        </w:rPr>
        <w:t xml:space="preserve"> and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rFonts w:eastAsia="DengXian" w:cs="Times New Roman" w:ascii="Times New Roman" w:hAnsi="Times New Roman" w:asciiTheme="majorBidi" w:cstheme="majorBidi" w:eastAsiaTheme="minorEastAsia" w:hAnsiTheme="majorBidi"/>
        </w:rPr>
        <w:t>,</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b>
          <m:e>
            <m:r>
              <w:rPr>
                <w:rFonts w:ascii="Cambria Math" w:hAnsi="Cambria Math"/>
              </w:rPr>
              <m:t xml:space="preserve">d</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m:t>
            </m:r>
            <m:f>
              <m:num>
                <m:r>
                  <w:rPr>
                    <w:rFonts w:ascii="Cambria Math" w:hAnsi="Cambria Math"/>
                  </w:rPr>
                  <m:t xml:space="preserve">pitch</m:t>
                </m:r>
              </m:num>
              <m:den>
                <m:r>
                  <w:rPr>
                    <w:rFonts w:ascii="Cambria Math" w:hAnsi="Cambria Math"/>
                  </w:rPr>
                  <m:t xml:space="preserve">2</m:t>
                </m:r>
              </m:den>
            </m:f>
            <m:r>
              <w:rPr>
                <w:rFonts w:ascii="Cambria Math" w:hAnsi="Cambria Math"/>
              </w:rPr>
              <m:t xml:space="preserve">−</m:t>
            </m:r>
            <m:r>
              <w:rPr>
                <w:rFonts w:ascii="Cambria Math" w:hAnsi="Cambria Math"/>
              </w:rPr>
              <m:t xml:space="preserve">x</m:t>
            </m:r>
          </m:num>
          <m:den>
            <m:r>
              <w:rPr>
                <w:rFonts w:ascii="Cambria Math" w:hAnsi="Cambria Math"/>
              </w:rPr>
              <m:t xml:space="preserve">cos</m:t>
            </m:r>
            <m:r>
              <w:rPr>
                <w:rFonts w:ascii="Cambria Math" w:hAnsi="Cambria Math"/>
              </w:rPr>
              <m:t xml:space="preserve">θ</m:t>
            </m:r>
          </m:den>
        </m:f>
      </m:oMath>
    </w:p>
    <w:p>
      <w:pPr>
        <w:pStyle w:val="Normal"/>
        <w:spacing w:lineRule="auto" w:line="360"/>
        <w:rPr/>
      </w:pPr>
      <w:r>
        <w:rPr>
          <w:rFonts w:eastAsia="DengXian" w:cs="Times New Roman" w:ascii="Times New Roman" w:hAnsi="Times New Roman" w:asciiTheme="majorBidi" w:cstheme="majorBidi" w:eastAsiaTheme="minorEastAsia" w:hAnsiTheme="majorBidi"/>
        </w:rPr>
        <w:t>For top and bottom boundaries, the intersection points can be calculated geometrically,</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m:t>
        </m:r>
        <m:f>
          <m:num>
            <m:r>
              <w:rPr>
                <w:rFonts w:ascii="Cambria Math" w:hAnsi="Cambria Math"/>
              </w:rPr>
              <m:t xml:space="preserve">pitch</m:t>
            </m:r>
          </m:num>
          <m:den>
            <m:r>
              <w:rPr>
                <w:rFonts w:ascii="Cambria Math" w:hAnsi="Cambria Math"/>
              </w:rPr>
              <m:t xml:space="preserve">2</m:t>
            </m:r>
          </m:den>
        </m:f>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sin</m:t>
        </m:r>
        <m:r>
          <w:rPr>
            <w:rFonts w:ascii="Cambria Math" w:hAnsi="Cambria Math"/>
          </w:rPr>
          <m:t xml:space="preserve">θ</m:t>
        </m:r>
      </m:oMath>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roots of this equation are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eastAsia="DengXian" w:cs="Times New Roman" w:ascii="Times New Roman" w:hAnsi="Times New Roman" w:asciiTheme="majorBidi" w:cstheme="majorBidi" w:eastAsiaTheme="minorEastAsia" w:hAnsiTheme="majorBidi"/>
        </w:rPr>
        <w:t xml:space="preserve"> and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rFonts w:eastAsia="DengXian" w:cs="Times New Roman" w:ascii="Times New Roman" w:hAnsi="Times New Roman" w:asciiTheme="majorBidi" w:cstheme="majorBidi" w:eastAsiaTheme="minorEastAsia" w:hAnsiTheme="majorBidi"/>
        </w:rPr>
        <w:t>,</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b>
          <m:e>
            <m:r>
              <w:rPr>
                <w:rFonts w:ascii="Cambria Math" w:hAnsi="Cambria Math"/>
              </w:rPr>
              <m:t xml:space="preserve">d</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m:t>
            </m:r>
            <m:f>
              <m:num>
                <m:r>
                  <w:rPr>
                    <w:rFonts w:ascii="Cambria Math" w:hAnsi="Cambria Math"/>
                  </w:rPr>
                  <m:t xml:space="preserve">pitch</m:t>
                </m:r>
              </m:num>
              <m:den>
                <m:r>
                  <w:rPr>
                    <w:rFonts w:ascii="Cambria Math" w:hAnsi="Cambria Math"/>
                  </w:rPr>
                  <m:t xml:space="preserve">2</m:t>
                </m:r>
              </m:den>
            </m:f>
            <m:r>
              <w:rPr>
                <w:rFonts w:ascii="Cambria Math" w:hAnsi="Cambria Math"/>
              </w:rPr>
              <m:t xml:space="preserve">−</m:t>
            </m:r>
            <m:r>
              <w:rPr>
                <w:rFonts w:ascii="Cambria Math" w:hAnsi="Cambria Math"/>
              </w:rPr>
              <m:t xml:space="preserve">y</m:t>
            </m:r>
          </m:num>
          <m:den>
            <m:r>
              <w:rPr>
                <w:rFonts w:ascii="Cambria Math" w:hAnsi="Cambria Math"/>
              </w:rPr>
              <m:t xml:space="preserve">sin</m:t>
            </m:r>
            <m:r>
              <w:rPr>
                <w:rFonts w:ascii="Cambria Math" w:hAnsi="Cambria Math"/>
              </w:rPr>
              <m:t xml:space="preserve">θ</m:t>
            </m:r>
          </m:den>
        </m:f>
      </m:oMath>
    </w:p>
    <w:p>
      <w:pPr>
        <w:pStyle w:val="Normal"/>
        <w:spacing w:lineRule="auto" w:line="360"/>
        <w:rPr/>
      </w:pPr>
      <w:r>
        <w:rPr>
          <w:rFonts w:cs="Times New Roman" w:ascii="Times New Roman" w:hAnsi="Times New Roman" w:asciiTheme="majorBidi" w:cstheme="majorBidi" w:hAnsiTheme="majorBidi"/>
        </w:rPr>
        <w:t>After comparing the interaction length with the smallest and positive distance,  if interaction length is higher than smallest positive distance, then neutron will change the region. The next interaction length must be sampled according to neutronic properties of new region. Neutron is moved to closest surface by using the smallest distance, then x and y coordinates of next neutron location is calculated geometrically and stored. If interaction length is smaller than smallest positive distance, it means neutron is staying in same region and interacting. Neutron is moved to interaction point by using interaction length, then x and y coordinates of interaction location is calculated geometrically and stored.</w:t>
      </w:r>
    </w:p>
    <w:p>
      <w:pPr>
        <w:pStyle w:val="Normal"/>
        <w:spacing w:lineRule="auto" w:line="360"/>
        <w:rPr>
          <w:rFonts w:ascii="Times New Roman" w:hAnsi="Times New Roman" w:cs="Times New Roman" w:asciiTheme="majorBidi" w:cstheme="majorBidi" w:hAnsiTheme="majorBidi"/>
          <w:b/>
          <w:b/>
        </w:rPr>
      </w:pPr>
      <w:r>
        <w:rPr>
          <w:rFonts w:cs="Times New Roman" w:cstheme="majorBidi" w:ascii="Times New Roman" w:hAnsi="Times New Roman"/>
          <w:b/>
        </w:rPr>
      </w:r>
    </w:p>
    <w:p>
      <w:pPr>
        <w:pStyle w:val="Normal"/>
        <w:spacing w:lineRule="auto" w:line="360"/>
        <w:rPr/>
      </w:pPr>
      <w:r>
        <w:rPr>
          <w:rFonts w:cs="Times New Roman" w:ascii="Times New Roman" w:hAnsi="Times New Roman" w:asciiTheme="majorBidi" w:cstheme="majorBidi" w:hAnsiTheme="majorBidi"/>
          <w:b/>
        </w:rPr>
        <w:t>Sampling Interaction Type</w:t>
      </w:r>
    </w:p>
    <w:p>
      <w:pPr>
        <w:pStyle w:val="Normal"/>
        <w:spacing w:lineRule="auto" w:line="360"/>
        <w:jc w:val="both"/>
        <w:rPr/>
      </w:pPr>
      <w:r>
        <w:rPr>
          <w:rFonts w:cs="Times New Roman" w:ascii="Times New Roman" w:hAnsi="Times New Roman" w:asciiTheme="majorBidi" w:cstheme="majorBidi" w:hAnsiTheme="majorBidi"/>
        </w:rPr>
        <w:t>Once the neutron interaction length is compared to distances, if there is no region change, the neutron is moved the interaction point and interaction type is sampled corresponding to cross sections. 3 different types of interactions are sampled: Fission, Scattering and Capture.</w:t>
      </w:r>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cross section data (</w:t>
      </w:r>
      <w:r>
        <w:rPr/>
      </w:r>
      <m:oMath xmlns:m="http://schemas.openxmlformats.org/officeDocument/2006/math">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s</m:t>
            </m:r>
          </m:sub>
        </m:sSub>
      </m:oMath>
      <w:r>
        <w:rPr>
          <w:rFonts w:eastAsia="DengXian" w:cs="Times New Roman" w:ascii="Times New Roman" w:hAnsi="Times New Roman" w:asciiTheme="majorBidi" w:cstheme="majorBidi" w:eastAsiaTheme="minorEastAsia" w:hAnsiTheme="majorBidi"/>
        </w:rPr>
        <w:t>,</w:t>
      </w:r>
      <w:r>
        <w:rPr/>
      </w:r>
      <m:oMath xmlns:m="http://schemas.openxmlformats.org/officeDocument/2006/math">
        <m:sSub>
          <m:e>
            <m:r>
              <w:rPr>
                <w:rFonts w:ascii="Cambria Math" w:hAnsi="Cambria Math"/>
              </w:rPr>
              <m:t xml:space="preserve">Σ</m:t>
            </m:r>
          </m:e>
          <m:sub>
            <m:r>
              <w:rPr>
                <w:rFonts w:ascii="Cambria Math" w:hAnsi="Cambria Math"/>
              </w:rPr>
              <m:t xml:space="preserve">t</m:t>
            </m:r>
          </m:sub>
        </m:sSub>
      </m:oMath>
      <w:r>
        <w:rPr>
          <w:rFonts w:cs="Times New Roman" w:ascii="Times New Roman" w:hAnsi="Times New Roman" w:asciiTheme="majorBidi" w:cstheme="majorBidi" w:hAnsiTheme="majorBidi"/>
        </w:rPr>
        <w:t>) is chosen according to neutron energy and region material. The random numbers (</w:t>
      </w:r>
      <w:r>
        <w:rPr/>
      </w:r>
      <m:oMath xmlns:m="http://schemas.openxmlformats.org/officeDocument/2006/math">
        <m:r>
          <w:rPr>
            <w:rFonts w:ascii="Cambria Math" w:hAnsi="Cambria Math"/>
          </w:rPr>
          <m:t xml:space="preserve">ξ</m:t>
        </m:r>
      </m:oMath>
      <w:r>
        <w:rPr>
          <w:rFonts w:eastAsia="DengXian" w:cs="Times New Roman" w:ascii="Times New Roman" w:hAnsi="Times New Roman" w:asciiTheme="majorBidi" w:cstheme="majorBidi" w:eastAsiaTheme="minorEastAsia" w:hAnsiTheme="majorBidi"/>
        </w:rPr>
        <w:t>)</w:t>
      </w:r>
      <w:r>
        <w:rPr>
          <w:rFonts w:cs="Times New Roman" w:ascii="Times New Roman" w:hAnsi="Times New Roman" w:asciiTheme="majorBidi" w:cstheme="majorBidi" w:hAnsiTheme="majorBidi"/>
        </w:rPr>
        <w:t xml:space="preserve"> are used to decide the interaction type as below,</w:t>
      </w:r>
    </w:p>
    <w:p>
      <w:pPr>
        <w:pStyle w:val="Normal"/>
        <w:spacing w:lineRule="auto" w:line="360"/>
        <w:rPr>
          <w:rFonts w:ascii="Times New Roman" w:hAnsi="Times New Roman" w:cs="Times New Roman" w:asciiTheme="majorBidi" w:cstheme="majorBidi" w:hAnsiTheme="majorBidi"/>
        </w:rPr>
      </w:pPr>
      <w:r>
        <w:rPr/>
      </w:r>
      <m:oMath xmlns:m="http://schemas.openxmlformats.org/officeDocument/2006/math">
        <m:sSub>
          <m:e>
            <m:r>
              <w:rPr>
                <w:rFonts w:ascii="Cambria Math" w:hAnsi="Cambria Math"/>
              </w:rPr>
              <m:t xml:space="preserve">Σ</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s</m:t>
            </m:r>
          </m:sub>
        </m:sSub>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ξ</m:t>
        </m:r>
        <m:r>
          <w:rPr>
            <w:rFonts w:ascii="Cambria Math" w:hAnsi="Cambria Math"/>
          </w:rPr>
          <m:t xml:space="preserve">&lt;</m:t>
        </m:r>
        <m:f>
          <m:num>
            <m:sSub>
              <m:e>
                <m:r>
                  <w:rPr>
                    <w:rFonts w:ascii="Cambria Math" w:hAnsi="Cambria Math"/>
                  </w:rPr>
                  <m:t xml:space="preserve">Σ</m:t>
                </m:r>
              </m:e>
              <m:sub>
                <m:r>
                  <w:rPr>
                    <w:rFonts w:ascii="Cambria Math" w:hAnsi="Cambria Math"/>
                  </w:rPr>
                  <m:t xml:space="preserve">f</m:t>
                </m:r>
              </m:sub>
            </m:sSub>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m:t>
        </m:r>
        <m:r>
          <w:rPr>
            <w:rFonts w:ascii="Cambria Math" w:hAnsi="Cambria Math"/>
          </w:rPr>
          <m:t xml:space="preserve">Neutron</m:t>
        </m:r>
        <m:r>
          <w:rPr>
            <w:rFonts w:ascii="Cambria Math" w:hAnsi="Cambria Math"/>
          </w:rPr>
          <m:t xml:space="preserve">undergoes</m:t>
        </m:r>
        <m:r>
          <w:rPr>
            <w:rFonts w:ascii="Cambria Math" w:hAnsi="Cambria Math"/>
          </w:rPr>
          <m:t xml:space="preserve">fission</m:t>
        </m:r>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f>
          <m:num>
            <m:sSub>
              <m:e>
                <m:r>
                  <w:rPr>
                    <w:rFonts w:ascii="Cambria Math" w:hAnsi="Cambria Math"/>
                  </w:rPr>
                  <m:t xml:space="preserve">Σ</m:t>
                </m:r>
              </m:e>
              <m:sub>
                <m:r>
                  <w:rPr>
                    <w:rFonts w:ascii="Cambria Math" w:hAnsi="Cambria Math"/>
                  </w:rPr>
                  <m:t xml:space="preserve">f</m:t>
                </m:r>
              </m:sub>
            </m:sSub>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&lt;</m:t>
        </m:r>
        <m:r>
          <w:rPr>
            <w:rFonts w:ascii="Cambria Math" w:hAnsi="Cambria Math"/>
          </w:rPr>
          <m:t xml:space="preserve">ξ</m:t>
        </m:r>
        <m:r>
          <w:rPr>
            <w:rFonts w:ascii="Cambria Math" w:hAnsi="Cambria Math"/>
          </w:rPr>
          <m:t xml:space="preserve">&lt;</m:t>
        </m:r>
        <m:f>
          <m:num>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c</m:t>
                </m:r>
              </m:sub>
            </m:sSub>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m:t>
        </m:r>
        <m:r>
          <w:rPr>
            <w:rFonts w:ascii="Cambria Math" w:hAnsi="Cambria Math"/>
          </w:rPr>
          <m:t xml:space="preserve">Neutron</m:t>
        </m:r>
        <m:r>
          <w:rPr>
            <w:rFonts w:ascii="Cambria Math" w:hAnsi="Cambria Math"/>
          </w:rPr>
          <m:t xml:space="preserve">undergoes</m:t>
        </m:r>
        <m:r>
          <w:rPr>
            <w:rFonts w:ascii="Cambria Math" w:hAnsi="Cambria Math"/>
          </w:rPr>
          <m:t xml:space="preserve">capture</m:t>
        </m:r>
      </m:oMath>
    </w:p>
    <w:p>
      <w:pPr>
        <w:pStyle w:val="Normal"/>
        <w:spacing w:lineRule="auto" w:line="360"/>
        <w:rPr/>
      </w:pPr>
      <w:r>
        <w:rPr/>
      </w:r>
      <m:oMath xmlns:m="http://schemas.openxmlformats.org/officeDocument/2006/math">
        <m:f>
          <m:num>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c</m:t>
                </m:r>
              </m:sub>
            </m:sSub>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&lt;</m:t>
        </m:r>
        <m:r>
          <w:rPr>
            <w:rFonts w:ascii="Cambria Math" w:hAnsi="Cambria Math"/>
          </w:rPr>
          <m:t xml:space="preserve">ξ</m:t>
        </m:r>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Neutron</m:t>
        </m:r>
        <m:r>
          <w:rPr>
            <w:rFonts w:ascii="Cambria Math" w:hAnsi="Cambria Math"/>
          </w:rPr>
          <m:t xml:space="preserve">undergoes</m:t>
        </m:r>
        <m:r>
          <w:rPr>
            <w:rFonts w:ascii="Cambria Math" w:hAnsi="Cambria Math"/>
          </w:rPr>
          <m:t xml:space="preserve">scattering</m:t>
        </m:r>
      </m:oMath>
    </w:p>
    <w:p>
      <w:pPr>
        <w:pStyle w:val="ListParagraph"/>
        <w:numPr>
          <w:ilvl w:val="0"/>
          <w:numId w:val="1"/>
        </w:numPr>
        <w:spacing w:lineRule="auto" w:line="360" w:before="0" w:after="160"/>
        <w:contextualSpacing/>
        <w:rPr/>
      </w:pPr>
      <w:r>
        <w:rPr>
          <w:rFonts w:cs="Times New Roman" w:ascii="Times New Roman" w:hAnsi="Times New Roman" w:asciiTheme="majorBidi" w:cstheme="majorBidi" w:hAnsiTheme="majorBidi"/>
          <w:b/>
        </w:rPr>
        <w:t>Fission</w:t>
      </w:r>
    </w:p>
    <w:p>
      <w:pPr>
        <w:pStyle w:val="ListParagraph"/>
        <w:numPr>
          <w:ilvl w:val="0"/>
          <w:numId w:val="0"/>
        </w:numPr>
        <w:spacing w:lineRule="auto" w:line="360" w:before="0" w:after="160"/>
        <w:ind w:left="1440" w:hanging="0"/>
        <w:contextualSpacing/>
        <w:rPr/>
      </w:pPr>
      <w:r>
        <w:rPr>
          <w:rFonts w:cs="Times New Roman" w:ascii="Times New Roman" w:hAnsi="Times New Roman" w:asciiTheme="majorBidi" w:cstheme="majorBidi" w:hAnsiTheme="majorBidi"/>
        </w:rPr>
        <w:t>If fission occurs 2 or 3 neutrons are born with probability of 0.5. The information is stored and the neutron is killed and not being tracked anymore. The simulation continues for new neutron</w:t>
      </w:r>
    </w:p>
    <w:p>
      <w:pPr>
        <w:pStyle w:val="ListParagraph"/>
        <w:numPr>
          <w:ilvl w:val="0"/>
          <w:numId w:val="1"/>
        </w:numPr>
        <w:spacing w:lineRule="auto" w:line="360" w:before="0" w:after="160"/>
        <w:contextualSpacing/>
        <w:rPr/>
      </w:pPr>
      <w:r>
        <w:rPr>
          <w:rFonts w:cs="Times New Roman" w:ascii="Times New Roman" w:hAnsi="Times New Roman" w:asciiTheme="majorBidi" w:cstheme="majorBidi" w:hAnsiTheme="majorBidi"/>
          <w:b/>
        </w:rPr>
        <w:t>Capture</w:t>
      </w:r>
    </w:p>
    <w:p>
      <w:pPr>
        <w:pStyle w:val="ListParagraph"/>
        <w:numPr>
          <w:ilvl w:val="0"/>
          <w:numId w:val="0"/>
        </w:numPr>
        <w:spacing w:lineRule="auto" w:line="360" w:before="0" w:after="160"/>
        <w:ind w:left="1440" w:hanging="0"/>
        <w:contextualSpacing/>
        <w:rPr/>
      </w:pPr>
      <w:r>
        <w:rPr>
          <w:rFonts w:cs="Times New Roman" w:ascii="Times New Roman" w:hAnsi="Times New Roman" w:asciiTheme="majorBidi" w:cstheme="majorBidi" w:hAnsiTheme="majorBidi"/>
        </w:rPr>
        <w:t>If capture occurs, the neutron is killed and not being tracked anymore. The simulation continues for new neutron.</w:t>
      </w:r>
    </w:p>
    <w:p>
      <w:pPr>
        <w:pStyle w:val="ListParagraph"/>
        <w:numPr>
          <w:ilvl w:val="0"/>
          <w:numId w:val="1"/>
        </w:numPr>
        <w:spacing w:lineRule="auto" w:line="360" w:before="0" w:after="160"/>
        <w:contextualSpacing/>
        <w:rPr/>
      </w:pPr>
      <w:r>
        <w:rPr>
          <w:rFonts w:cs="Times New Roman" w:ascii="Times New Roman" w:hAnsi="Times New Roman" w:asciiTheme="majorBidi" w:cstheme="majorBidi" w:hAnsiTheme="majorBidi"/>
          <w:b/>
        </w:rPr>
        <w:t>Scattering</w:t>
      </w:r>
    </w:p>
    <w:p>
      <w:pPr>
        <w:pStyle w:val="ListParagraph"/>
        <w:numPr>
          <w:ilvl w:val="0"/>
          <w:numId w:val="0"/>
        </w:numPr>
        <w:spacing w:lineRule="auto" w:line="360" w:before="0" w:after="160"/>
        <w:ind w:left="1440" w:hanging="0"/>
        <w:contextualSpacing/>
        <w:rPr/>
      </w:pPr>
      <w:r>
        <w:rPr>
          <w:rFonts w:cs="Times New Roman" w:ascii="Times New Roman" w:hAnsi="Times New Roman" w:asciiTheme="majorBidi" w:cstheme="majorBidi" w:hAnsiTheme="majorBidi"/>
        </w:rPr>
        <w:t>If scattering occurs, neutron loses some energy in collision and the direction angle and the interaction length are is sampled again. Neutron is being tracked.</w:t>
      </w:r>
    </w:p>
    <w:p>
      <w:pPr>
        <w:pStyle w:val="ListParagraph"/>
        <w:numPr>
          <w:ilvl w:val="0"/>
          <w:numId w:val="1"/>
        </w:numPr>
        <w:spacing w:lineRule="auto" w:line="360" w:before="0" w:after="160"/>
        <w:contextualSpacing/>
        <w:rPr/>
      </w:pPr>
      <w:r>
        <w:rPr>
          <w:rFonts w:cs="Times New Roman" w:ascii="Times New Roman" w:hAnsi="Times New Roman" w:asciiTheme="majorBidi" w:cstheme="majorBidi" w:hAnsiTheme="majorBidi"/>
          <w:b/>
        </w:rPr>
        <w:t>Leakage</w:t>
      </w:r>
    </w:p>
    <w:p>
      <w:pPr>
        <w:pStyle w:val="ListParagraph"/>
        <w:numPr>
          <w:ilvl w:val="0"/>
          <w:numId w:val="0"/>
        </w:numPr>
        <w:spacing w:lineRule="auto" w:line="360" w:before="0" w:after="160"/>
        <w:ind w:left="1440" w:hanging="0"/>
        <w:contextualSpacing/>
        <w:rPr/>
      </w:pPr>
      <w:r>
        <w:rPr>
          <w:rFonts w:cs="Times New Roman" w:ascii="Times New Roman" w:hAnsi="Times New Roman" w:asciiTheme="majorBidi" w:cstheme="majorBidi" w:hAnsiTheme="majorBidi"/>
        </w:rPr>
        <w:t>If neutron intersects with the boundary, it will disappear at that boundary and counted as leaked, then appear at opposite boundary with same direction angle as incoming neutron from neighbor pincell.</w:t>
      </w:r>
    </w:p>
    <w:p>
      <w:pPr>
        <w:pStyle w:val="ListParagraph"/>
        <w:numPr>
          <w:ilvl w:val="0"/>
          <w:numId w:val="0"/>
        </w:numPr>
        <w:spacing w:lineRule="auto" w:line="360" w:before="0" w:after="160"/>
        <w:ind w:left="1440" w:hanging="0"/>
        <w:contextualSpacing/>
        <w:rPr>
          <w:rFonts w:ascii="Times New Roman" w:hAnsi="Times New Roman" w:cs="Times New Roman" w:asciiTheme="majorBidi" w:cstheme="majorBidi" w:hAnsiTheme="majorBidi"/>
        </w:rPr>
      </w:pPr>
      <w:r>
        <w:rPr/>
      </w:r>
    </w:p>
    <w:p>
      <w:pPr>
        <w:pStyle w:val="ListParagraph"/>
        <w:numPr>
          <w:ilvl w:val="0"/>
          <w:numId w:val="0"/>
        </w:numPr>
        <w:spacing w:lineRule="auto" w:line="360" w:before="0" w:after="160"/>
        <w:ind w:hanging="0"/>
        <w:contextualSpacing/>
        <w:rPr>
          <w:b/>
          <w:b/>
          <w:bCs/>
        </w:rPr>
      </w:pPr>
      <w:r>
        <w:rPr>
          <w:rFonts w:cs="Times New Roman" w:ascii="Times New Roman" w:hAnsi="Times New Roman" w:asciiTheme="majorBidi" w:cstheme="majorBidi" w:hAnsiTheme="majorBidi"/>
          <w:b/>
          <w:bCs/>
        </w:rPr>
        <w:t>Calculation of Neutron Flux</w:t>
      </w:r>
    </w:p>
    <w:p>
      <w:pPr>
        <w:pStyle w:val="Normal"/>
        <w:numPr>
          <w:ilvl w:val="0"/>
          <w:numId w:val="0"/>
        </w:numPr>
        <w:spacing w:lineRule="auto" w:line="360" w:before="0" w:after="160"/>
        <w:ind w:hanging="0"/>
        <w:contextualSpacing/>
        <w:rPr>
          <w:rFonts w:ascii="Times new roman" w:hAnsi="Times new roman"/>
          <w:sz w:val="24"/>
          <w:szCs w:val="24"/>
        </w:rPr>
      </w:pPr>
      <w:r>
        <w:rPr>
          <w:rFonts w:cs="Times New Roman" w:ascii="Times new roman" w:hAnsi="Times new roman" w:cstheme="majorBidi"/>
          <w:sz w:val="24"/>
          <w:szCs w:val="24"/>
        </w:rPr>
        <w:t xml:space="preserve">The distribution of the number of neutrons with energy in the fission </w:t>
      </w:r>
      <w:r>
        <w:rPr>
          <w:rFonts w:ascii="Times new roman" w:hAnsi="Times new roman"/>
          <w:sz w:val="24"/>
          <w:szCs w:val="24"/>
        </w:rPr>
        <w:t>spectrum is represented by a mathematical function, the Watt function. T</w:t>
      </w:r>
      <w:r>
        <w:rPr>
          <w:rFonts w:ascii="Times new roman" w:hAnsi="Times new roman"/>
          <w:sz w:val="24"/>
          <w:szCs w:val="24"/>
        </w:rPr>
        <w:t>hus, t</w:t>
      </w:r>
      <w:r>
        <w:rPr>
          <w:rFonts w:ascii="Times new roman" w:hAnsi="Times new roman"/>
          <w:sz w:val="24"/>
          <w:szCs w:val="24"/>
        </w:rPr>
        <w:t xml:space="preserve">he </w:t>
      </w:r>
      <w:r>
        <w:rPr>
          <w:rFonts w:ascii="Times new roman" w:hAnsi="Times new roman"/>
          <w:sz w:val="24"/>
          <w:szCs w:val="24"/>
        </w:rPr>
        <w:t>neutron flux</w:t>
      </w:r>
      <w:r>
        <w:rPr>
          <w:rFonts w:ascii="Times new roman" w:hAnsi="Times new roman"/>
          <w:sz w:val="24"/>
          <w:szCs w:val="24"/>
        </w:rPr>
        <w:t xml:space="preserve"> function </w:t>
      </w:r>
      <w:r>
        <w:rPr>
          <w:rFonts w:ascii="Times new roman" w:hAnsi="Times new roman"/>
          <w:sz w:val="24"/>
          <w:szCs w:val="24"/>
        </w:rPr>
        <w:t>can be represented as</w:t>
      </w:r>
    </w:p>
    <w:p>
      <w:pPr>
        <w:pStyle w:val="Normal"/>
        <w:numPr>
          <w:ilvl w:val="0"/>
          <w:numId w:val="0"/>
        </w:numPr>
        <w:spacing w:lineRule="auto" w:line="360" w:before="0" w:after="160"/>
        <w:ind w:hanging="0"/>
        <w:contextualSpacing/>
        <w:rPr>
          <w:sz w:val="24"/>
          <w:szCs w:val="24"/>
        </w:rPr>
      </w:pPr>
      <w:r>
        <w:rPr>
          <w:rFonts w:ascii="Symbol" w:hAnsi="Symbol"/>
          <w:sz w:val="24"/>
          <w:szCs w:val="24"/>
        </w:rPr>
        <w:tab/>
        <w:tab/>
        <w:tab/>
        <w:tab/>
        <w:tab/>
        <w:t>f</w:t>
      </w:r>
      <w:r>
        <w:rPr>
          <w:rFonts w:ascii="Times new roman" w:hAnsi="Times new roman"/>
          <w:sz w:val="24"/>
          <w:szCs w:val="24"/>
        </w:rPr>
        <w:t xml:space="preserve">(E) =  </w:t>
      </w:r>
      <w:r>
        <w:rPr>
          <w:rFonts w:ascii="Times new roman" w:hAnsi="Times new roman"/>
          <w:sz w:val="24"/>
          <w:szCs w:val="24"/>
        </w:rPr>
        <w:t>B.exp</w:t>
      </w:r>
      <w:r>
        <w:rPr>
          <w:rFonts w:ascii="Times new roman" w:hAnsi="Times new roman"/>
          <w:sz w:val="24"/>
          <w:szCs w:val="24"/>
          <w:vertAlign w:val="superscript"/>
        </w:rPr>
        <w:t>(-E/a)</w:t>
      </w:r>
      <w:r>
        <w:rPr>
          <w:rFonts w:ascii="Times new roman" w:hAnsi="Times new roman"/>
          <w:sz w:val="24"/>
          <w:szCs w:val="24"/>
        </w:rPr>
        <w:t xml:space="preserve"> sinh(bE)</w:t>
      </w:r>
      <w:r>
        <w:rPr>
          <w:rFonts w:ascii="Times new roman" w:hAnsi="Times new roman"/>
          <w:sz w:val="24"/>
          <w:szCs w:val="24"/>
          <w:vertAlign w:val="superscript"/>
        </w:rPr>
        <w:t>0.5</w:t>
      </w:r>
    </w:p>
    <w:p>
      <w:pPr>
        <w:pStyle w:val="Normal"/>
        <w:numPr>
          <w:ilvl w:val="0"/>
          <w:numId w:val="0"/>
        </w:numPr>
        <w:spacing w:lineRule="auto" w:line="360" w:before="0" w:after="160"/>
        <w:ind w:hanging="0"/>
        <w:contextualSpacing/>
        <w:rPr>
          <w:rFonts w:ascii="Times New Roman" w:hAnsi="Times New Roman" w:cs="Times New Roman" w:asciiTheme="majorBidi" w:cstheme="majorBidi" w:hAnsiTheme="majorBidi"/>
        </w:rPr>
      </w:pPr>
      <w:r>
        <w:rPr>
          <w:sz w:val="24"/>
          <w:szCs w:val="24"/>
        </w:rPr>
      </w:r>
    </w:p>
    <w:p>
      <w:pPr>
        <w:pStyle w:val="Normal"/>
        <w:spacing w:lineRule="auto" w:line="360"/>
        <w:rPr/>
      </w:pPr>
      <w:r>
        <w:rPr>
          <w:rFonts w:cs="Times New Roman" w:ascii="Times New Roman" w:hAnsi="Times New Roman" w:asciiTheme="majorBidi" w:cstheme="majorBidi" w:hAnsiTheme="majorBidi"/>
          <w:b/>
        </w:rPr>
        <w:t>Calculation of Effective Multiplication Factor</w:t>
      </w:r>
    </w:p>
    <w:p>
      <w:pPr>
        <w:pStyle w:val="Normal"/>
        <w:spacing w:lineRule="auto" w:line="360"/>
        <w:jc w:val="both"/>
        <w:rPr/>
      </w:pPr>
      <w:r>
        <w:rPr>
          <w:rFonts w:cs="Times New Roman" w:ascii="Times New Roman" w:hAnsi="Times New Roman" w:asciiTheme="majorBidi" w:cstheme="majorBidi" w:hAnsiTheme="majorBidi"/>
        </w:rPr>
        <w:t>Effective multiplication factor is the ratio of the neutrons produced in one generation to neutrons lost in previous generation.</w:t>
      </w:r>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Neutrons are only produced by fission reaction and lost by leakage and absorption.</w:t>
      </w:r>
    </w:p>
    <w:p>
      <w:pPr>
        <w:pStyle w:val="Normal"/>
        <w:spacing w:lineRule="auto" w:line="360"/>
        <w:rPr/>
      </w:pPr>
      <w:r>
        <w:rPr/>
      </w:r>
      <m:oMath xmlns:m="http://schemas.openxmlformats.org/officeDocument/2006/math">
        <m:sSub>
          <m:e>
            <m:r>
              <w:rPr>
                <w:rFonts w:ascii="Cambria Math" w:hAnsi="Cambria Math"/>
              </w:rPr>
              <m:t xml:space="preserve">k</m:t>
            </m:r>
          </m:e>
          <m:sub>
            <m:r>
              <w:rPr>
                <w:rFonts w:ascii="Cambria Math" w:hAnsi="Cambria Math"/>
              </w:rPr>
              <m:t xml:space="preserve">eff</m:t>
            </m:r>
          </m:sub>
        </m:sSub>
        <m:r>
          <w:rPr>
            <w:rFonts w:ascii="Cambria Math" w:hAnsi="Cambria Math"/>
          </w:rPr>
          <m:t xml:space="preserve">=</m:t>
        </m:r>
        <m:f>
          <m:num>
            <m:r>
              <w:rPr>
                <w:rFonts w:ascii="Cambria Math" w:hAnsi="Cambria Math"/>
              </w:rPr>
              <m:t xml:space="preserve">Neutrons</m:t>
            </m:r>
            <m:r>
              <w:rPr>
                <w:rFonts w:ascii="Cambria Math" w:hAnsi="Cambria Math"/>
              </w:rPr>
              <m:t xml:space="preserve">Produced</m:t>
            </m:r>
          </m:num>
          <m:den>
            <m:r>
              <w:rPr>
                <w:rFonts w:ascii="Cambria Math" w:hAnsi="Cambria Math"/>
              </w:rPr>
              <m:t xml:space="preserve">Neutrons</m:t>
            </m:r>
            <m:r>
              <w:rPr>
                <w:rFonts w:ascii="Cambria Math" w:hAnsi="Cambria Math"/>
              </w:rPr>
              <m:t xml:space="preserve">Lost</m:t>
            </m:r>
          </m:den>
        </m:f>
      </m:oMath>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t>Results</w:t>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val="false"/>
          <w:bCs w:val="false"/>
          <w:lang w:bidi="bn-BD"/>
        </w:rPr>
        <w:t xml:space="preserve">All calculations were run in a HP 2.2 GHz Intel Core i5-5200 using 2000 source neutrons. </w:t>
      </w:r>
      <w:r>
        <w:rPr>
          <w:rFonts w:eastAsia="Times New Roman" w:cs="Times New Roman" w:ascii="Times New Roman" w:hAnsi="Times New Roman"/>
          <w:b w:val="false"/>
          <w:bCs w:val="false"/>
          <w:lang w:bidi="bn-BD"/>
        </w:rPr>
        <w:t>The neutron flux spectrum calculated by Qualifying is compared with the theoretical flux spectrum calculated based on the Watt function, as shown in the figure below:</w:t>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3773170" cy="253746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8"/>
                    <a:stretch>
                      <a:fillRect/>
                    </a:stretch>
                  </pic:blipFill>
                  <pic:spPr bwMode="auto">
                    <a:xfrm>
                      <a:off x="0" y="0"/>
                      <a:ext cx="3773170" cy="2537460"/>
                    </a:xfrm>
                    <a:prstGeom prst="rect">
                      <a:avLst/>
                    </a:prstGeom>
                  </pic:spPr>
                </pic:pic>
              </a:graphicData>
            </a:graphic>
          </wp:anchor>
        </w:drawing>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Style w:val="InternetLink"/>
          <w:rFonts w:ascii="Times New Roman" w:hAnsi="Times New Roman" w:eastAsia="Times New Roman" w:cs="Times New Roman"/>
          <w:b/>
          <w:b/>
          <w:bCs/>
          <w:lang w:bidi="bn-BD"/>
        </w:rPr>
      </w:pPr>
      <w:hyperlink r:id="rId9">
        <w:r>
          <w:rPr/>
        </w:r>
      </w:hyperlink>
    </w:p>
    <w:p>
      <w:pPr>
        <w:pStyle w:val="Normal"/>
        <w:spacing w:lineRule="auto" w:line="360"/>
        <w:jc w:val="both"/>
        <w:rPr>
          <w:rFonts w:ascii="Times New Roman" w:hAnsi="Times New Roman" w:eastAsia="Times New Roman" w:cs="Times New Roman"/>
          <w:lang w:bidi="bn-BD"/>
        </w:rPr>
      </w:pPr>
      <w:r>
        <w:rPr/>
      </w:r>
    </w:p>
    <w:p>
      <w:pPr>
        <w:pStyle w:val="Normal"/>
        <w:spacing w:lineRule="auto" w:line="360"/>
        <w:jc w:val="both"/>
        <w:rPr/>
      </w:pPr>
      <w:r>
        <w:rPr>
          <w:rFonts w:eastAsia="Times New Roman" w:cs="Times New Roman" w:ascii="Times New Roman" w:hAnsi="Times New Roman"/>
          <w:lang w:bidi="bn-BD"/>
        </w:rPr>
        <w:t>The effective multiplication factor given by Qualifying is compared with other calculations reported in Leppänen 2008. The simulations in  Leppänen 2008</w:t>
      </w:r>
      <w:r>
        <w:rPr>
          <w:rFonts w:eastAsia="Times New Roman" w:cs="Times New Roman" w:ascii="Times New Roman" w:hAnsi="Times New Roman"/>
          <w:b w:val="false"/>
          <w:bCs w:val="false"/>
          <w:lang w:bidi="bn-BD"/>
        </w:rPr>
        <w:t xml:space="preserve"> were run in a 2.6 GHz AMD Opteron PC using 20000 source neutrons. The results for the critical reference configuration are summarized in the table below. </w:t>
      </w:r>
    </w:p>
    <w:p>
      <w:pPr>
        <w:pStyle w:val="Normal"/>
        <w:spacing w:lineRule="auto" w:line="360"/>
        <w:jc w:val="both"/>
        <w:rPr>
          <w:rFonts w:ascii="Times New Roman" w:hAnsi="Times New Roman" w:eastAsia="Times New Roman" w:cs="Times New Roman"/>
          <w:b w:val="false"/>
          <w:b w:val="false"/>
          <w:bCs w:val="false"/>
          <w:lang w:bidi="bn-BD"/>
        </w:rPr>
      </w:pPr>
      <w:r>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drawing>
          <wp:anchor behindDoc="0" distT="0" distB="0" distL="0" distR="0" simplePos="0" locked="0" layoutInCell="1" allowOverlap="1" relativeHeight="5">
            <wp:simplePos x="0" y="0"/>
            <wp:positionH relativeFrom="column">
              <wp:posOffset>200025</wp:posOffset>
            </wp:positionH>
            <wp:positionV relativeFrom="paragraph">
              <wp:posOffset>43815</wp:posOffset>
            </wp:positionV>
            <wp:extent cx="4729480" cy="294005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0"/>
                    <a:stretch>
                      <a:fillRect/>
                    </a:stretch>
                  </pic:blipFill>
                  <pic:spPr bwMode="auto">
                    <a:xfrm>
                      <a:off x="0" y="0"/>
                      <a:ext cx="4729480" cy="2940050"/>
                    </a:xfrm>
                    <a:prstGeom prst="rect">
                      <a:avLst/>
                    </a:prstGeom>
                  </pic:spPr>
                </pic:pic>
              </a:graphicData>
            </a:graphic>
          </wp:anchor>
        </w:drawing>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tbl>
      <w:tblPr>
        <w:tblW w:w="7200" w:type="dxa"/>
        <w:jc w:val="left"/>
        <w:tblInd w:w="45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980"/>
        <w:gridCol w:w="1440"/>
        <w:gridCol w:w="2070"/>
        <w:gridCol w:w="1709"/>
      </w:tblGrid>
      <w:tr>
        <w:trPr/>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r>
          </w:p>
          <w:p>
            <w:pPr>
              <w:pStyle w:val="TableContents"/>
              <w:rPr>
                <w:sz w:val="22"/>
                <w:szCs w:val="22"/>
              </w:rPr>
            </w:pPr>
            <w:r>
              <w:rPr>
                <w:sz w:val="22"/>
                <w:szCs w:val="22"/>
              </w:rPr>
              <w:t>Qualifying</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r>
          </w:p>
          <w:p>
            <w:pPr>
              <w:pStyle w:val="TableContents"/>
              <w:rPr>
                <w:sz w:val="22"/>
                <w:szCs w:val="22"/>
              </w:rPr>
            </w:pPr>
            <w:r>
              <w:rPr>
                <w:sz w:val="22"/>
                <w:szCs w:val="22"/>
              </w:rPr>
              <w:t>ENDF/B-VIII</w:t>
            </w:r>
          </w:p>
        </w:tc>
        <w:tc>
          <w:tcPr>
            <w:tcW w:w="2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r>
          </w:p>
          <w:p>
            <w:pPr>
              <w:pStyle w:val="TableContents"/>
              <w:rPr>
                <w:sz w:val="22"/>
                <w:szCs w:val="22"/>
              </w:rPr>
            </w:pPr>
            <w:r>
              <w:rPr>
                <w:sz w:val="22"/>
                <w:szCs w:val="22"/>
              </w:rPr>
              <w:t>1.0432</w:t>
            </w:r>
          </w:p>
        </w:tc>
        <w:tc>
          <w:tcPr>
            <w:tcW w:w="1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r>
          </w:p>
          <w:p>
            <w:pPr>
              <w:pStyle w:val="TableContents"/>
              <w:rPr>
                <w:sz w:val="22"/>
                <w:szCs w:val="22"/>
              </w:rPr>
            </w:pPr>
            <w:r>
              <w:rPr>
                <w:sz w:val="22"/>
                <w:szCs w:val="22"/>
              </w:rPr>
              <w:t>240 (2000 neutrons)</w:t>
            </w:r>
          </w:p>
        </w:tc>
      </w:tr>
    </w:tbl>
    <w:p>
      <w:pPr>
        <w:pStyle w:val="Normal"/>
        <w:spacing w:lineRule="auto" w:line="360"/>
        <w:jc w:val="both"/>
        <w:rPr>
          <w:rFonts w:ascii="Times New Roman" w:hAnsi="Times New Roman" w:eastAsia="Times New Roman" w:cs="Times New Roman"/>
          <w:b/>
          <w:b/>
          <w:bCs/>
          <w:lang w:bidi="bn-BD"/>
        </w:rPr>
      </w:pPr>
      <w:r>
        <w:rPr>
          <w:rFonts w:eastAsia="Times New Roman" w:cs="Times New Roman" w:ascii="Times New Roman" w:hAnsi="Times New Roman"/>
          <w:b/>
          <w:bCs/>
          <w:lang w:bidi="bn-BD"/>
        </w:rPr>
      </w:r>
    </w:p>
    <w:p>
      <w:pPr>
        <w:pStyle w:val="Normal"/>
        <w:spacing w:lineRule="auto" w:line="360"/>
        <w:jc w:val="both"/>
        <w:rPr/>
      </w:pPr>
      <w:r>
        <w:rPr>
          <w:rFonts w:eastAsia="Times New Roman" w:cs="Times New Roman" w:ascii="Times New Roman" w:hAnsi="Times New Roman"/>
          <w:b w:val="false"/>
          <w:bCs w:val="false"/>
          <w:lang w:bidi="bn-BD"/>
        </w:rPr>
        <w:t xml:space="preserve">It is shown that </w:t>
      </w:r>
      <w:r>
        <w:rPr>
          <w:rFonts w:eastAsia="Times New Roman" w:cs="Times New Roman" w:ascii="Times New Roman" w:hAnsi="Times New Roman"/>
          <w:b w:val="false"/>
          <w:bCs w:val="false"/>
          <w:lang w:bidi="bn-BD"/>
        </w:rPr>
        <w:t xml:space="preserve">the flux spectrum inside the 2D reactor closely follows the pattern predicted by the Watt function, and </w:t>
      </w:r>
      <w:r>
        <w:rPr>
          <w:rFonts w:eastAsia="Times New Roman" w:cs="Times New Roman" w:ascii="Times New Roman" w:hAnsi="Times New Roman"/>
          <w:b w:val="false"/>
          <w:bCs w:val="false"/>
          <w:lang w:bidi="bn-BD"/>
        </w:rPr>
        <w:t>the effective multiplication factor (keff) given by Qualifying is reasonably close to unity and  the reference results. Leppänen 2008 used 20000 source neutrons in their simulation, whereas Qualifying used 2000 due to mechanical constraints. When Qualifying uses higher numbers of source neutrons, the keff values are closer to unity. Furthermore, increasing the energy resolution will result in a more accurate description of the resonance region, resulting in better agreement.</w:t>
      </w:r>
    </w:p>
    <w:p>
      <w:pPr>
        <w:pStyle w:val="Normal"/>
        <w:spacing w:lineRule="auto" w:line="360"/>
        <w:jc w:val="both"/>
        <w:rPr/>
      </w:pPr>
      <w:r>
        <w:rPr/>
      </w:r>
    </w:p>
    <w:sectPr>
      <w:type w:val="nextPage"/>
      <w:pgSz w:w="12240" w:h="15840"/>
      <w:pgMar w:left="1440" w:right="1440" w:header="0" w:top="1440" w:footer="0" w:bottom="1440" w:gutter="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84c3e"/>
    <w:rPr>
      <w:color w:val="808080"/>
    </w:rPr>
  </w:style>
  <w:style w:type="character" w:styleId="DateChar" w:customStyle="1">
    <w:name w:val="Date Char"/>
    <w:basedOn w:val="DefaultParagraphFont"/>
    <w:link w:val="Date"/>
    <w:uiPriority w:val="99"/>
    <w:semiHidden/>
    <w:qFormat/>
    <w:rsid w:val="00067734"/>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Calib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Calib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alibri"/>
      <w:b/>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InternetLink">
    <w:name w:val="Internet Link"/>
    <w:rPr>
      <w:color w:val="000080"/>
      <w:u w:val="single"/>
      <w:lang w:val="zxx" w:eastAsia="zxx" w:bidi="zxx"/>
    </w:rPr>
  </w:style>
  <w:style w:type="character" w:styleId="ListLabel32">
    <w:name w:val="ListLabel 32"/>
    <w:qFormat/>
    <w:rPr>
      <w:rFonts w:cs="Calibri"/>
      <w:b/>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eastAsia="Times New Roman" w:cs="Times New Roman"/>
      <w:b/>
      <w:bCs/>
      <w:lang w:bidi="bn-B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842b8"/>
    <w:pPr>
      <w:spacing w:before="0" w:after="0"/>
      <w:ind w:left="720" w:hanging="0"/>
      <w:contextualSpacing/>
    </w:pPr>
    <w:rPr/>
  </w:style>
  <w:style w:type="paragraph" w:styleId="Date">
    <w:name w:val="Date"/>
    <w:basedOn w:val="Normal"/>
    <w:next w:val="Normal"/>
    <w:link w:val="DateChar"/>
    <w:uiPriority w:val="99"/>
    <w:semiHidden/>
    <w:unhideWhenUsed/>
    <w:qFormat/>
    <w:rsid w:val="00067734"/>
    <w:pPr/>
    <w:rPr/>
  </w:style>
  <w:style w:type="paragraph" w:styleId="NormalWeb">
    <w:name w:val="Normal (Web)"/>
    <w:basedOn w:val="Normal"/>
    <w:uiPriority w:val="99"/>
    <w:unhideWhenUsed/>
    <w:qFormat/>
    <w:rsid w:val="00423536"/>
    <w:pPr>
      <w:spacing w:beforeAutospacing="1" w:afterAutospacing="1"/>
    </w:pPr>
    <w:rPr>
      <w:rFonts w:ascii="Times New Roman" w:hAnsi="Times New Roman" w:eastAsia="Times New Roman" w:cs="Times New Roman"/>
      <w:lang w:bidi="bn-BD"/>
    </w:rPr>
  </w:style>
  <w:style w:type="paragraph" w:styleId="Default" w:customStyle="1">
    <w:name w:val="Default"/>
    <w:qFormat/>
    <w:rsid w:val="006611a4"/>
    <w:pPr>
      <w:widowControl/>
      <w:bidi w:val="0"/>
      <w:jc w:val="left"/>
    </w:pPr>
    <w:rPr>
      <w:rFonts w:ascii="Calibri" w:hAnsi="Calibri" w:eastAsia="Calibri" w:cs="Calibri"/>
      <w:color w:val="000000"/>
      <w:kern w:val="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indico.cern.ch/event/145296/contributions/1381141/attachments/136909/194258/lecture24.pdf" TargetMode="External"/><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EA48A8-C0DF-DA44-8190-D6D1B042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Application>LibreOffice/6.0.6.2$Linux_X86_64 LibreOffice_project/00m0$Build-2</Application>
  <Pages>10</Pages>
  <Words>1592</Words>
  <Characters>8693</Characters>
  <CharactersWithSpaces>10247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2018-05-08T21:01:00Z</dcterms:created>
  <dc:creator>PERRY, JONATHAN E</dc:creator>
  <dc:description/>
  <dc:language>en-US</dc:language>
  <cp:lastModifiedBy/>
  <dcterms:modified xsi:type="dcterms:W3CDTF">2018-11-03T17:46:08Z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