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BD952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B1940">
        <w:rPr>
          <w:rFonts w:ascii="Times New Roman" w:hAnsi="Times New Roman" w:cs="Times New Roman"/>
          <w:b/>
          <w:bCs/>
          <w:sz w:val="28"/>
          <w:szCs w:val="28"/>
        </w:rPr>
        <w:t>2.4. Экономическое развитие</w:t>
      </w:r>
    </w:p>
    <w:p w14:paraId="0D656F8C" w14:textId="12ED04EB" w:rsidR="00A86D6C" w:rsidRPr="00DB1940" w:rsidRDefault="00A86D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3353B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Пяти инвестиционным проектам, реализуемым ООО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Курскхимволокно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ОАО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Курскрезинотехника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АО "ГОТЭК-ПРИНТ", АО "ГОТЭК-ЛИТАР" и АО "ГОТЭК-ПОЛИПАК", предоставлены льготные займы непосредственно Федеральным фондом развития промышленности.</w:t>
      </w:r>
    </w:p>
    <w:p w14:paraId="096DF9C5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На ближайшую перспективу приоритетной задачей Фонда развития станет формирование комплексного подхода поддержки развития промышленности, включая совершенствование критериев отбора перспективных инвестиционных проектов, содействие в предоставлении мер государственной поддержки федерального и регионального уровня, формирование новых эффективных механизмов стимулирования инвестиционной и инновационной активности предприятий.</w:t>
      </w:r>
    </w:p>
    <w:p w14:paraId="5B13B7C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Органами исполнительной власти Курской области продолжается работа, направленная на развитие в регионе инновационной инфраструктуры, создание высокотехнологичных производств.</w:t>
      </w:r>
    </w:p>
    <w:p w14:paraId="1E7E5CDC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 xml:space="preserve">(в ред. </w:t>
      </w:r>
      <w:hyperlink r:id="rId4" w:history="1">
        <w:r w:rsidRPr="00DB1940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DB1940">
        <w:rPr>
          <w:rFonts w:ascii="Times New Roman" w:hAnsi="Times New Roman" w:cs="Times New Roman"/>
          <w:sz w:val="24"/>
          <w:szCs w:val="24"/>
        </w:rPr>
        <w:t xml:space="preserve"> Курской области от 23.12.2022 N 169-ЗКО)</w:t>
      </w:r>
    </w:p>
    <w:p w14:paraId="70BD184B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На базе АО "КЭАЗ" создан научно-производственный электротехнический кластер, который объединяет 10 промышленных предприятий, 1 высшее учебное заведение (ЮЗГУ) и 2 организации технологической инфраструктуры. Создание кластера позволяет консолидировать ресурсы и возможности участников для повышения конкурентоспособности конечной электротехнической продукции и снижения зависимости от импорта из стран Европы и Юго-Восточной Азии. Производственные цепочки, созданные в рамках кластера, охватывают полный цикл конструкторских разработок, серийного производства и сопровождения продукции на всех этапах ее жизненного цикла.</w:t>
      </w:r>
    </w:p>
    <w:p w14:paraId="2159F42D" w14:textId="09EE1BF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Совместно с ООО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Совтест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 АТЕ" реализуются мероприятия по созданию на территории региона промышленного технопарка. 8 мая 2020 года зарегистрирована Управляющая Компания "Промышленный Технопарк 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Совтест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".</w:t>
      </w:r>
    </w:p>
    <w:p w14:paraId="0EB37B92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AFB21A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 xml:space="preserve">В сентябре 2015 года АО "Михайловский ГОК им. А.В. 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Варичева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 был запущен комплекс обжиговой машины N 3 - уникальный проект, инвестиции в который составили более 16 млрд. рублей. Реализация проекта позволила увеличить мощности компании по выпуску окатышей на 5 млн. тонн в год. В 2018 году комбинатом введен в промышленную эксплуатацию комплекс по приему концентрата с Лебединского ГОКа, что позволило увеличить загрузку мощностей обжиговых машин и сохранить на рынке позиции ведущего поставщика товарного концентрата.</w:t>
      </w:r>
    </w:p>
    <w:p w14:paraId="0F47186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 xml:space="preserve">На комбинате реализуется инвестиционный проект "Строительство дробильно-конвейерного комплекса на северо-восточном и юго-восточном борту карьера" (2015 - 2022 гг.), общая стоимость которого составляет более 11 млрд. рублей. Ввод в эксплуатацию комплекса позволит обеспечить ежегодное производство магнетитового концентрата в объеме не менее 17,0 млн. тонн в год, повысить эффективность работы </w:t>
      </w:r>
      <w:proofErr w:type="gramStart"/>
      <w:r w:rsidRPr="00DB1940">
        <w:rPr>
          <w:rFonts w:ascii="Times New Roman" w:hAnsi="Times New Roman" w:cs="Times New Roman"/>
          <w:sz w:val="24"/>
          <w:szCs w:val="24"/>
        </w:rPr>
        <w:t>горно-транспортного</w:t>
      </w:r>
      <w:proofErr w:type="gramEnd"/>
      <w:r w:rsidRPr="00DB1940">
        <w:rPr>
          <w:rFonts w:ascii="Times New Roman" w:hAnsi="Times New Roman" w:cs="Times New Roman"/>
          <w:sz w:val="24"/>
          <w:szCs w:val="24"/>
        </w:rPr>
        <w:t xml:space="preserve"> комплекса, а также дополнительно вовлечь в переработку запасы руды высокого качества.</w:t>
      </w:r>
    </w:p>
    <w:p w14:paraId="357FFBDD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 xml:space="preserve">АО "Михайловский ГОК им. А.В. 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Варичева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" - важнейшее 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бюджетообразующее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 предприятие Курской области. Налоговые платежи компании в консолидированный бюджет Курской области только в 2017 году превысили 5,2 млрд. рублей. Ежегодный объем инвестиций в социально-экономическое развитие Курской области составляет 500 - 700 млн. рублей.</w:t>
      </w:r>
    </w:p>
    <w:p w14:paraId="29E274F4" w14:textId="77777777" w:rsidR="00A86D6C" w:rsidRPr="00DB1940" w:rsidRDefault="00A86D6C" w:rsidP="00DB19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B035B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 xml:space="preserve">Активно развивается новое направление - производство грибов. В мае 2018 года в ООО "Грибная радуга" в Курском районе запущена вторая очередь инвестиционного </w:t>
      </w:r>
      <w:r w:rsidRPr="00DB1940">
        <w:rPr>
          <w:rFonts w:ascii="Times New Roman" w:hAnsi="Times New Roman" w:cs="Times New Roman"/>
          <w:sz w:val="24"/>
          <w:szCs w:val="24"/>
        </w:rPr>
        <w:lastRenderedPageBreak/>
        <w:t>проекта с удвоением мощности производства грибов до 10,0 тыс. тонн в год. Завершено строительство третьей очереди. Производство грибов будет доведено до 17 тыс. тонн.</w:t>
      </w:r>
    </w:p>
    <w:p w14:paraId="6A86BE31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В Железногорском районе компанией ООО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Агропромкомплектация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-Курск" введен в эксплуатацию комплекс по производству комбикормов мощностью 230 тыс. тонн в год и элеватор на 150 тыс. тонн. Объем инвестиций составил порядка 3,1 млрд. рублей.</w:t>
      </w:r>
    </w:p>
    <w:p w14:paraId="4E3B58E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Кроме того, сегодня в отрасли поставлена задача по созданию высокоэффективных производств, которые позволят обеспечить внедрение малоотходных и ресурсосберегающих технологий, а также получить новые продукты с высокой добавленной стоимостью, востребованные на внутреннем и внешних рынках.</w:t>
      </w:r>
    </w:p>
    <w:p w14:paraId="55CEA6D4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Компанией АО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ИннПромБиотех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" прорабатывается вопрос по строительству на территории Курской области комплекса по глубокой переработке зерна пшеницы мощностью 250 тыс. тонн в год и производству глютена, модифицированного крахмала, карамельной и 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мальтозной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 патоки. Сумма инвестиций проекта - более 16 млрд. рублей.</w:t>
      </w:r>
    </w:p>
    <w:p w14:paraId="73E2F817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Реализация указанных инвестиционных проектов позволит увеличить переработку зерна внутри региона до 2,5 млн. тонн.</w:t>
      </w:r>
    </w:p>
    <w:p w14:paraId="65548BD4" w14:textId="77853F6B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В настоящее время в агропромышленном комплексе Курской области реализуется 19 соглашений о сотрудничестве с инвестиционными компаниями, наиболее крупными из которых являются: ООО "УК "Агро-Инвест", ОАО АКБ "Авангард", ООО "Группа компаний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Продимекс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ООО ГК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Русагро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ООО АПХ "Мираторг", ООО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Агропромкомплектация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ООО УК "Русский дом", ПАО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Моснефтегазстройкомплект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АО "Надежда", ООО УК "Объединенные кондитеры", ЗАО "Агрокомплекс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Мансурово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ООО "Грибная радуга", ООО "Содружество", УК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ЭкоНива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 - АПК Холдинг".</w:t>
      </w:r>
    </w:p>
    <w:p w14:paraId="71FEC732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Инвестиции и инвестиционная привлекательность. В Курской области проводится работа по созданию благоприятных условий для улучшения инвестиционной привлекательности: совершенствуется нормативная правовая база, реализуются мероприятия Инвестиционной стратегии региона до 2025 года и подпрограммы "Создание благоприятных условий для привлечения инвестиций в экономику Курской области" государственной программы "Развитие экономики и внешних связей Курской области", действуют Совет по улучшению инвестиционного климата и АО "Агентство по привлечению инвестиций Курской области".</w:t>
      </w:r>
    </w:p>
    <w:p w14:paraId="562CB9B5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Также одним из основных направлений работы по улучшению условий для ведения бизнеса является создание площадок с подготовленными объектами энергетической и транспортной инфраструктуры.</w:t>
      </w:r>
    </w:p>
    <w:p w14:paraId="0CDD2801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Осуществляется работа по развитию муниципального индустриального (промышленного) парка в г. Щигры и индустриального (промышленного) парка "Юбилейный", расположенного на территории Щетинского сельсовета Курского района. Особое внимание уделяется пустующим производственным площадкам бывших советских гигантов (создаются индустриальные парки на площадках АПЗ-20 и завода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Счетмаш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").</w:t>
      </w:r>
    </w:p>
    <w:p w14:paraId="1B545A46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Объем инвестиций в основной капитал в целом по Курской области по итогам 2018 года составил 120,7 млрд. рублей (0,7% от России в целом). По объему инвестиций на душу населения регион занимает 26-е место среди субъектов Российской Федерации. За период 2013 - 2018 гг. регион поднялся по этому показателю сразу на 23 позиции.</w:t>
      </w:r>
    </w:p>
    <w:p w14:paraId="0E17F3D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Динамика инвестиционной активности по Курской области за период 1999 - 2018 гг. имела схожие тенденции с общероссийской. В 2008 - 2009 гг. падение инвестиционной активности по Курской области было более существенным по сравнению с общероссийскими показателями (более чем на 15% в 2009 году по сравнению с 2008 годом; 13,5% - в целом по России). Темпы роста инвестиций в основной капитал с 2015 года в регионе более высокие по сравнению с общероссийской динамикой.</w:t>
      </w:r>
    </w:p>
    <w:p w14:paraId="47F252BA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Основной поток инвестиций (в среднем за период 2010 - 2018 гг. - 60 - 65% от общего объема) направляется в проекты в таких отраслях, как сельское хозяйство, охота и лесное хозяйство, обрабатывающие производства, обеспечение электрической энергией, газом и паром и др.</w:t>
      </w:r>
    </w:p>
    <w:p w14:paraId="365C7852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lastRenderedPageBreak/>
        <w:t>При этом доминирующее положение в общем объеме инвестиций в основной капитал до 2014 года занимали сельское хозяйство, охота и лесное хозяйство (около 25 - 30% от объема инвестиций в основной капитал), в 2015 - 2018 гг. лидером по объему привлеченных инвестиций стали проекты в области производства и распределения электроэнергии, газа и воды (20 - 25% объема инвестиций в основной капитал).</w:t>
      </w:r>
    </w:p>
    <w:p w14:paraId="1480B7F6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0137F55" w14:textId="77777777" w:rsidR="00A86D6C" w:rsidRDefault="00DB1940" w:rsidP="00DB1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noProof/>
          <w:position w:val="-324"/>
          <w:sz w:val="24"/>
          <w:szCs w:val="24"/>
        </w:rPr>
        <w:drawing>
          <wp:inline distT="0" distB="0" distL="0" distR="0" wp14:anchorId="2B1B5F85" wp14:editId="1E3D9B40">
            <wp:extent cx="4276725" cy="30171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254" cy="30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BAA0" w14:textId="77777777" w:rsidR="00DB1940" w:rsidRDefault="00DB1940" w:rsidP="00DB1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9527C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B1940">
        <w:rPr>
          <w:rFonts w:ascii="Times New Roman" w:hAnsi="Times New Roman" w:cs="Times New Roman"/>
          <w:b/>
          <w:bCs/>
          <w:sz w:val="24"/>
          <w:szCs w:val="24"/>
        </w:rPr>
        <w:t>Рисунок 9. Инвестиции Курской области</w:t>
      </w:r>
    </w:p>
    <w:p w14:paraId="40C20B0F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56FA1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Источник: составлено Центром стратегий регионального развития РАНХиГС.</w:t>
      </w:r>
    </w:p>
    <w:p w14:paraId="59C8654E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337CD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 xml:space="preserve">Всего промышленными предприятиями Курской области в настоящее время реализуется более 30 инвестиционных проектов, связанных с техническим перевооружением, расширением производств, а также с освоением выпуска новых видов конкурентоспособной импортозамещающей продукции, в том числе: АО "Михайловский ГОК им. А.В. 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Варичева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Курская АЭС, ОАО "Фармстандарт-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Лексредства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ООО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Курскхимволокно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>", ООО "</w:t>
      </w:r>
      <w:proofErr w:type="spellStart"/>
      <w:r w:rsidRPr="00DB1940">
        <w:rPr>
          <w:rFonts w:ascii="Times New Roman" w:hAnsi="Times New Roman" w:cs="Times New Roman"/>
          <w:sz w:val="24"/>
          <w:szCs w:val="24"/>
        </w:rPr>
        <w:t>Совтест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 АТЕ", предприятия Курской аккумуляторной площадки, предприятия группы ГОТЭК и др.</w:t>
      </w:r>
    </w:p>
    <w:p w14:paraId="62E0A4D6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1940">
        <w:rPr>
          <w:rFonts w:ascii="Times New Roman" w:hAnsi="Times New Roman" w:cs="Times New Roman"/>
          <w:sz w:val="24"/>
          <w:szCs w:val="24"/>
        </w:rPr>
        <w:t>Внутрирегиональное</w:t>
      </w:r>
      <w:proofErr w:type="spellEnd"/>
      <w:r w:rsidRPr="00DB1940">
        <w:rPr>
          <w:rFonts w:ascii="Times New Roman" w:hAnsi="Times New Roman" w:cs="Times New Roman"/>
          <w:sz w:val="24"/>
          <w:szCs w:val="24"/>
        </w:rPr>
        <w:t xml:space="preserve"> распределение инвестиций характеризуется крайне высокой неравномерностью: более 50% всех инвестиционных вложений приходится на города Курск, Железногорск и Курчатов.</w:t>
      </w:r>
    </w:p>
    <w:p w14:paraId="5F209F33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Основным источником инвестиций в основной капитал за период 2017 - 2018 гг. являлись привлеченные средства организаций (55 - 60%), в структуре которых наибольшую долю занимают кредиты банков и бюджетные средства. Объем прямых иностранных инвестиций в экономику региона минимальный среди регионов ЦФО (1 - 4 млн. долл. ежегодно по итогам 2015 - 2017 гг. по данным платежного баланса Российской Федерации).</w:t>
      </w:r>
    </w:p>
    <w:p w14:paraId="0188523B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1940">
        <w:rPr>
          <w:rFonts w:ascii="Times New Roman" w:hAnsi="Times New Roman" w:cs="Times New Roman"/>
          <w:sz w:val="24"/>
          <w:szCs w:val="24"/>
        </w:rPr>
        <w:t>Согласно данным РА</w:t>
      </w:r>
      <w:proofErr w:type="gramEnd"/>
      <w:r w:rsidRPr="00DB1940">
        <w:rPr>
          <w:rFonts w:ascii="Times New Roman" w:hAnsi="Times New Roman" w:cs="Times New Roman"/>
          <w:sz w:val="24"/>
          <w:szCs w:val="24"/>
        </w:rPr>
        <w:t xml:space="preserve"> "Эксперт", с 2014 года Курская область имеет рейтинг 3А1 (пониженный потенциал - минимальный риск). В целом для регионов ЦФО характерно низкое значение инвестиционных рисков и средние показатели инвестиционного потенциала, что определяет состав группы 3А1 (из 11 регионов группы - 8 входят в состав ЦФО). Курская область в последние пять лет стабильно входит в десятку наиболее безопасных регионов с точки зрения рисков вложения инвестиций.</w:t>
      </w:r>
    </w:p>
    <w:p w14:paraId="65C747B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В Национальном рейтинге состояния инвестиционного климата субъектов Российской Федерации область находится на 62-м месте.</w:t>
      </w:r>
    </w:p>
    <w:p w14:paraId="29175715" w14:textId="330EFB8A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lastRenderedPageBreak/>
        <w:t>В 2018 году Аналитическое Кредитное Рейтинговое Агентство (Акционерное общество) присвоило Курской области и выпуску облигаций Курской области кредитный рейтинг A(RU), прогноз - "Стабильный". В 2019 году указанный рейтинг подтвержден, прогноз изменен на "Позитивный".</w:t>
      </w:r>
    </w:p>
    <w:p w14:paraId="60D4A224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DF2E397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B1940">
        <w:rPr>
          <w:rFonts w:ascii="Times New Roman" w:hAnsi="Times New Roman" w:cs="Times New Roman"/>
          <w:b/>
          <w:bCs/>
          <w:sz w:val="24"/>
          <w:szCs w:val="24"/>
        </w:rPr>
        <w:t>4.3. Приоритетные направления Стратегии</w:t>
      </w:r>
    </w:p>
    <w:p w14:paraId="1A120E8B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4B98C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На основании предложенной миссии и основной цели выделены следующие основные равнозначные и взаимосвязанные приоритеты развития Курской области:</w:t>
      </w:r>
    </w:p>
    <w:p w14:paraId="4DDEF24B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2E46224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B1940">
        <w:rPr>
          <w:rFonts w:ascii="Times New Roman" w:hAnsi="Times New Roman" w:cs="Times New Roman"/>
          <w:b/>
          <w:bCs/>
          <w:sz w:val="24"/>
          <w:szCs w:val="24"/>
        </w:rPr>
        <w:t>Приоритет 2 "Управление развитием"</w:t>
      </w:r>
    </w:p>
    <w:p w14:paraId="5E95C296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6E795" w14:textId="77777777" w:rsidR="00DB1940" w:rsidRPr="00DB1940" w:rsidRDefault="00DB1940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940">
        <w:rPr>
          <w:rFonts w:ascii="Times New Roman" w:hAnsi="Times New Roman" w:cs="Times New Roman"/>
          <w:sz w:val="24"/>
          <w:szCs w:val="24"/>
        </w:rPr>
        <w:t>Создание институциональной среды для реализации человеческого потенциала, в том числе: развитие малого и среднего предпринимательства, создание стимулов для реализации гражданской и предпринимательской инициативы, улучшение</w:t>
      </w:r>
      <w:r w:rsidRPr="00DB19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1940">
        <w:rPr>
          <w:rFonts w:ascii="Times New Roman" w:hAnsi="Times New Roman" w:cs="Times New Roman"/>
          <w:sz w:val="24"/>
          <w:szCs w:val="24"/>
        </w:rPr>
        <w:t>инвестиционного климата, реализация проектов развития, развитие цифровой экономики и цифрового управления.</w:t>
      </w:r>
    </w:p>
    <w:p w14:paraId="376DB3C4" w14:textId="77777777" w:rsidR="00DB1940" w:rsidRPr="00DB1940" w:rsidRDefault="00DB1940" w:rsidP="00DB19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E3295" w14:textId="4AFF18F8" w:rsidR="002D341D" w:rsidRPr="00DB1940" w:rsidRDefault="00A86D6C" w:rsidP="00DB194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B1940">
        <w:rPr>
          <w:rFonts w:ascii="Times New Roman" w:hAnsi="Times New Roman" w:cs="Times New Roman"/>
          <w:b/>
          <w:bCs/>
          <w:sz w:val="24"/>
          <w:szCs w:val="24"/>
        </w:rPr>
        <w:t>6. Приоритетное направление "Управление развитием"</w:t>
      </w:r>
    </w:p>
    <w:p w14:paraId="3303A69F" w14:textId="4C4EBA0B" w:rsidR="00A86D6C" w:rsidRPr="00DB1940" w:rsidRDefault="00A86D6C" w:rsidP="00DB1940">
      <w:pPr>
        <w:spacing w:after="0" w:line="240" w:lineRule="auto"/>
        <w:rPr>
          <w:rFonts w:ascii="Times New Roman" w:hAnsi="Times New Roman" w:cs="Times New Roman"/>
        </w:rPr>
      </w:pPr>
    </w:p>
    <w:p w14:paraId="515AB773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DB1940">
        <w:rPr>
          <w:rFonts w:ascii="Times New Roman" w:hAnsi="Times New Roman" w:cs="Times New Roman"/>
          <w:b/>
          <w:bCs/>
        </w:rPr>
        <w:t>6.4. Привлечение инвестиций</w:t>
      </w:r>
    </w:p>
    <w:p w14:paraId="203CA560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1A10B3F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Задача - создание условий для привлечения инвестиций, улучшение инвестиционного климата, снижение административных барьеров, повышение качества деловой среды, участие в федеральных инициативах.</w:t>
      </w:r>
    </w:p>
    <w:p w14:paraId="2A3952A5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Основные мероприятия:</w:t>
      </w:r>
    </w:p>
    <w:p w14:paraId="742446D9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выравнивание преференций, получаемых инвесторами при реализации проектов на территории Курской области, по сравнению с другими регионами ЦФО;</w:t>
      </w:r>
    </w:p>
    <w:p w14:paraId="2EBEFAE7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привлечение резидентов в промышленные парки на территории Курской области (</w:t>
      </w:r>
      <w:proofErr w:type="spellStart"/>
      <w:r w:rsidRPr="00DB1940">
        <w:rPr>
          <w:rFonts w:ascii="Times New Roman" w:hAnsi="Times New Roman" w:cs="Times New Roman"/>
        </w:rPr>
        <w:t>Щигровский</w:t>
      </w:r>
      <w:proofErr w:type="spellEnd"/>
      <w:r w:rsidRPr="00DB1940">
        <w:rPr>
          <w:rFonts w:ascii="Times New Roman" w:hAnsi="Times New Roman" w:cs="Times New Roman"/>
        </w:rPr>
        <w:t>, Юбилейный);</w:t>
      </w:r>
    </w:p>
    <w:p w14:paraId="6FAC445C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участие представителей Курской области в программах институтов развития Российской Федерации;</w:t>
      </w:r>
    </w:p>
    <w:p w14:paraId="3EC77276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открытие региональных офисов институтов развития Российской Федерации, а также центра выявления и поддержки одаренных детей, детского технопарка "</w:t>
      </w:r>
      <w:proofErr w:type="spellStart"/>
      <w:r w:rsidRPr="00DB1940">
        <w:rPr>
          <w:rFonts w:ascii="Times New Roman" w:hAnsi="Times New Roman" w:cs="Times New Roman"/>
        </w:rPr>
        <w:t>Кванториум</w:t>
      </w:r>
      <w:proofErr w:type="spellEnd"/>
      <w:r w:rsidRPr="00DB1940">
        <w:rPr>
          <w:rFonts w:ascii="Times New Roman" w:hAnsi="Times New Roman" w:cs="Times New Roman"/>
        </w:rPr>
        <w:t>" (Курск);</w:t>
      </w:r>
    </w:p>
    <w:p w14:paraId="047EE83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проведение обучающих семинаров и мероприятий по развитию государственно-частного партнерства и заключению концессионных соглашений;</w:t>
      </w:r>
    </w:p>
    <w:p w14:paraId="139F6D89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упрощение процедуры получения разрешений на строительство и других документов;</w:t>
      </w:r>
    </w:p>
    <w:p w14:paraId="6639D54B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упрощение процедур регистрации прав собственности на земельные участки и объекты недвижимого имущества;</w:t>
      </w:r>
    </w:p>
    <w:p w14:paraId="53B884BF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упрощение подключения (технологического присоединения) к электрическим, газовым сетям, сетям теплоснабжения, водоснабжения и водоотведения, включая снижение стоимости, сроков и количества необходимой документации;</w:t>
      </w:r>
    </w:p>
    <w:p w14:paraId="68C97FCE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обеспечение защиты инвесторов и поддержки инвестиционной деятельности;</w:t>
      </w:r>
    </w:p>
    <w:p w14:paraId="1538FBAC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обеспечение работы специализированной организации по привлечению инвестиций, работы инвестиционного портала;</w:t>
      </w:r>
    </w:p>
    <w:p w14:paraId="461BB64C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развитие инвестиционной инфраструктуры (промышленные парки, инвестиционные площадки);</w:t>
      </w:r>
    </w:p>
    <w:p w14:paraId="302D6005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разработка регионального закона об инвестиционном налоговом вычете;</w:t>
      </w:r>
    </w:p>
    <w:p w14:paraId="57C9748F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развитие региональных "точек роста" - создание территории с особым экономическим статусом, в том числе реализация проекта по созданию особой экономической зоны промышленно-производственного типа на территории г. Железногорска и </w:t>
      </w:r>
      <w:proofErr w:type="spellStart"/>
      <w:r w:rsidRPr="00DB1940">
        <w:rPr>
          <w:rFonts w:ascii="Times New Roman" w:hAnsi="Times New Roman" w:cs="Times New Roman"/>
        </w:rPr>
        <w:t>Железногорского</w:t>
      </w:r>
      <w:proofErr w:type="spellEnd"/>
      <w:r w:rsidRPr="00DB1940">
        <w:rPr>
          <w:rFonts w:ascii="Times New Roman" w:hAnsi="Times New Roman" w:cs="Times New Roman"/>
        </w:rPr>
        <w:t xml:space="preserve"> района, как одного из значимых инструментов привлечения инвестиций;</w:t>
      </w:r>
    </w:p>
    <w:p w14:paraId="66897C7F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создание условий для реализации на территории особой экономической зоны крупных инвестиционных проектов;</w:t>
      </w:r>
    </w:p>
    <w:p w14:paraId="4379F937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lastRenderedPageBreak/>
        <w:t>развитие производственной, транспортно-логистической инфраструктуры, обеспечивающей потребности потенциальных инвесторов, на территории особой экономической зоны;</w:t>
      </w:r>
    </w:p>
    <w:p w14:paraId="395A8E1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реализация инвестиционных проектов на площадке созданной особой экономической зоны;</w:t>
      </w:r>
    </w:p>
    <w:p w14:paraId="620A03C3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совершенствование системы поддержки инвестиционных проектов, проведение ежегодного мониторинга результатов региональной и муниципальной поддержки инвестиционных проектов, корректировка нормативных правовых актов (при необходимости) по результатам подобных мониторингов;</w:t>
      </w:r>
    </w:p>
    <w:p w14:paraId="353F2FE6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совершенствование контрольно-надзорной деятельности в Курской области в отношении бизнес-структур и органов власти;</w:t>
      </w:r>
    </w:p>
    <w:p w14:paraId="541D5F26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снижение количества проверок бизнеса (плановых и внеплановых);</w:t>
      </w:r>
    </w:p>
    <w:p w14:paraId="05D8116C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развитие инвестиционного портала Курской области, наполнение актуальной информацией, доступность портала на различных языках, интерактивная инвестиционная карта Курской области;</w:t>
      </w:r>
    </w:p>
    <w:p w14:paraId="4D20FCD4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совершенствование нормативно-правовой базы в сфере государственно-частного и </w:t>
      </w:r>
      <w:proofErr w:type="spellStart"/>
      <w:r w:rsidRPr="00DB1940">
        <w:rPr>
          <w:rFonts w:ascii="Times New Roman" w:hAnsi="Times New Roman" w:cs="Times New Roman"/>
        </w:rPr>
        <w:t>муниципально</w:t>
      </w:r>
      <w:proofErr w:type="spellEnd"/>
      <w:r w:rsidRPr="00DB1940">
        <w:rPr>
          <w:rFonts w:ascii="Times New Roman" w:hAnsi="Times New Roman" w:cs="Times New Roman"/>
        </w:rPr>
        <w:t>-частного партнерства согласно лучшим российским практикам;</w:t>
      </w:r>
    </w:p>
    <w:p w14:paraId="05902B62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создание Центра развития государственно-частного партнерства в форме бюджетного учреждения;</w:t>
      </w:r>
    </w:p>
    <w:p w14:paraId="06DD0454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подготовка проектов с использованием механизмов государственно-частного и </w:t>
      </w:r>
      <w:proofErr w:type="spellStart"/>
      <w:r w:rsidRPr="00DB1940">
        <w:rPr>
          <w:rFonts w:ascii="Times New Roman" w:hAnsi="Times New Roman" w:cs="Times New Roman"/>
        </w:rPr>
        <w:t>муниципально</w:t>
      </w:r>
      <w:proofErr w:type="spellEnd"/>
      <w:r w:rsidRPr="00DB1940">
        <w:rPr>
          <w:rFonts w:ascii="Times New Roman" w:hAnsi="Times New Roman" w:cs="Times New Roman"/>
        </w:rPr>
        <w:t>-частного партнерства, поиск инвесторов;</w:t>
      </w:r>
    </w:p>
    <w:p w14:paraId="67FBC70E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внедрение элементов проектного управления в рамках реализации государственно-частных и </w:t>
      </w:r>
      <w:proofErr w:type="spellStart"/>
      <w:r w:rsidRPr="00DB1940">
        <w:rPr>
          <w:rFonts w:ascii="Times New Roman" w:hAnsi="Times New Roman" w:cs="Times New Roman"/>
        </w:rPr>
        <w:t>муниципально</w:t>
      </w:r>
      <w:proofErr w:type="spellEnd"/>
      <w:r w:rsidRPr="00DB1940">
        <w:rPr>
          <w:rFonts w:ascii="Times New Roman" w:hAnsi="Times New Roman" w:cs="Times New Roman"/>
        </w:rPr>
        <w:t>-частных партнерств;</w:t>
      </w:r>
    </w:p>
    <w:p w14:paraId="41105B4C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подготовка концессионных проектов: подготовка документации, осуществление необходимых инвестиций, передача инвестору в управление;</w:t>
      </w:r>
    </w:p>
    <w:p w14:paraId="2B8B4C13" w14:textId="19F24A19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разработка согласованного KPI "власть - бизнес - институты поддержки бизнеса", обеспечивающего взаимосвязь результатов работы представителей власти с ростом экономики региона.</w:t>
      </w:r>
    </w:p>
    <w:p w14:paraId="7F1168B6" w14:textId="59EB00D5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14:paraId="0AF9B55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DB1940">
        <w:rPr>
          <w:rFonts w:ascii="Times New Roman" w:hAnsi="Times New Roman" w:cs="Times New Roman"/>
          <w:b/>
          <w:bCs/>
        </w:rPr>
        <w:t>15. Ресурсное обеспечение Стратегии</w:t>
      </w:r>
    </w:p>
    <w:p w14:paraId="28AEA5DF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F1E18A1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Ресурсное обеспечение стратегии требует разносторонней мобилизации и изыскания ресурсов, включая финансирование реализации из различных источников, в том числе федеральных, областных, муниципальных и внебюджетных:</w:t>
      </w:r>
    </w:p>
    <w:p w14:paraId="50A3B04E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государственные программы Российской Федерации;</w:t>
      </w:r>
    </w:p>
    <w:p w14:paraId="32AF75AE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государственные программы Курской области (</w:t>
      </w:r>
      <w:hyperlink r:id="rId6" w:history="1">
        <w:r w:rsidRPr="00DB1940">
          <w:rPr>
            <w:rFonts w:ascii="Times New Roman" w:hAnsi="Times New Roman" w:cs="Times New Roman"/>
            <w:color w:val="0000FF"/>
          </w:rPr>
          <w:t>приложение N 4</w:t>
        </w:r>
      </w:hyperlink>
      <w:r w:rsidRPr="00DB1940">
        <w:rPr>
          <w:rFonts w:ascii="Times New Roman" w:hAnsi="Times New Roman" w:cs="Times New Roman"/>
        </w:rPr>
        <w:t xml:space="preserve"> к Стратегии социально-экономического развития Курской области на период до 2030 года);</w:t>
      </w:r>
    </w:p>
    <w:p w14:paraId="104269C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средства институтов развития;</w:t>
      </w:r>
    </w:p>
    <w:p w14:paraId="5EE0E1C4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средства внебюджетных фондов;</w:t>
      </w:r>
    </w:p>
    <w:p w14:paraId="7441FA4F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внебюджетные средства, в том числе в виде государственно-частного партнерства;</w:t>
      </w:r>
    </w:p>
    <w:p w14:paraId="222CAE4C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средства, получаемые в рамках </w:t>
      </w:r>
      <w:proofErr w:type="spellStart"/>
      <w:r w:rsidRPr="00DB1940">
        <w:rPr>
          <w:rFonts w:ascii="Times New Roman" w:hAnsi="Times New Roman" w:cs="Times New Roman"/>
        </w:rPr>
        <w:t>муниципально</w:t>
      </w:r>
      <w:proofErr w:type="spellEnd"/>
      <w:r w:rsidRPr="00DB1940">
        <w:rPr>
          <w:rFonts w:ascii="Times New Roman" w:hAnsi="Times New Roman" w:cs="Times New Roman"/>
        </w:rPr>
        <w:t>-частного партнерства.</w:t>
      </w:r>
    </w:p>
    <w:p w14:paraId="27276E5B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Ключевым показателем ресурсного обеспечения Стратегии является размер инвестиций в основной капитал за счет различных источников финансирования (собственные средства, кредиты банков, бюджетные средства и пр.). В зависимости от сценария развития Курской области предполагаются различные характеристики инвестиционной активности в регионе, включая объем инвестиций на душу населения (см. рисунок ниже).</w:t>
      </w:r>
    </w:p>
    <w:p w14:paraId="2EC15D3F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B22F89A" w14:textId="09355829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  <w:noProof/>
          <w:position w:val="-206"/>
        </w:rPr>
        <w:lastRenderedPageBreak/>
        <w:drawing>
          <wp:inline distT="0" distB="0" distL="0" distR="0" wp14:anchorId="6D7409AC" wp14:editId="667748EB">
            <wp:extent cx="515302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0710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4239F7F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Рисунок 1. Инвестиции в основной капитал в расчете на душу</w:t>
      </w:r>
    </w:p>
    <w:p w14:paraId="05AA84D6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населения, тыс. рублей в текущих ценах</w:t>
      </w:r>
    </w:p>
    <w:p w14:paraId="79B6B3F8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71233411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Источник: Центр стратегий регионального развития ИПЭИ РАНХиГС.</w:t>
      </w:r>
    </w:p>
    <w:p w14:paraId="6E915D7E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В целевом сценарии развития объем инвестиций на душу населения вырастет до 336,2 тыс. рублей (средний реальный ежегодный рост - от 8,6% до 10%), в базовом сценарии - до 256 тыс. рублей (средний реальный ежегодный рост - от 5,5% до 7%), в консервативном сценарии - до 213,9 тыс. рублей (средний реальный ежегодный рост - от 4% до 5%).</w:t>
      </w:r>
    </w:p>
    <w:p w14:paraId="59BCAB93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Общий объем инвестиций в основной капитал в текущих ценах в зависимости от сценария развития Курской области будет к 2030 году варьироваться от 226,3 млрд. рублей до 372,5 млрд. рублей (см. рисунок ниже).</w:t>
      </w:r>
    </w:p>
    <w:p w14:paraId="360F0989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9ED8C28" w14:textId="18B47C8D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  <w:noProof/>
          <w:position w:val="-230"/>
        </w:rPr>
        <w:drawing>
          <wp:inline distT="0" distB="0" distL="0" distR="0" wp14:anchorId="17A408FE" wp14:editId="6CC47EB4">
            <wp:extent cx="4048125" cy="22396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71" cy="225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CDFF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0B98607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Рисунок 2. Инвестиции в основной капитал, млрд. рублей</w:t>
      </w:r>
    </w:p>
    <w:p w14:paraId="7857A4F0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в текущих ценах</w:t>
      </w:r>
    </w:p>
    <w:p w14:paraId="555F88B1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D0BD1BB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Источник: Центр стратегий регионального развития ИПЭИ РАНХиГС.</w:t>
      </w:r>
    </w:p>
    <w:p w14:paraId="5979CE32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Вовлеченность федерального центра в решение региональных и муниципальных проблем будет также отражаться на динамике инвестиций в основной капитал. В целевом сценарии доля бюджетных средств в общем объеме инвестиций в основной капитал составит порядка 5,9%.</w:t>
      </w:r>
    </w:p>
    <w:p w14:paraId="30E83725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В таблице N 1 представлены более подробные данные в разрезе сценариев.</w:t>
      </w:r>
    </w:p>
    <w:p w14:paraId="57985E42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Планируемые инвестиционные проекты Курской области представлены в </w:t>
      </w:r>
      <w:hyperlink r:id="rId9" w:history="1">
        <w:r w:rsidRPr="00DB1940">
          <w:rPr>
            <w:rFonts w:ascii="Times New Roman" w:hAnsi="Times New Roman" w:cs="Times New Roman"/>
            <w:color w:val="0000FF"/>
          </w:rPr>
          <w:t>приложении N 3</w:t>
        </w:r>
      </w:hyperlink>
      <w:r w:rsidRPr="00DB1940">
        <w:rPr>
          <w:rFonts w:ascii="Times New Roman" w:hAnsi="Times New Roman" w:cs="Times New Roman"/>
        </w:rPr>
        <w:t xml:space="preserve"> к Стратегии социального-экономического развития Курской области на период до 2030 года.</w:t>
      </w:r>
    </w:p>
    <w:p w14:paraId="22A52991" w14:textId="77777777" w:rsidR="00DB1940" w:rsidRDefault="00DB1940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  <w:sectPr w:rsidR="00DB1940">
          <w:pgSz w:w="11905" w:h="16838"/>
          <w:pgMar w:top="1134" w:right="850" w:bottom="1134" w:left="1701" w:header="0" w:footer="0" w:gutter="0"/>
          <w:cols w:space="720"/>
          <w:noEndnote/>
        </w:sectPr>
      </w:pPr>
    </w:p>
    <w:p w14:paraId="37D8225C" w14:textId="493DB4CE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lastRenderedPageBreak/>
        <w:t>Таблица N 1</w:t>
      </w:r>
    </w:p>
    <w:p w14:paraId="79AAE787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C812A85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Основные целевые индикаторы инвестиционной деятельности</w:t>
      </w:r>
    </w:p>
    <w:p w14:paraId="7248E92F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Курской области</w:t>
      </w:r>
    </w:p>
    <w:p w14:paraId="7226AB1B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1473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91"/>
        <w:gridCol w:w="1928"/>
        <w:gridCol w:w="1653"/>
        <w:gridCol w:w="1653"/>
        <w:gridCol w:w="1653"/>
        <w:gridCol w:w="1653"/>
        <w:gridCol w:w="1653"/>
        <w:gridCol w:w="1653"/>
      </w:tblGrid>
      <w:tr w:rsidR="00A86D6C" w:rsidRPr="00DB1940" w14:paraId="223A7E49" w14:textId="77777777" w:rsidTr="00DB1940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D94F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93AA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Сценарий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BC77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1412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C81B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8B3C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4B30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4EB0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2030</w:t>
            </w:r>
          </w:p>
        </w:tc>
      </w:tr>
      <w:tr w:rsidR="00A86D6C" w:rsidRPr="00DB1940" w14:paraId="2D74E6D8" w14:textId="77777777" w:rsidTr="00DB1940"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763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1. Инвестиции в основной капитал Курской области в расчете на душу населения, тыс. рублей в текущих ценах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2B83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консервативный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2754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90,2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96A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108,7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920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131,1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F3D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139,1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0EB5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173,1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0AAC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213,9</w:t>
            </w:r>
          </w:p>
        </w:tc>
      </w:tr>
      <w:tr w:rsidR="00A86D6C" w:rsidRPr="00DB1940" w14:paraId="10820D2B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AFA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87D6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A8E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35E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CC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A26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EE75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184,2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CD41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256,0</w:t>
            </w:r>
          </w:p>
        </w:tc>
      </w:tr>
      <w:tr w:rsidR="00A86D6C" w:rsidRPr="00DB1940" w14:paraId="62A5BCC7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D9C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17E4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целевой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65D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EE6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C49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2F7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9CFE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221,1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AC64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336,2</w:t>
            </w:r>
          </w:p>
        </w:tc>
      </w:tr>
      <w:tr w:rsidR="00A86D6C" w:rsidRPr="00DB1940" w14:paraId="2F1C19A6" w14:textId="77777777" w:rsidTr="00DB1940"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0B7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2. Инвестиции в основной капитал Курской области, млн. рублей в текущих ценах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CA0A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консервативный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C315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100895,1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E789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120735,2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49DA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144906,2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125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153167,4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98B6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186293,0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64C5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226345,0</w:t>
            </w:r>
          </w:p>
        </w:tc>
      </w:tr>
      <w:tr w:rsidR="00A86D6C" w:rsidRPr="00DB1940" w14:paraId="49638F8C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BFE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00A5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A1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965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6B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AC0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293E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198158,0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125C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270906,0</w:t>
            </w:r>
          </w:p>
        </w:tc>
      </w:tr>
      <w:tr w:rsidR="00A86D6C" w:rsidRPr="00DB1940" w14:paraId="7A1816F7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D8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8259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целевой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C2E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69E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FBC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6C2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C588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242215,0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E1C7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372543,0</w:t>
            </w:r>
          </w:p>
        </w:tc>
      </w:tr>
      <w:tr w:rsidR="00A86D6C" w:rsidRPr="00DB1940" w14:paraId="4B8337A0" w14:textId="77777777" w:rsidTr="00DB1940"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F1F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3. Доля инвестиций в основной капитал Курской области в ВРП, процентов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BB3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консервативный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298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26,0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9160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28,2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3A6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30,9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21AB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33,6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7ADE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32,9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773D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31,7</w:t>
            </w:r>
          </w:p>
        </w:tc>
      </w:tr>
      <w:tr w:rsidR="00A86D6C" w:rsidRPr="00DB1940" w14:paraId="2CAA4748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C40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1FE4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03C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80D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D37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CB5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57D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34,3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C1E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36,8</w:t>
            </w:r>
          </w:p>
        </w:tc>
      </w:tr>
      <w:tr w:rsidR="00A86D6C" w:rsidRPr="00DB1940" w14:paraId="302729A1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6DF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C01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целевой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2B9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3BB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BEB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526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A8CF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41,1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F846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48,4</w:t>
            </w:r>
          </w:p>
        </w:tc>
      </w:tr>
      <w:tr w:rsidR="00A86D6C" w:rsidRPr="00DB1940" w14:paraId="10092959" w14:textId="77777777" w:rsidTr="00DB1940"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C08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4. Инвестиции в основной капитал Курской области за счет бюджетных средств, млн. рублей в текущих ценах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B005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консервативный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E8C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12821,6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74E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18173,3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A99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8780,7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FB3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9230,0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497F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12531,0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6CBE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17575,0</w:t>
            </w:r>
          </w:p>
        </w:tc>
      </w:tr>
      <w:tr w:rsidR="00A86D6C" w:rsidRPr="00DB1940" w14:paraId="0647484F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F94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FBAC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C91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A0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565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A58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1A01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13939,0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7369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22448,0</w:t>
            </w:r>
          </w:p>
        </w:tc>
      </w:tr>
      <w:tr w:rsidR="00A86D6C" w:rsidRPr="00DB1940" w14:paraId="28FC129C" w14:textId="77777777" w:rsidTr="00DB1940"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AA4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B679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целевой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3CC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D90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F49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D3C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FE5A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18565,0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A84F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37340,0</w:t>
            </w:r>
          </w:p>
        </w:tc>
      </w:tr>
    </w:tbl>
    <w:p w14:paraId="6962AF87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A86D6C" w:rsidRPr="00DB1940">
          <w:pgSz w:w="16838" w:h="11905" w:orient="landscape"/>
          <w:pgMar w:top="1701" w:right="1134" w:bottom="850" w:left="1134" w:header="0" w:footer="0" w:gutter="0"/>
          <w:cols w:space="720"/>
          <w:noEndnote/>
        </w:sectPr>
      </w:pPr>
    </w:p>
    <w:p w14:paraId="0F2EBD59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lastRenderedPageBreak/>
        <w:t xml:space="preserve">Оценка финансовых ресурсов, необходимых для реализации Стратегии. Объем финансирования мероприятий по реализации Стратегии </w:t>
      </w:r>
      <w:proofErr w:type="spellStart"/>
      <w:r w:rsidRPr="00DB1940">
        <w:rPr>
          <w:rFonts w:ascii="Times New Roman" w:hAnsi="Times New Roman" w:cs="Times New Roman"/>
        </w:rPr>
        <w:t>экспертно</w:t>
      </w:r>
      <w:proofErr w:type="spellEnd"/>
      <w:r w:rsidRPr="00DB1940">
        <w:rPr>
          <w:rFonts w:ascii="Times New Roman" w:hAnsi="Times New Roman" w:cs="Times New Roman"/>
        </w:rPr>
        <w:t xml:space="preserve"> оценивается в размере 3244,9 млрд. рублей (по целевому варианту).</w:t>
      </w:r>
    </w:p>
    <w:p w14:paraId="0F22B163" w14:textId="77777777" w:rsidR="00A86D6C" w:rsidRPr="00DB1940" w:rsidRDefault="00A86D6C" w:rsidP="00A86D6C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Разбивка финансовых ресурсов по источникам финансирования представлена в таблице N 2.</w:t>
      </w:r>
    </w:p>
    <w:p w14:paraId="40FBE354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A4CE87B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Таблица N 2</w:t>
      </w:r>
    </w:p>
    <w:p w14:paraId="137F7DCB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D0996AF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Оценка финансовых ресурсов, необходимых</w:t>
      </w:r>
    </w:p>
    <w:p w14:paraId="13E68B6C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для реализации Стратегии</w:t>
      </w:r>
    </w:p>
    <w:p w14:paraId="0E7F6B87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52"/>
        <w:gridCol w:w="2126"/>
        <w:gridCol w:w="1418"/>
        <w:gridCol w:w="1275"/>
        <w:gridCol w:w="1644"/>
      </w:tblGrid>
      <w:tr w:rsidR="00A86D6C" w:rsidRPr="00DB1940" w14:paraId="5CD3C740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E3D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Источник финансирования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D27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5EB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2021 - 2025 гг.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839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2026 - 2030 гг.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4F3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Всего 2021 - 2030 гг.</w:t>
            </w:r>
          </w:p>
        </w:tc>
      </w:tr>
      <w:tr w:rsidR="00A86D6C" w:rsidRPr="00DB1940" w14:paraId="74AADDBE" w14:textId="77777777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D84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Средства консолидированного бюджета региона, млрд. рублей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6AD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Консервативный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890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377,0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F59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458,4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6EA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835,4</w:t>
            </w:r>
          </w:p>
        </w:tc>
      </w:tr>
      <w:tr w:rsidR="00A86D6C" w:rsidRPr="00DB1940" w14:paraId="109728C1" w14:textId="77777777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B84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1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9AB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382,0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7F8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468,4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F27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850,4</w:t>
            </w:r>
          </w:p>
        </w:tc>
      </w:tr>
      <w:tr w:rsidR="00A86D6C" w:rsidRPr="00DB1940" w14:paraId="22D87379" w14:textId="77777777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3B1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FBE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Целевой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A90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385,4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6E4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475,7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1DE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861,1</w:t>
            </w:r>
          </w:p>
        </w:tc>
      </w:tr>
      <w:tr w:rsidR="00A86D6C" w:rsidRPr="00DB1940" w14:paraId="256BE7AB" w14:textId="77777777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E2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Внебюджетные источники, млрд. рублей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5C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Консервативный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5D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805,8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FD0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971,2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425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1777,0</w:t>
            </w:r>
          </w:p>
        </w:tc>
      </w:tr>
      <w:tr w:rsidR="00A86D6C" w:rsidRPr="00DB1940" w14:paraId="7E332833" w14:textId="77777777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49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66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FB5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835,8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1B1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1103,9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284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1939,7</w:t>
            </w:r>
          </w:p>
        </w:tc>
      </w:tr>
      <w:tr w:rsidR="00A86D6C" w:rsidRPr="00DB1940" w14:paraId="24CA0C0D" w14:textId="77777777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340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A71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Целевой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DA1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949,8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96E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1434,0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AB2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2383,8</w:t>
            </w:r>
          </w:p>
        </w:tc>
      </w:tr>
      <w:tr w:rsidR="00A86D6C" w:rsidRPr="00DB1940" w14:paraId="4A8FDB5B" w14:textId="77777777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257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Всего за счет всех источников финансирования, млрд. рублей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134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Консервативный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07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1182,8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8DF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1429,6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480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2612,4</w:t>
            </w:r>
          </w:p>
        </w:tc>
      </w:tr>
      <w:tr w:rsidR="00A86D6C" w:rsidRPr="00DB1940" w14:paraId="37176C72" w14:textId="77777777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0F7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420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8D3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1217,8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30D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1572,3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F12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2790,1</w:t>
            </w:r>
          </w:p>
        </w:tc>
      </w:tr>
      <w:tr w:rsidR="00A86D6C" w:rsidRPr="00DB1940" w14:paraId="27527CD3" w14:textId="77777777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192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8D9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firstLine="120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Целевой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665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1335,2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AC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1909,7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2E7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3244,9</w:t>
            </w:r>
          </w:p>
        </w:tc>
      </w:tr>
    </w:tbl>
    <w:p w14:paraId="228B6C37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9C35158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Главным финансовым инструментом реализация стратегии станут государственные программы Курской области, перечень которых приведен в </w:t>
      </w:r>
      <w:hyperlink r:id="rId10" w:history="1">
        <w:r w:rsidRPr="00DB1940">
          <w:rPr>
            <w:rFonts w:ascii="Times New Roman" w:hAnsi="Times New Roman" w:cs="Times New Roman"/>
            <w:color w:val="0000FF"/>
          </w:rPr>
          <w:t>приложении N 4</w:t>
        </w:r>
      </w:hyperlink>
      <w:r w:rsidRPr="00DB1940">
        <w:rPr>
          <w:rFonts w:ascii="Times New Roman" w:hAnsi="Times New Roman" w:cs="Times New Roman"/>
        </w:rPr>
        <w:t xml:space="preserve"> к Стратегии социально-экономического развития Курской области на период до 2030 года. Объем бюджетных ассигнований на их реализацию ежегодно уточняется.</w:t>
      </w:r>
    </w:p>
    <w:p w14:paraId="3514953B" w14:textId="77777777" w:rsidR="00A86D6C" w:rsidRPr="00DB1940" w:rsidRDefault="00A86D6C" w:rsidP="00A86D6C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 xml:space="preserve">Общий ресурсный потенциал бюджетной составляющей для реализации стратегии ограничен рамками бюджетов на очередной финансовый год и плановый период, а также параметрами бюджетного прогноза Курской области на долгосрочный период. Привлечение средств федерального бюджета планируется осуществлять на условиях </w:t>
      </w:r>
      <w:proofErr w:type="spellStart"/>
      <w:r w:rsidRPr="00DB1940">
        <w:rPr>
          <w:rFonts w:ascii="Times New Roman" w:hAnsi="Times New Roman" w:cs="Times New Roman"/>
        </w:rPr>
        <w:t>софинансирования</w:t>
      </w:r>
      <w:proofErr w:type="spellEnd"/>
      <w:r w:rsidRPr="00DB1940">
        <w:rPr>
          <w:rFonts w:ascii="Times New Roman" w:hAnsi="Times New Roman" w:cs="Times New Roman"/>
        </w:rPr>
        <w:t xml:space="preserve"> в соответствии с действующим законодательством Российской Федерации в пределах объемов бюджетных ассигнований, предусмотренных в федеральном бюджете. При расчете прогнозного объема внебюджетных средств учтены инвестиционные проекты, реализуемые или планируемые к реализации на территории региона. Конкретизация направлений и источников финансирования отражается в плане мероприятий по реализации Стратегии.</w:t>
      </w:r>
    </w:p>
    <w:p w14:paraId="278BC8D1" w14:textId="5E83C8E0" w:rsidR="00A86D6C" w:rsidRPr="00DB1940" w:rsidRDefault="00A86D6C" w:rsidP="00A86D6C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</w:p>
    <w:p w14:paraId="16AEB115" w14:textId="77777777" w:rsidR="00A86D6C" w:rsidRPr="00DB1940" w:rsidRDefault="00A86D6C" w:rsidP="00A86D6C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  <w:sectPr w:rsidR="00A86D6C" w:rsidRPr="00DB19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AA8020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lastRenderedPageBreak/>
        <w:t>Приложение N 3</w:t>
      </w:r>
    </w:p>
    <w:p w14:paraId="0E020A1E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к Стратегии социально-экономического</w:t>
      </w:r>
    </w:p>
    <w:p w14:paraId="7F4AE71A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развития Курской области на период</w:t>
      </w:r>
    </w:p>
    <w:p w14:paraId="7790D836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до 2030 года</w:t>
      </w:r>
    </w:p>
    <w:p w14:paraId="0AC394EB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C34B43F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B1940">
        <w:rPr>
          <w:rFonts w:ascii="Times New Roman" w:hAnsi="Times New Roman" w:cs="Times New Roman"/>
          <w:b/>
          <w:bCs/>
        </w:rPr>
        <w:t>ИНВЕСТИЦИОННЫЕ ПРОЕКТЫ КУРСКОЙ ОБЛАСТИ</w:t>
      </w:r>
    </w:p>
    <w:p w14:paraId="5CF38331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64844" w14:textId="77777777" w:rsidR="00A86D6C" w:rsidRPr="00DB1940" w:rsidRDefault="00A86D6C" w:rsidP="00DB194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В таблице представлены инвестиционные проекты, реализуемые (планируемые к реализации) на территории Курской области (по данным инвестиционного портала Курской области, http://kurskoblinvest.ru).</w:t>
      </w:r>
    </w:p>
    <w:p w14:paraId="036F22A9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9916B95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</w:rPr>
      </w:pPr>
      <w:r w:rsidRPr="00DB1940">
        <w:rPr>
          <w:rFonts w:ascii="Times New Roman" w:hAnsi="Times New Roman" w:cs="Times New Roman"/>
        </w:rPr>
        <w:t>Таблица</w:t>
      </w:r>
    </w:p>
    <w:p w14:paraId="3AD92A31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8346554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B1940">
        <w:rPr>
          <w:rFonts w:ascii="Times New Roman" w:hAnsi="Times New Roman" w:cs="Times New Roman"/>
          <w:b/>
          <w:bCs/>
        </w:rPr>
        <w:t>Инвестиционные проекты Курской области</w:t>
      </w:r>
    </w:p>
    <w:p w14:paraId="4D2024F3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24"/>
        <w:gridCol w:w="2551"/>
        <w:gridCol w:w="1305"/>
        <w:gridCol w:w="3005"/>
        <w:gridCol w:w="2027"/>
        <w:gridCol w:w="1590"/>
        <w:gridCol w:w="1706"/>
      </w:tblGrid>
      <w:tr w:rsidR="00A86D6C" w:rsidRPr="00DB1940" w14:paraId="3A729CF4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6B8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Наименование организации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C71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Наименование проекта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041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Срок реализации проекта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88B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Содержание проекта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35C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Стадия реализации проекта (планирование, реализуемый, реализованный, приостановленный)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418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Стоимость проекта с НДС (млн. рублей)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6B2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новых рабочих мест</w:t>
            </w:r>
          </w:p>
        </w:tc>
      </w:tr>
      <w:tr w:rsidR="00A86D6C" w:rsidRPr="00DB1940" w14:paraId="3482BA88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BFD0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Филиал АО "Концерн Росэнергоатом" "Курская АЭС"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EA5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Комплекс переработки радиоактивных отходов Курской АЭС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5F9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2015 - 2021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F0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производства по переработке радиоактивных отходов Курской АЭС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01CA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3CC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25122,0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D59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644</w:t>
            </w:r>
          </w:p>
        </w:tc>
      </w:tr>
      <w:tr w:rsidR="00A86D6C" w:rsidRPr="00DB1940" w14:paraId="0354936D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ACCB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Филиал АО "Концерн Росэнергоатом"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B37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Курской АЭС-2 (станция замещения Курской АЭС)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C96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2013 - 2027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40D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станции замещения Курской АЭС-2, оснащенной реакторной установкой нового типа - ВВЭР-ТОИ (</w:t>
            </w:r>
            <w:proofErr w:type="spellStart"/>
            <w:r w:rsidRPr="00DB1940">
              <w:rPr>
                <w:rFonts w:ascii="Times New Roman" w:hAnsi="Times New Roman" w:cs="Times New Roman"/>
              </w:rPr>
              <w:t>водоводяной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энергореактор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типовой, оптимизированный,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информатизированный</w:t>
            </w:r>
            <w:proofErr w:type="spellEnd"/>
            <w:r w:rsidRPr="00DB1940">
              <w:rPr>
                <w:rFonts w:ascii="Times New Roman" w:hAnsi="Times New Roman" w:cs="Times New Roman"/>
              </w:rPr>
              <w:t>), мощностью 1255 МВт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82C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AE5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449564,0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31E7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1261</w:t>
            </w:r>
          </w:p>
        </w:tc>
      </w:tr>
      <w:tr w:rsidR="00A86D6C" w:rsidRPr="00DB1940" w14:paraId="79DF5838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680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Филиал АО "Концерн Росэнергоатом" "Курская АЭС"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C86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Обеспечение безопасной и устойчивой работы действующих энергоблоков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677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2008 - 2030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36A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Обеспечение безопасной и устойчивой работы действующих энергоблоков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4B0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04BB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9550,5</w:t>
            </w:r>
          </w:p>
          <w:p w14:paraId="27B6B02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(2020 - 2022 гг.)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E8B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663A5BF6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4ED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ПАО "МРСК Центра" - филиал "Курскэнерго"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303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Реализация долгосрочной инвестиционной программы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E0C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2020 - 2025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153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Инвестиционная программа филиала ПАО "МРСК Центра" - "Курскэнерго"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3C7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9EB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7399,0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75A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5757C12D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D38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АО "Михайловский ГОК им. А.В.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Варичева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59E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Производство концентратов в объеме</w:t>
            </w:r>
          </w:p>
          <w:p w14:paraId="61DBEE0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 млн. тонн в год из окисленных кварцитов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46B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2010 - 2025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32A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комплекса по производству концентратов в объеме</w:t>
            </w:r>
          </w:p>
          <w:p w14:paraId="0BB0E56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 млн. тонн в год из окисленных кварцитов. Увеличение объема товарной продукции на 10 млн. тонн в год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0EE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071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40261,0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EBC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22BFC41D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C8A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АО "Михайловский ГОК им. А.В.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Варичева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227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дробильно-конвейерного комплекса на северо-восточном и юго-восточном бортах железорудного карьера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CB2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2013 - 2022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BA4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дробильно-конвейерного комплекса на юго-восточном и северо-восточном бортах карьера с годовым объемом переработки рудной массы 50 млн. т/год для обеспечения ежегодного производства магнетитового концентрата не менее 16,8 млн. т в год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46D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E63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11115,0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C20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267</w:t>
            </w:r>
          </w:p>
        </w:tc>
      </w:tr>
      <w:tr w:rsidR="00A86D6C" w:rsidRPr="00DB1940" w14:paraId="7648B14C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552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АО "Михайловский ГОК им. А.В.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Варичева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6204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Техническое перевооружение ДОК. Модернизация ОМ МО с внедрением тонкого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грохочения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. Строительство </w:t>
            </w:r>
            <w:r w:rsidRPr="00DB1940">
              <w:rPr>
                <w:rFonts w:ascii="Times New Roman" w:hAnsi="Times New Roman" w:cs="Times New Roman"/>
              </w:rPr>
              <w:lastRenderedPageBreak/>
              <w:t xml:space="preserve">комплекса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дообогащения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в г. Железногорске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1AB6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2017 - 2022 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2CD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Обеспечение устойчивого функционирования комбината без угрозы снижения мощности при постоянно усложняющихся горно-геологических условиях </w:t>
            </w:r>
            <w:r w:rsidRPr="00DB1940">
              <w:rPr>
                <w:rFonts w:ascii="Times New Roman" w:hAnsi="Times New Roman" w:cs="Times New Roman"/>
              </w:rPr>
              <w:lastRenderedPageBreak/>
              <w:t>ведения горных работ в карьере.</w:t>
            </w:r>
          </w:p>
          <w:p w14:paraId="639A043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Кардинальное повышение качества концентрата с 65% до 70%/68,8% по железу общему и содержанием SiO</w:t>
            </w:r>
            <w:r w:rsidRPr="00DB1940">
              <w:rPr>
                <w:rFonts w:ascii="Times New Roman" w:hAnsi="Times New Roman" w:cs="Times New Roman"/>
                <w:vertAlign w:val="subscript"/>
              </w:rPr>
              <w:t>2</w:t>
            </w:r>
            <w:r w:rsidRPr="00DB1940">
              <w:rPr>
                <w:rFonts w:ascii="Times New Roman" w:hAnsi="Times New Roman" w:cs="Times New Roman"/>
              </w:rPr>
              <w:t xml:space="preserve"> не более 2,6%/4,1%, повышение извлечения по железу общему с 53,8% до 56,5%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1F6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641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13596,0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D6F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71F61C9D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9C3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"ИСТОК+"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70C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Освоение производства промышленных свинцово-кислотных аккумуляторов и батарей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304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2017 - 2020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07E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Освоение серийного производства стационарных аккумуляторов серий </w:t>
            </w:r>
            <w:proofErr w:type="spellStart"/>
            <w:r w:rsidRPr="00DB1940">
              <w:rPr>
                <w:rFonts w:ascii="Times New Roman" w:hAnsi="Times New Roman" w:cs="Times New Roman"/>
              </w:rPr>
              <w:t>OpzS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DB1940">
              <w:rPr>
                <w:rFonts w:ascii="Times New Roman" w:hAnsi="Times New Roman" w:cs="Times New Roman"/>
              </w:rPr>
              <w:t>Ogi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с жидким, гелиевым и адсорбированным электролитом и увеличение мощностей производства аккумуляторов серии </w:t>
            </w:r>
            <w:proofErr w:type="spellStart"/>
            <w:r w:rsidRPr="00DB1940">
              <w:rPr>
                <w:rFonts w:ascii="Times New Roman" w:hAnsi="Times New Roman" w:cs="Times New Roman"/>
              </w:rPr>
              <w:t>GroE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с годовой программой до 500000 условных аккумуляторов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FE0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864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889,0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E21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100</w:t>
            </w:r>
          </w:p>
        </w:tc>
      </w:tr>
      <w:tr w:rsidR="00A86D6C" w:rsidRPr="00DB1940" w14:paraId="59593D9F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9CD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"ИСТОК+"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837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Развитие производства стартерных свинцово-кислотных батарей с применением пластмассовых комплектующих</w:t>
            </w:r>
          </w:p>
          <w:p w14:paraId="7C4EA37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собственного изготовления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B75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2017 - 2022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62F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Расширение имеющегося производства стартерных батарей (180000 легких типов и 40000 тяжелых типов батарей в месяц), освоение производства новых типов батарей с улучшенными эксплуатационными характеристиками (EFB) и азиатского типоразмера, обеспечение производства стартерных батарей пластмассовыми </w:t>
            </w:r>
            <w:r w:rsidRPr="00DB1940">
              <w:rPr>
                <w:rFonts w:ascii="Times New Roman" w:hAnsi="Times New Roman" w:cs="Times New Roman"/>
              </w:rPr>
              <w:lastRenderedPageBreak/>
              <w:t>комплектующими собственного изготовления. Развитие производства предусматривает приобретение дополнительного технологического оборудования для увеличения мощностей указанных технологических операций, а также термопластавтоматов и пресс-форм для литья дополнительного количества изделий из пластмассы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3F2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952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455,0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253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60</w:t>
            </w:r>
          </w:p>
        </w:tc>
      </w:tr>
      <w:tr w:rsidR="00A86D6C" w:rsidRPr="00DB1940" w14:paraId="6DE944CE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D9E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ОАО "Электроагрегат"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1DE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Расширение номенклатуры выпускаемой продукции путем создания гибридной дизель-электрической станции с аккумулирующей системой (СГДЭАС)</w:t>
            </w:r>
          </w:p>
          <w:p w14:paraId="7331F0F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и ее последующего серийного выпуска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859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2016 - 2020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5C9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Проведение НИОКР по созданию гибридной дизель-электрической станции с аккумулирующей системой и освоение ее серийного выпуска на действующем производстве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D833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DE2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171,0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2E3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15</w:t>
            </w:r>
          </w:p>
        </w:tc>
      </w:tr>
      <w:tr w:rsidR="00A86D6C" w:rsidRPr="00DB1940" w14:paraId="5D882965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75A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Совтест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АТЕ"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EB1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завода по производству современных радиоэлектронных и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микроэлектромеханических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компонентов, изделий и аппаратуры, в том числе для систем мониторинга и </w:t>
            </w:r>
            <w:r w:rsidRPr="00DB1940">
              <w:rPr>
                <w:rFonts w:ascii="Times New Roman" w:hAnsi="Times New Roman" w:cs="Times New Roman"/>
              </w:rPr>
              <w:lastRenderedPageBreak/>
              <w:t>измерений различного назначения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1C7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2015 - 2021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E853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современного завода площадью 8800 м</w:t>
            </w:r>
            <w:r w:rsidRPr="00DB1940">
              <w:rPr>
                <w:rFonts w:ascii="Times New Roman" w:hAnsi="Times New Roman" w:cs="Times New Roman"/>
                <w:vertAlign w:val="superscript"/>
              </w:rPr>
              <w:t>2</w:t>
            </w:r>
            <w:r w:rsidRPr="00DB1940">
              <w:rPr>
                <w:rFonts w:ascii="Times New Roman" w:hAnsi="Times New Roman" w:cs="Times New Roman"/>
              </w:rPr>
              <w:t xml:space="preserve"> в г. Курске, состоящего из 7 корпусов, включающих механосборочное производство, тестирование, SMD-монтаж, микроэлектронику, сборку жгутов, производство радиоэлектронных и МЭМС </w:t>
            </w:r>
            <w:r w:rsidRPr="00DB1940">
              <w:rPr>
                <w:rFonts w:ascii="Times New Roman" w:hAnsi="Times New Roman" w:cs="Times New Roman"/>
              </w:rPr>
              <w:lastRenderedPageBreak/>
              <w:t>компонентов, радиоэлектронной и электротехнической аппаратуры, а также специального технологического и тестового оборудования для производства радиоэлектроники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E76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D14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600,0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8AA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</w:t>
            </w:r>
          </w:p>
        </w:tc>
      </w:tr>
      <w:tr w:rsidR="00A86D6C" w:rsidRPr="00DB1940" w14:paraId="0439E942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E3C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АО "Курский электроаппаратный завод"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2C3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Освоение в производстве автоматических модульных выключателей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716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2015 - 2020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495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импортозамещающей продукции модульных устройств на токи до 125 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63C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771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147,0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132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190</w:t>
            </w:r>
          </w:p>
        </w:tc>
      </w:tr>
      <w:tr w:rsidR="00A86D6C" w:rsidRPr="00DB1940" w14:paraId="7E5B187A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48E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АО "Курский электроаппаратный завод"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2A5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Освоение производства выключателей на токи от 630 до 4000 А</w:t>
            </w:r>
          </w:p>
          <w:p w14:paraId="6BC051C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 необходимой номенклатурой аксессуаров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0B8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2015 - 2020</w:t>
            </w:r>
          </w:p>
          <w:p w14:paraId="7839FCC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3E9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Освоение производства выключателей на токи от 630 до 4000 А</w:t>
            </w:r>
          </w:p>
          <w:p w14:paraId="2F029D2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 необходимой номенклатурой аксессуаров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704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2E5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767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190</w:t>
            </w:r>
          </w:p>
        </w:tc>
      </w:tr>
      <w:tr w:rsidR="00A86D6C" w:rsidRPr="00DB1940" w14:paraId="4CAE29D5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067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АО "СКАРД-Электроникс"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FC4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Разработка и постановка на производство параметрического ряда антенн и антенных систем диапазона частот 9 кГц - 110 ГГц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513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2014 - 2024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822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Проект направлен на разработку и постановку на производство параметрического ряда антенн и антенных систем диапазона частот 9 кГц - 110 ГГц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7C6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013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22,5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67C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</w:t>
            </w:r>
          </w:p>
        </w:tc>
      </w:tr>
      <w:tr w:rsidR="00A86D6C" w:rsidRPr="00DB1940" w14:paraId="1F10A58A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7BE9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ОАО "Фармстандарт-</w:t>
            </w:r>
            <w:proofErr w:type="spellStart"/>
            <w:r w:rsidRPr="00DB1940">
              <w:rPr>
                <w:rFonts w:ascii="Times New Roman" w:hAnsi="Times New Roman" w:cs="Times New Roman"/>
              </w:rPr>
              <w:t>Лексредства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D4D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производства жидких лекарственных форм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0D1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2018 - 2020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85D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Проект предусматривает реконструкцию производства лекарственных форм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B9D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199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228,8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BB80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11</w:t>
            </w:r>
          </w:p>
        </w:tc>
      </w:tr>
      <w:tr w:rsidR="00A86D6C" w:rsidRPr="00DB1940" w14:paraId="65292E19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584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ОАО "Фармстандарт-</w:t>
            </w:r>
            <w:proofErr w:type="spellStart"/>
            <w:r w:rsidRPr="00DB1940">
              <w:rPr>
                <w:rFonts w:ascii="Times New Roman" w:hAnsi="Times New Roman" w:cs="Times New Roman"/>
              </w:rPr>
              <w:t>Лексредства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728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цеха N 2 с организацией производства порошков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050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880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Проект предусматривает реконструкцию цеха N 2 с организацией производства порошков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741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DC5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106,5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E55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</w:t>
            </w:r>
          </w:p>
        </w:tc>
      </w:tr>
      <w:tr w:rsidR="00A86D6C" w:rsidRPr="00DB1940" w14:paraId="03341229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64F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ОАО "Фармстандарт-</w:t>
            </w:r>
            <w:proofErr w:type="spellStart"/>
            <w:r w:rsidRPr="00DB1940">
              <w:rPr>
                <w:rFonts w:ascii="Times New Roman" w:hAnsi="Times New Roman" w:cs="Times New Roman"/>
              </w:rPr>
              <w:t>Лексредства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9F6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Организация крупносерийного производства твердых лекарственных форм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5C0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2021 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41D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Проект предусматривает организацию крупносерийного производства твердых лекарственных форм в корпусе N 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07D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2BF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998,5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52AB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34</w:t>
            </w:r>
          </w:p>
        </w:tc>
      </w:tr>
      <w:tr w:rsidR="00A86D6C" w:rsidRPr="00DB1940" w14:paraId="0CA701E6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6F6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ОАО "Фармстандарт-</w:t>
            </w:r>
            <w:proofErr w:type="spellStart"/>
            <w:r w:rsidRPr="00DB1940">
              <w:rPr>
                <w:rFonts w:ascii="Times New Roman" w:hAnsi="Times New Roman" w:cs="Times New Roman"/>
              </w:rPr>
              <w:t>Лексредства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3D1A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склада готовой продукции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FC8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2021 - 2022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3AE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Проект предусматривает строительство склада готовой продукции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9FC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C33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260,4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6BE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17</w:t>
            </w:r>
          </w:p>
        </w:tc>
      </w:tr>
      <w:tr w:rsidR="00A86D6C" w:rsidRPr="00DB1940" w14:paraId="0F2658F4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7AC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"Эскулап"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A37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Освоение производства новых медицинских изделий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0C9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2015 - 2020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8FC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Внедрение технологии производства перспективной номенклатурной линейки медицинских изделий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F6A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3C1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1500,0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1D4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220</w:t>
            </w:r>
          </w:p>
        </w:tc>
      </w:tr>
      <w:tr w:rsidR="00A86D6C" w:rsidRPr="00DB1940" w14:paraId="3657E117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324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ОАО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Курскрезинотехника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8D8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Модернизация каландра N 101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B6C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CDA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Модернизация каландра N 101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3FD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680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114,7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F2F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495F0737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0B8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ЗАО "СЧЕТМАШ"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B0D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Освоение производства электронных блоков автоматизированных систем управления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81B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2FD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Освоение производства электронных блоков автоматизированных систем управления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030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2A5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50,0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1CA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</w:t>
            </w:r>
          </w:p>
        </w:tc>
      </w:tr>
      <w:tr w:rsidR="00A86D6C" w:rsidRPr="00DB1940" w14:paraId="73DD15DD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B82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АО "ГОТЭК"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5F1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Приобретение оборудования для проекта "Цифровой бутик"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F509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2018 - 2023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C37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Создание технологической базы для производства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мелкотиражных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заказов изделий POSM с использованием оборудования цифровой печати и резки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7E4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65C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176,0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864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</w:t>
            </w:r>
          </w:p>
        </w:tc>
      </w:tr>
      <w:tr w:rsidR="00A86D6C" w:rsidRPr="00DB1940" w14:paraId="4DB1D151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AD1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АО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Полипак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93FD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Приобретение ламинатора с дополнительной отделкой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12C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EC3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Модернизация и техническое перевооружение производства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8DD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29C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66,0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90E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2AF506EE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F88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Полипак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2BC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Приобретение</w:t>
            </w:r>
          </w:p>
          <w:p w14:paraId="642E477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1940">
              <w:rPr>
                <w:rFonts w:ascii="Times New Roman" w:hAnsi="Times New Roman" w:cs="Times New Roman"/>
              </w:rPr>
              <w:t>бабинореза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757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C45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Модернизация и техническое перевооружение производства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6E2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C63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27,0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B86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18CD58EB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99F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Союзтекстиль</w:t>
            </w:r>
            <w:proofErr w:type="spellEnd"/>
            <w:r w:rsidRPr="00DB1940">
              <w:rPr>
                <w:rFonts w:ascii="Times New Roman" w:hAnsi="Times New Roman" w:cs="Times New Roman"/>
              </w:rPr>
              <w:t>-СТ"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CFA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производства синтетических полиэфирных нитей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F5D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2020 - 2023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0D3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производства синтетических полиэфирных нитей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6FB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819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878,0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797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100</w:t>
            </w:r>
          </w:p>
        </w:tc>
      </w:tr>
      <w:tr w:rsidR="00A86D6C" w:rsidRPr="00DB1940" w14:paraId="4E17CC86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F9E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"Спецстрой-сервис"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C8A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и развитие промышленного (индустриального) парка "Агрегат" формата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браунфилд</w:t>
            </w:r>
            <w:proofErr w:type="spellEnd"/>
            <w:r w:rsidRPr="00DB1940">
              <w:rPr>
                <w:rFonts w:ascii="Times New Roman" w:hAnsi="Times New Roman" w:cs="Times New Roman"/>
              </w:rPr>
              <w:t>" на незадействованных производственных площадях завода АПЗ-20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449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2016 - 2020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B04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(реконструкция объектов недвижимости), сертификация и развитие промышленного (индустриального) парка промышленно-производственного типа (для предприятий IV и V классов опасности) на свободных производственных площадях (территории) предприятия АПЗ-20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EE8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D31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AF0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450</w:t>
            </w:r>
          </w:p>
        </w:tc>
      </w:tr>
      <w:tr w:rsidR="00A86D6C" w:rsidRPr="00DB1940" w14:paraId="28A331C0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00A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МУП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Курскводоканал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F30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системы биологической очистки на городских очистных сооружениях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66B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2016 - 2021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147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системы биологической очистки на городских очистных сооружениях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D3D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DAE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2251,8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8391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15B5980D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590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"Комплект"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704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Модернизация производства для выпуска новой продукции - мебельного крепежа: винтов-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конфирматов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и стяжек </w:t>
            </w:r>
            <w:r w:rsidRPr="00DB1940">
              <w:rPr>
                <w:rFonts w:ascii="Times New Roman" w:hAnsi="Times New Roman" w:cs="Times New Roman"/>
              </w:rPr>
              <w:lastRenderedPageBreak/>
              <w:t>эксцентриковых, с целью импортозамещения на российском рынке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54F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2019 - 2021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8DA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Приобретение</w:t>
            </w:r>
          </w:p>
          <w:p w14:paraId="75FA23A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оборудования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2A3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6AC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56,5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41B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7DC84E43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DA8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НПО "Композит"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428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Расширение действующего производства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655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2021 - 2022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7F08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Расширение действующего производства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6C2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A00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1500,0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3B0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0EC3804B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4E9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АО "Курский завод КПД им. А.Ф.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Дериглазова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A54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торгового центра "ДАФ" в жилом районе "Северный" города Курска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932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2015 - 2021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EF8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торгового центра "ДАФ" площадью застройки 24972,4 кв. м с подземной автостоянкой, кинотеатром, рестораном, кафе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74D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878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83B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04BF3E84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6B2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АО "Курский завод КПД им. А.Ф.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Дериглазова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847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жилого района "Северный"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073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2010 - 2021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C84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16 - 17-этажных домов и 2-этажных усадебных жилых домов с населением 50 тыс. человек, а также объектов инфраструктуры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634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3F1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9800,0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1F2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3B5E61D4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008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"СМУ-46"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2C2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Овощехранилище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EB8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2019 - 2021</w:t>
            </w:r>
          </w:p>
          <w:p w14:paraId="0C67706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82F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Возведение современного овощехранилища на 48 тыс. тонн сельскохозяйственной продукции на территории промышленного парка на выезде из Курска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56D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DA6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714,4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D99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41</w:t>
            </w:r>
          </w:p>
        </w:tc>
      </w:tr>
      <w:tr w:rsidR="00A86D6C" w:rsidRPr="00DB1940" w14:paraId="224C4E72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D20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ОАО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Курскхлеб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A32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склада бестарного хранения муки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AB2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2019 - 2023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F945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склада бестарного хранения муки с заменой мучных силосов, транспортных систем, участков взвешивания, смешивания и дозировки муки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B42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160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61C6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790937A7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39A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АО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Щигровский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КХП"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145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комбикормового завода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CCD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2016 - 2020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CE7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и ввод в эксплуатацию котельной, емкостей для готовых комбикормов, склада сырья и готовой продукции, замена оборудования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999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4BA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332,0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43A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5DA222EC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07A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Щигровский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КХП"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EFB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мощностей по подработке, хранению и перевалке зерновых и масличных культур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819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2017 - 2020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7C8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и ввод в эксплуатацию емкостей единовременного хранения зерна на 100 тыс. тонн, оборудования для сушки и очистки зерна, реконструкция действующего элеватора с приемным пунктом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9FE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94E5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1924,0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5A9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4481B9BE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A50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"Курские кролики"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E47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Автоматизированное выращивание кролика в промышленных масштабах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EBD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603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современного автоматизированного промышленного производства выращивания кроликов по итальянской технологии FEBA;</w:t>
            </w:r>
          </w:p>
          <w:p w14:paraId="545A08A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обеспечение рынка диетическим, экологически чистым, биологически ценным мясом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A1C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EEC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093C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165</w:t>
            </w:r>
          </w:p>
        </w:tc>
      </w:tr>
      <w:tr w:rsidR="00A86D6C" w:rsidRPr="00DB1940" w14:paraId="7FE497FF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8B4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Псельское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350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Закладка промышленного интенсивного безопорного яблоневого сада на площади 150 гектаров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E695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2016 - 2020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F43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Закладка промышленного интенсивного безопорного яблоневого сада на площади 150 гектаров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D81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0E4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226,0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663E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137</w:t>
            </w:r>
          </w:p>
        </w:tc>
      </w:tr>
      <w:tr w:rsidR="00A86D6C" w:rsidRPr="00DB1940" w14:paraId="46A1DC05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049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Курсксахарпром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" филиал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Золотухинский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6DD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Модернизация производства (увеличение мощности предприятия с 5,4 тыс. тонн/</w:t>
            </w:r>
            <w:proofErr w:type="spellStart"/>
            <w:r w:rsidRPr="00DB1940">
              <w:rPr>
                <w:rFonts w:ascii="Times New Roman" w:hAnsi="Times New Roman" w:cs="Times New Roman"/>
              </w:rPr>
              <w:t>сут</w:t>
            </w:r>
            <w:proofErr w:type="spellEnd"/>
            <w:r w:rsidRPr="00DB1940">
              <w:rPr>
                <w:rFonts w:ascii="Times New Roman" w:hAnsi="Times New Roman" w:cs="Times New Roman"/>
              </w:rPr>
              <w:t>. до 12 тыс. тонн/</w:t>
            </w:r>
            <w:proofErr w:type="spellStart"/>
            <w:r w:rsidRPr="00DB1940">
              <w:rPr>
                <w:rFonts w:ascii="Times New Roman" w:hAnsi="Times New Roman" w:cs="Times New Roman"/>
              </w:rPr>
              <w:t>сут</w:t>
            </w:r>
            <w:proofErr w:type="spellEnd"/>
            <w:r w:rsidRPr="00DB1940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D2D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2016 - 2025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6CCA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Увеличение объемов производства в 2 раза. Строительство 3 складских помещений,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жомосушилки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свеклопункта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в п.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Рышково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емкостью 150 тыс. тонн свеклы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621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839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2183,3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080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</w:t>
            </w:r>
          </w:p>
        </w:tc>
      </w:tr>
      <w:tr w:rsidR="00A86D6C" w:rsidRPr="00DB1940" w14:paraId="500D9F43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7FB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КурскАгроАктив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39E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селекционного центра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D86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2018 - 2020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57D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селекционного центра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8EB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6BE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497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0F8725BD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A90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"Грибная радуга"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3E2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Выращивание культивированных грибов (шампиньонов), увеличение внутреннего рынка производства грибов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1D4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2017</w:t>
            </w:r>
          </w:p>
          <w:p w14:paraId="0259449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557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нового агропромышленного тепличного комплекса по производству культивируемых грибов шампиньонов на собственном компосте мощностью 29,3 тыс. тонн свежего гриба в год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B4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969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8730,0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718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700</w:t>
            </w:r>
          </w:p>
        </w:tc>
      </w:tr>
      <w:tr w:rsidR="00A86D6C" w:rsidRPr="00DB1940" w14:paraId="6A978214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6C4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Иннпром-биотех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7E2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высокоэффективного комплекса по глубокой переработке пшеницы мощностью 250 тыс. т в год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F43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2020 - 2028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79E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Создание высокоэффективного комплекса по глубокой переработке пшеницы мощностью 250 тыс. т в год в пищевые ингредиенты: сухую пшеничную клейковину, модифицированные крахмалы, сухой глюкозный сироп, карамельную патоку, кормовую добавку,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мальтодекстрин</w:t>
            </w:r>
            <w:proofErr w:type="spellEnd"/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AAC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0F2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16593,0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041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249</w:t>
            </w:r>
          </w:p>
        </w:tc>
      </w:tr>
      <w:tr w:rsidR="00A86D6C" w:rsidRPr="00DB1940" w14:paraId="1257C70F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1B3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"Русский ячмень"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E368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элеватора мощностью единовременного </w:t>
            </w:r>
            <w:r w:rsidRPr="00DB1940">
              <w:rPr>
                <w:rFonts w:ascii="Times New Roman" w:hAnsi="Times New Roman" w:cs="Times New Roman"/>
              </w:rPr>
              <w:lastRenderedPageBreak/>
              <w:t>хранения зерна - 100 тыс. тонн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284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2015 - 2020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890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современного элеватора, позволяющего обеспечить мощность </w:t>
            </w:r>
            <w:r w:rsidRPr="00DB1940">
              <w:rPr>
                <w:rFonts w:ascii="Times New Roman" w:hAnsi="Times New Roman" w:cs="Times New Roman"/>
              </w:rPr>
              <w:lastRenderedPageBreak/>
              <w:t>единовременного хранения зерна - 100 тыс. тонн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A09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B2E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920,0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E6B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11</w:t>
            </w:r>
          </w:p>
        </w:tc>
      </w:tr>
      <w:tr w:rsidR="00A86D6C" w:rsidRPr="00DB1940" w14:paraId="0ED8B372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568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Зоринский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сад"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545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Закладка сада интенсивного типа и реконструкция фруктохранилища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D11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2016 - 2020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5BB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Закладка сада интенсивного типа и реконструкция фруктохранилища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293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0EB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D73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50</w:t>
            </w:r>
          </w:p>
        </w:tc>
      </w:tr>
      <w:tr w:rsidR="00A86D6C" w:rsidRPr="00DB1940" w14:paraId="57A0EA30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CFD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"АПХ "Мираторг"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4FA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Удвоение свиноводства. Строительство свиноводческих комплексов, комбикормового завода, мясохладобойни мощностью 4,5 млн. голов в год по убою и переработке свиней вблизи с.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Черницыно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Октябрьского района Курской области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B10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2017 - 2024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1AD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свиноводческих комплексов, комбикормового завода, мясохладобойни мощностью 4,5 млн. голов в год по убою и переработке свиней вблизи с.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Черницыно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Октябрьского района Курской области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EC7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982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94000,0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D55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6000</w:t>
            </w:r>
          </w:p>
        </w:tc>
      </w:tr>
      <w:tr w:rsidR="00A86D6C" w:rsidRPr="00DB1940" w14:paraId="006C5B8B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088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"Защитное"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A6A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селекционно-семеноводческого центра в растениеводстве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Щигровском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районе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B0A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2018 - 2022</w:t>
            </w:r>
          </w:p>
          <w:p w14:paraId="65D9DC2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22A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селекционно-семеноводческого центра в растениеводстве.</w:t>
            </w:r>
          </w:p>
          <w:p w14:paraId="3E9D5F7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1-й этап строительства - семенной завод производительностью 10 тонн/час;</w:t>
            </w:r>
          </w:p>
          <w:p w14:paraId="366538E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2-й этап - пункт приемки, очистки, сушки и хранения зерна;</w:t>
            </w:r>
          </w:p>
          <w:p w14:paraId="6445688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3-й этап - пункт хранения и очистки семян питомников первичного семеноводства сельскохозяйственных культур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2F7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4D4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1000,0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A7D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50,0</w:t>
            </w:r>
          </w:p>
        </w:tc>
      </w:tr>
      <w:tr w:rsidR="00A86D6C" w:rsidRPr="00DB1940" w14:paraId="2088C471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89B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ООО "Защитное"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D70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животноводческого комплекса КРС "Ольгино" на 3300 голов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коров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и площадок для выращивания молодняка КРС молочных пород на 3600 голов в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Солнцевском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районе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C03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2023 - 2025</w:t>
            </w:r>
          </w:p>
          <w:p w14:paraId="59520EC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1FF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современной фермы на 3300 голов основного стада с годовым надоем 27000 тонн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421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F2A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2916,0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D42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н/д</w:t>
            </w:r>
          </w:p>
        </w:tc>
      </w:tr>
      <w:tr w:rsidR="00A86D6C" w:rsidRPr="00DB1940" w14:paraId="140B9469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DD6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Курскагротерминал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F3ED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производственно-логистического комплекса в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Касторенском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районе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B5D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0B6E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маслоэкстракционного завода по переработке семян масличных культур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29D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BF6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19780,0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B9A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450</w:t>
            </w:r>
          </w:p>
        </w:tc>
      </w:tr>
      <w:tr w:rsidR="00A86D6C" w:rsidRPr="00DB1940" w14:paraId="7ABD5585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2CB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"АПХ "Мираторг"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B85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комплекса по производству желатина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69C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2023 - 2024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A30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Создание комплекса по производству желатина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069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77C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349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68649302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CE0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"АПХ "Мираторг"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75A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мукомольно-крупяного предприятия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475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2022 - 2024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570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мукомольно-крупяного предприятия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BA1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5C5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9C0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5DE97B6F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B05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Велокс</w:t>
            </w:r>
            <w:proofErr w:type="spellEnd"/>
            <w:r w:rsidRPr="00DB194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1895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Внедрение программного продукта, который позволит салонам красоты совершать заказы у дистрибьюторов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AE2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2017 - 2021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654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Система заказов, охватывающая всю сферу индустрии красоты, позволяющая взимать ежемесячную абонентскую плату с салонов красоты и дистрибьюторов за пользование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1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653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13,00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A1D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</w:t>
            </w:r>
          </w:p>
        </w:tc>
      </w:tr>
      <w:tr w:rsidR="00A86D6C" w:rsidRPr="00DB1940" w14:paraId="67429DE4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271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Администрация Курской области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82E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нового здания внутренних воздушных линий аэропорта г. Курска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1CC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F87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нового здания внутренних воздушных линий аэропорта г. Курска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041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DA60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350,0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6E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5</w:t>
            </w:r>
          </w:p>
        </w:tc>
      </w:tr>
      <w:tr w:rsidR="00A86D6C" w:rsidRPr="00DB1940" w14:paraId="16D27E80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030F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left="38" w:firstLine="101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Правительство Курской области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530DE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многопрофильной областной детской клинической больницы 3-го уровня в г. Курске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4859A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2019 - 2024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3BE7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многопрофильной областной детской клинической больницы 3 уровня в г. Курске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CDFB6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3245A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7271,281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804F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н/д</w:t>
            </w:r>
          </w:p>
        </w:tc>
      </w:tr>
      <w:tr w:rsidR="00A86D6C" w:rsidRPr="00DB1940" w14:paraId="06132C83" w14:textId="77777777">
        <w:tc>
          <w:tcPr>
            <w:tcW w:w="1450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AC0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(в ред. </w:t>
            </w:r>
            <w:hyperlink r:id="rId11" w:history="1">
              <w:r w:rsidRPr="00DB1940">
                <w:rPr>
                  <w:rFonts w:ascii="Times New Roman" w:hAnsi="Times New Roman" w:cs="Times New Roman"/>
                  <w:color w:val="0000FF"/>
                </w:rPr>
                <w:t>Закона</w:t>
              </w:r>
            </w:hyperlink>
            <w:r w:rsidRPr="00DB1940">
              <w:rPr>
                <w:rFonts w:ascii="Times New Roman" w:hAnsi="Times New Roman" w:cs="Times New Roman"/>
              </w:rPr>
              <w:t xml:space="preserve"> Курской области от 04.05.2023 N 40-ЗКО)</w:t>
            </w:r>
          </w:p>
        </w:tc>
      </w:tr>
      <w:tr w:rsidR="00A86D6C" w:rsidRPr="00DB1940" w14:paraId="2EAD554F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9F584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ind w:left="58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АО "Корпорация развития Курской области"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9BE7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гостиничного комплекса для нужд ОБУЗ "Курский областной клинический онкологический диспансер"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DB75B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2020 - 2024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402C65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гостиничного комплекса для нужд ОБУЗ "Курский областной клинический онкологический диспансер"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4180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4994D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101,1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FB19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46</w:t>
            </w:r>
          </w:p>
        </w:tc>
      </w:tr>
      <w:tr w:rsidR="00A86D6C" w:rsidRPr="00DB1940" w14:paraId="269386FD" w14:textId="77777777">
        <w:tc>
          <w:tcPr>
            <w:tcW w:w="1450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94E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(в ред. </w:t>
            </w:r>
            <w:hyperlink r:id="rId12" w:history="1">
              <w:r w:rsidRPr="00DB1940">
                <w:rPr>
                  <w:rFonts w:ascii="Times New Roman" w:hAnsi="Times New Roman" w:cs="Times New Roman"/>
                  <w:color w:val="0000FF"/>
                </w:rPr>
                <w:t>Закона</w:t>
              </w:r>
            </w:hyperlink>
            <w:r w:rsidRPr="00DB1940">
              <w:rPr>
                <w:rFonts w:ascii="Times New Roman" w:hAnsi="Times New Roman" w:cs="Times New Roman"/>
              </w:rPr>
              <w:t xml:space="preserve"> Курской области от 04.05.2023 N 40-ЗКО)</w:t>
            </w:r>
          </w:p>
        </w:tc>
      </w:tr>
      <w:tr w:rsidR="00A86D6C" w:rsidRPr="00DB1940" w14:paraId="3BD64674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514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МО "</w:t>
            </w:r>
            <w:proofErr w:type="spellStart"/>
            <w:r w:rsidRPr="00DB1940">
              <w:rPr>
                <w:rFonts w:ascii="Times New Roman" w:hAnsi="Times New Roman" w:cs="Times New Roman"/>
              </w:rPr>
              <w:t>Фатежский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район"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FC6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физкультурно-оздоровительного комплекса с универсальным спортивным залом в г. Фатеж </w:t>
            </w:r>
            <w:proofErr w:type="spellStart"/>
            <w:r w:rsidRPr="00DB1940">
              <w:rPr>
                <w:rFonts w:ascii="Times New Roman" w:hAnsi="Times New Roman" w:cs="Times New Roman"/>
              </w:rPr>
              <w:t>Фатежского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района Курской области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81F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C8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физкультурно-оздоровительного комплекса с универсальным спортивным залом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25A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194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135,1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211E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н/д</w:t>
            </w:r>
          </w:p>
        </w:tc>
      </w:tr>
      <w:tr w:rsidR="00A86D6C" w:rsidRPr="00DB1940" w14:paraId="2FDC0988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9FB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ОКУ "УКС Курской области"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1059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крытого легкоатлетического манежа для учебно-тренировочных занятий и соревнований регионального уровня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A6E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2021 - 2022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B9B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крытого легкоатлетического манежа для учебно-тренировочных занятий и соревнований регионального уровня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D01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D83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459,5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CBC9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н/д</w:t>
            </w:r>
          </w:p>
        </w:tc>
      </w:tr>
      <w:tr w:rsidR="00A86D6C" w:rsidRPr="00DB1940" w14:paraId="7C7B9E08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78F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ОКУ "УКС Курской области"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EF1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крытого футбольного манежа в г. Курске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A1F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2022 - 2024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912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крытого футбольного манежа в г. Курске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C05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9967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н/д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EF6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н/д</w:t>
            </w:r>
          </w:p>
        </w:tc>
      </w:tr>
      <w:tr w:rsidR="00A86D6C" w:rsidRPr="00DB1940" w14:paraId="02E860DA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81B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ООО "Агропром-комплектация - Курск"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C14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свиноводческого комплекса, приобретение оборудования, племенной продукции, гибридного маточного поголовья, техники и специализированного транспорта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641D8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2018 - 2020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C3C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свиноводческого комплекса, приобретение оборудования, племенной продукции, гибридного маточного поголовья, техники и специализированного транспорта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67A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907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2205,939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CEB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128</w:t>
            </w:r>
          </w:p>
        </w:tc>
      </w:tr>
      <w:tr w:rsidR="00A86D6C" w:rsidRPr="00DB1940" w14:paraId="6FC6D5EB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4B0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"Агропром-комплектация - Курск"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68D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двух свиноводческих комплексов, приобретение оборудования, племенной продукции, гибридного маточного поголовья, техники и специализированного транспорта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14E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2018 - 2020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FEB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Строительство двух свиноводческих комплексов, приобретение оборудования, племенной продукции, гибридного маточного поголовья, техники и специализированного транспорта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796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реализованный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980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4619,06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06F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256</w:t>
            </w:r>
          </w:p>
        </w:tc>
      </w:tr>
      <w:tr w:rsidR="00A86D6C" w:rsidRPr="00DB1940" w14:paraId="3217E441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8E4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"Агропром-комплектация - Курск"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42F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Реконструкция и модернизация мясохладобойни, включая приемку, первичную и последующую (промышленную) переработку свиней с холодильной обработкой мясной продукции, а также приобретение оборудования и специализированного транспорта на цели реализации </w:t>
            </w:r>
            <w:r w:rsidRPr="00DB1940">
              <w:rPr>
                <w:rFonts w:ascii="Times New Roman" w:hAnsi="Times New Roman" w:cs="Times New Roman"/>
              </w:rPr>
              <w:lastRenderedPageBreak/>
              <w:t>инвестиционного проекта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F40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2020 - 2021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F67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Реконструкция и модернизация мясохладобойни, включая приемку, первичную и последующую (промышленную) переработку свиней с холодильной обработкой мясной продукции, а также приобретение оборудования и специализированного транспорта на цели реализации инвестиционного проекта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628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09A6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2503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0F54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-</w:t>
            </w:r>
          </w:p>
        </w:tc>
      </w:tr>
      <w:tr w:rsidR="00A86D6C" w:rsidRPr="00DB1940" w14:paraId="0D3CF5D1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6A2D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"Агропром-комплектация - Курск"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3502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Поэтапное строительство в Дмитриевском районе Курской области животноводческого комплекса молочного направления,</w:t>
            </w:r>
          </w:p>
          <w:p w14:paraId="49D886CF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предназначенного для содержания и доения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коров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на 6 460 скотомест, с площадкой для выращивания и откорма молодняка крупного рогатого скота молочных пород на 6060 скотомест, с приобретением техники и оборудования на цели реализации инвестиционного проекта. Приобретение племенной продукции (материала) крупного рогатого скота молочных пород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A16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2020 - 2021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672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в Дмитриевском районе Курской области животноводческого комплекса молочного направления, предназначенного для содержания и доения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коров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на 6460 скотомест, с площадкой для выращивания и откорма молодняка крупного рогатого скота молочных пород на 6060 скотомест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2DF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03F3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8550,00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4E3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120</w:t>
            </w:r>
          </w:p>
        </w:tc>
      </w:tr>
      <w:tr w:rsidR="00A86D6C" w:rsidRPr="00DB1940" w14:paraId="1458408E" w14:textId="7777777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183B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ООО "Агропром-комплектация - Курск"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905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Поэтапное строительство в Железногорском районе Курской области животноводческого комплекса молочного направления, предназначенного для содержания и доения </w:t>
            </w:r>
            <w:proofErr w:type="spellStart"/>
            <w:r w:rsidRPr="00DB1940">
              <w:rPr>
                <w:rFonts w:ascii="Times New Roman" w:hAnsi="Times New Roman" w:cs="Times New Roman"/>
              </w:rPr>
              <w:t>коров</w:t>
            </w:r>
            <w:proofErr w:type="spellEnd"/>
            <w:r w:rsidRPr="00DB1940">
              <w:rPr>
                <w:rFonts w:ascii="Times New Roman" w:hAnsi="Times New Roman" w:cs="Times New Roman"/>
              </w:rPr>
              <w:t xml:space="preserve"> на 3230 скотомест, </w:t>
            </w:r>
            <w:r w:rsidRPr="00DB1940">
              <w:rPr>
                <w:rFonts w:ascii="Times New Roman" w:hAnsi="Times New Roman" w:cs="Times New Roman"/>
              </w:rPr>
              <w:lastRenderedPageBreak/>
              <w:t>с площадкой для выращивания и откорма молодняка крупного рогатого скота молочных пород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10BA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2020 - 2021 гг.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63E0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 xml:space="preserve">Строительство в Железногорском районе Курской области животноводческого комплекса молочного направления на 3230 скотомест с площадкой для выращивания и откорма молодняка крупного рогатого </w:t>
            </w:r>
            <w:r w:rsidRPr="00DB1940">
              <w:rPr>
                <w:rFonts w:ascii="Times New Roman" w:hAnsi="Times New Roman" w:cs="Times New Roman"/>
              </w:rPr>
              <w:lastRenderedPageBreak/>
              <w:t>скота молочных пород на 3030 скотомест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339C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lastRenderedPageBreak/>
              <w:t>реализуемый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BA19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4507,00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FD11" w14:textId="77777777" w:rsidR="00A86D6C" w:rsidRPr="00DB1940" w:rsidRDefault="00A86D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1940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18B15716" w14:textId="77777777" w:rsidR="00A86D6C" w:rsidRPr="00DB1940" w:rsidRDefault="00A86D6C" w:rsidP="00A86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0BE2B1F" w14:textId="00780043" w:rsidR="00A86D6C" w:rsidRPr="00DB1940" w:rsidRDefault="00A86D6C" w:rsidP="00A86D6C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</w:p>
    <w:p w14:paraId="034420AD" w14:textId="77777777" w:rsidR="00A86D6C" w:rsidRPr="00DB1940" w:rsidRDefault="00A86D6C">
      <w:pPr>
        <w:rPr>
          <w:rFonts w:ascii="Times New Roman" w:hAnsi="Times New Roman" w:cs="Times New Roman"/>
          <w:b/>
          <w:bCs/>
        </w:rPr>
      </w:pPr>
    </w:p>
    <w:sectPr w:rsidR="00A86D6C" w:rsidRPr="00DB1940" w:rsidSect="00A86D6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07"/>
    <w:rsid w:val="002D341D"/>
    <w:rsid w:val="00960107"/>
    <w:rsid w:val="00A86D6C"/>
    <w:rsid w:val="00D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BDB4"/>
  <w15:chartTrackingRefBased/>
  <w15:docId w15:val="{47788B61-8E07-4D08-8B92-17E6F35F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consultantplus://offline/ref=B5CBE96C9EE4C4A8B0C0E8312749F7AC66943C7B632759C754C926D9D8209B7F864030875BBDE3C5BC112126340658F73E3EF37CE19EC3668F77D69BZ5Z2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54625E582A468106ED494DBECA0039BBADA5D54CC3FAE33E69E9B08D2E2A7DD04128FB687D81B3DBF8257F1DF75BEAFAA7602D54B9E138D9929F7F1ACYCI" TargetMode="External"/><Relationship Id="rId11" Type="http://schemas.openxmlformats.org/officeDocument/2006/relationships/hyperlink" Target="consultantplus://offline/ref=B5CBE96C9EE4C4A8B0C0E8312749F7AC66943C7B632759C754C926D9D8209B7F864030875BBDE3C5BC112126340658F73E3EF37CE19EC3668F77D69BZ5Z2I" TargetMode="External"/><Relationship Id="rId5" Type="http://schemas.openxmlformats.org/officeDocument/2006/relationships/image" Target="media/image1.jpeg"/><Relationship Id="rId10" Type="http://schemas.openxmlformats.org/officeDocument/2006/relationships/hyperlink" Target="consultantplus://offline/ref=F54625E582A468106ED494DBECA0039BBADA5D54CC3FAE33E69E9B08D2E2A7DD04128FB687D81B3DBF8257F1DF75BEAFAA7602D54B9E138D9929F7F1ACYCI" TargetMode="External"/><Relationship Id="rId4" Type="http://schemas.openxmlformats.org/officeDocument/2006/relationships/hyperlink" Target="consultantplus://offline/ref=36420CB7505565C3077A28D422A08EE069E7C6B000D805BDB4D95F96E2EEF6C7491211996467914241BC9246BF91FB977A27F30F39DDDB00D58ADEF4V7b0I" TargetMode="External"/><Relationship Id="rId9" Type="http://schemas.openxmlformats.org/officeDocument/2006/relationships/hyperlink" Target="consultantplus://offline/ref=F54625E582A468106ED494DBECA0039BBADA5D54CC3FAE33E69E9B08D2E2A7DD04128FB687D81B3DBF8253FDD375BEAFAA7602D54B9E138D9929F7F1ACYC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5871</Words>
  <Characters>33467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Межонова Жанна</dc:creator>
  <cp:keywords/>
  <dc:description/>
  <cp:lastModifiedBy>Межонова Жанна</cp:lastModifiedBy>
  <cp:revision>3</cp:revision>
  <dcterms:created xsi:type="dcterms:W3CDTF">2023-09-01T08:19:00Z</dcterms:created>
  <dcterms:modified xsi:type="dcterms:W3CDTF">2023-09-01T08:37:00Z</dcterms:modified>
</cp:coreProperties>
</file>