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pacing w:val="60"/>
          <w:sz w:val="26"/>
          <w:szCs w:val="26"/>
          <w:lang w:eastAsia="ar-SA"/>
        </w:rPr>
      </w:pPr>
      <w:r>
        <w:rPr>
          <w:rFonts w:ascii="Times New Roman" w:hAnsi="Times New Roman" w:eastAsia="Times New Roman" w:cs="Times New Roman"/>
          <w:b/>
          <w:bCs/>
          <w:spacing w:val="60"/>
          <w:sz w:val="26"/>
          <w:szCs w:val="26"/>
          <w:lang w:eastAsia="ar-SA"/>
        </w:rPr>
        <w:t>ЗАЯВКА</w:t>
      </w: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6"/>
          <w:szCs w:val="26"/>
          <w:lang w:eastAsia="ar-SA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eastAsia="ar-SA"/>
        </w:rPr>
        <w:t xml:space="preserve">юридического лица (индивидуального предпринимателя), </w:t>
      </w: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6"/>
          <w:szCs w:val="26"/>
          <w:lang w:eastAsia="ar-SA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eastAsia="ar-SA"/>
        </w:rPr>
        <w:t xml:space="preserve">физического лица на присоединение по одному источнику </w:t>
      </w: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6"/>
          <w:szCs w:val="26"/>
          <w:lang w:eastAsia="ar-SA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eastAsia="ar-SA"/>
        </w:rPr>
        <w:t xml:space="preserve">электроснабжения энергопринимающих устройств с максимальной </w:t>
      </w: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6"/>
          <w:szCs w:val="26"/>
          <w:lang w:eastAsia="ar-SA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eastAsia="ar-SA"/>
        </w:rPr>
        <w:t>мощностью до 150 кВт включительно</w:t>
      </w: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6"/>
          <w:szCs w:val="26"/>
          <w:lang w:eastAsia="ar-SA"/>
        </w:rPr>
      </w:pPr>
    </w:p>
    <w:p>
      <w:pPr>
        <w:tabs>
          <w:tab w:val="right" w:pos="9923"/>
        </w:tabs>
        <w:suppressAutoHyphens/>
        <w:spacing w:after="0" w:line="240" w:lineRule="auto"/>
        <w:ind w:firstLine="567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 xml:space="preserve">1.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${name}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${organization}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${dolgnost}</w:t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.</w:t>
      </w:r>
    </w:p>
    <w:p>
      <w:pPr>
        <w:pBdr>
          <w:top w:val="single" w:color="auto" w:sz="4" w:space="1"/>
        </w:pBdr>
        <w:suppressAutoHyphens/>
        <w:spacing w:after="0" w:line="240" w:lineRule="auto"/>
        <w:ind w:left="879" w:right="113"/>
        <w:jc w:val="center"/>
        <w:rPr>
          <w:rFonts w:ascii="Times New Roman" w:hAnsi="Times New Roman" w:eastAsia="Times New Roman" w:cs="Times New Roman"/>
          <w:sz w:val="20"/>
          <w:szCs w:val="20"/>
          <w:lang w:eastAsia="ar-SA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ar-SA"/>
        </w:rPr>
        <w:t>(полное наименование заявителя – юридического лица;</w:t>
      </w:r>
    </w:p>
    <w:p>
      <w:pPr>
        <w:pBdr>
          <w:top w:val="single" w:color="auto" w:sz="4" w:space="1"/>
        </w:pBdr>
        <w:suppressAutoHyphens/>
        <w:spacing w:after="0" w:line="240" w:lineRule="auto"/>
        <w:ind w:left="879" w:right="113"/>
        <w:jc w:val="center"/>
        <w:rPr>
          <w:rFonts w:ascii="Times New Roman" w:hAnsi="Times New Roman" w:eastAsia="Times New Roman" w:cs="Times New Roman"/>
          <w:sz w:val="20"/>
          <w:szCs w:val="20"/>
          <w:lang w:eastAsia="ar-SA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ar-SA"/>
        </w:rPr>
        <w:t>фамилия, имя, отчество заявителя – индивидуального предпринимателя)</w:t>
      </w:r>
    </w:p>
    <w:p>
      <w:pPr>
        <w:pBdr>
          <w:top w:val="single" w:color="auto" w:sz="4" w:space="1"/>
        </w:pBdr>
        <w:suppressAutoHyphens/>
        <w:spacing w:after="0" w:line="240" w:lineRule="auto"/>
        <w:ind w:left="879" w:right="113"/>
        <w:jc w:val="center"/>
        <w:rPr>
          <w:rFonts w:ascii="Times New Roman" w:hAnsi="Times New Roman" w:eastAsia="Times New Roman" w:cs="Times New Roman"/>
          <w:sz w:val="20"/>
          <w:szCs w:val="20"/>
          <w:lang w:eastAsia="ar-SA"/>
        </w:rPr>
      </w:pPr>
    </w:p>
    <w:p>
      <w:pPr>
        <w:suppressAutoHyphens/>
        <w:spacing w:after="0" w:line="240" w:lineRule="auto"/>
        <w:ind w:firstLine="567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2. Номер записи в Едином государственном реестре юридических лиц (номер записи в Едином государственном реестре индивидуальных предпринимателей) и дата ее внесения в реестр 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${egrul}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</w:t>
      </w:r>
    </w:p>
    <w:p>
      <w:pPr>
        <w:pBdr>
          <w:top w:val="single" w:color="auto" w:sz="4" w:space="1"/>
        </w:pBdr>
        <w:suppressAutoHyphens/>
        <w:spacing w:after="0" w:line="240" w:lineRule="auto"/>
        <w:ind w:left="965"/>
        <w:rPr>
          <w:rFonts w:ascii="Times New Roman" w:hAnsi="Times New Roman" w:eastAsia="Times New Roman" w:cs="Times New Roman"/>
          <w:sz w:val="2"/>
          <w:szCs w:val="2"/>
          <w:lang w:eastAsia="ar-SA"/>
        </w:rPr>
      </w:pPr>
    </w:p>
    <w:p>
      <w:pPr>
        <w:tabs>
          <w:tab w:val="right" w:pos="9923"/>
        </w:tabs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.</w:t>
      </w:r>
    </w:p>
    <w:p>
      <w:pPr>
        <w:pBdr>
          <w:top w:val="single" w:color="auto" w:sz="4" w:space="1"/>
        </w:pBdr>
        <w:suppressAutoHyphens/>
        <w:spacing w:after="0" w:line="240" w:lineRule="auto"/>
        <w:ind w:right="113"/>
        <w:rPr>
          <w:rFonts w:ascii="Times New Roman" w:hAnsi="Times New Roman" w:eastAsia="Times New Roman" w:cs="Times New Roman"/>
          <w:sz w:val="2"/>
          <w:szCs w:val="2"/>
          <w:lang w:eastAsia="ar-SA"/>
        </w:rPr>
      </w:pPr>
    </w:p>
    <w:p>
      <w:pPr>
        <w:suppressAutoHyphens/>
        <w:spacing w:after="0" w:line="240" w:lineRule="auto"/>
        <w:ind w:firstLine="567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</w:p>
    <w:p>
      <w:pPr>
        <w:suppressAutoHyphens/>
        <w:spacing w:after="0" w:line="240" w:lineRule="auto"/>
        <w:ind w:firstLine="567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 xml:space="preserve">3. Место нахождения заявителя, в том числе фактический адрес  </w:t>
      </w:r>
    </w:p>
    <w:p>
      <w:pPr>
        <w:pBdr>
          <w:top w:val="single" w:color="auto" w:sz="4" w:space="1"/>
        </w:pBdr>
        <w:suppressAutoHyphens/>
        <w:spacing w:after="0" w:line="240" w:lineRule="auto"/>
        <w:ind w:left="7258"/>
        <w:rPr>
          <w:rFonts w:ascii="Times New Roman" w:hAnsi="Times New Roman" w:eastAsia="Times New Roman" w:cs="Times New Roman"/>
          <w:sz w:val="2"/>
          <w:szCs w:val="2"/>
          <w:lang w:eastAsia="ar-SA"/>
        </w:rPr>
      </w:pPr>
    </w:p>
    <w:p>
      <w:pPr>
        <w:tabs>
          <w:tab w:val="right" w:pos="9923"/>
        </w:tabs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${adress}</w:t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.</w:t>
      </w:r>
    </w:p>
    <w:p>
      <w:pPr>
        <w:pBdr>
          <w:top w:val="single" w:color="auto" w:sz="4" w:space="1"/>
        </w:pBdr>
        <w:suppressAutoHyphens/>
        <w:spacing w:after="0" w:line="240" w:lineRule="auto"/>
        <w:ind w:right="113"/>
        <w:jc w:val="center"/>
        <w:rPr>
          <w:rFonts w:ascii="Times New Roman" w:hAnsi="Times New Roman" w:eastAsia="Times New Roman" w:cs="Times New Roman"/>
          <w:sz w:val="20"/>
          <w:szCs w:val="20"/>
          <w:lang w:eastAsia="ar-SA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ar-SA"/>
        </w:rPr>
        <w:t>(индекс, адрес)</w:t>
      </w:r>
    </w:p>
    <w:tbl>
      <w:tblPr>
        <w:tblStyle w:val="3"/>
        <w:tblW w:w="9356" w:type="dxa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686"/>
        <w:gridCol w:w="1871"/>
        <w:gridCol w:w="851"/>
        <w:gridCol w:w="2948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686" w:type="dxa"/>
            <w:vAlign w:val="bottom"/>
          </w:tcPr>
          <w:p>
            <w:pPr>
              <w:suppressAutoHyphens/>
              <w:spacing w:after="0" w:line="240" w:lineRule="auto"/>
              <w:ind w:firstLine="567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  <w:t>Паспортные данные : серия</w:t>
            </w:r>
          </w:p>
        </w:tc>
        <w:tc>
          <w:tcPr>
            <w:tcW w:w="187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${pasport_seria}</w:t>
            </w:r>
          </w:p>
        </w:tc>
        <w:tc>
          <w:tcPr>
            <w:tcW w:w="851" w:type="dxa"/>
            <w:vAlign w:val="bottom"/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  <w:t>номер</w:t>
            </w:r>
          </w:p>
        </w:tc>
        <w:tc>
          <w:tcPr>
            <w:tcW w:w="294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${pasport_number}</w:t>
            </w:r>
          </w:p>
        </w:tc>
      </w:tr>
    </w:tbl>
    <w:p>
      <w:pPr>
        <w:tabs>
          <w:tab w:val="right" w:pos="9923"/>
        </w:tabs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 xml:space="preserve">выдан (кем, когда) 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${pasport_vidan}</w:t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.</w:t>
      </w:r>
    </w:p>
    <w:p>
      <w:pPr>
        <w:pBdr>
          <w:top w:val="single" w:color="auto" w:sz="4" w:space="1"/>
        </w:pBdr>
        <w:suppressAutoHyphens/>
        <w:spacing w:after="0" w:line="240" w:lineRule="auto"/>
        <w:ind w:left="2013" w:right="113"/>
        <w:rPr>
          <w:rFonts w:ascii="Times New Roman" w:hAnsi="Times New Roman" w:eastAsia="Times New Roman" w:cs="Times New Roman"/>
          <w:sz w:val="2"/>
          <w:szCs w:val="2"/>
          <w:lang w:eastAsia="ar-SA"/>
        </w:rPr>
      </w:pPr>
    </w:p>
    <w:p>
      <w:pPr>
        <w:suppressAutoHyphens/>
        <w:spacing w:after="0" w:line="240" w:lineRule="auto"/>
        <w:ind w:firstLine="567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</w:p>
    <w:p>
      <w:pPr>
        <w:suppressAutoHyphens/>
        <w:spacing w:after="0" w:line="240" w:lineRule="auto"/>
        <w:ind w:firstLine="567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 xml:space="preserve">4. В связи с 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${osnovanie}</w:t>
      </w:r>
    </w:p>
    <w:p>
      <w:pPr>
        <w:pBdr>
          <w:top w:val="single" w:color="auto" w:sz="4" w:space="1"/>
        </w:pBdr>
        <w:suppressAutoHyphens/>
        <w:spacing w:after="0" w:line="240" w:lineRule="auto"/>
        <w:ind w:left="1871"/>
        <w:rPr>
          <w:rFonts w:ascii="Times New Roman" w:hAnsi="Times New Roman" w:eastAsia="Times New Roman" w:cs="Times New Roman"/>
          <w:sz w:val="2"/>
          <w:szCs w:val="2"/>
          <w:lang w:eastAsia="ar-SA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</w:p>
    <w:p>
      <w:pPr>
        <w:pBdr>
          <w:top w:val="single" w:color="auto" w:sz="4" w:space="1"/>
        </w:pBd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sz w:val="20"/>
          <w:szCs w:val="20"/>
          <w:lang w:eastAsia="ar-SA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ar-SA"/>
        </w:rPr>
        <w:t>(увеличение объема максимальной мощности, новое строительство и др. – указать нужное)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 xml:space="preserve">просит осуществить технологическое присоединение  </w:t>
      </w:r>
    </w:p>
    <w:p>
      <w:pPr>
        <w:pBdr>
          <w:top w:val="single" w:color="auto" w:sz="4" w:space="1"/>
        </w:pBdr>
        <w:suppressAutoHyphens/>
        <w:spacing w:after="0" w:line="240" w:lineRule="auto"/>
        <w:ind w:left="5613"/>
        <w:rPr>
          <w:rFonts w:ascii="Times New Roman" w:hAnsi="Times New Roman" w:eastAsia="Times New Roman" w:cs="Times New Roman"/>
          <w:sz w:val="2"/>
          <w:szCs w:val="2"/>
          <w:lang w:eastAsia="ar-SA"/>
        </w:rPr>
      </w:pPr>
    </w:p>
    <w:p>
      <w:pPr>
        <w:tabs>
          <w:tab w:val="right" w:pos="9923"/>
        </w:tabs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${ustroistvo}</w:t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,</w:t>
      </w:r>
    </w:p>
    <w:p>
      <w:pPr>
        <w:pBdr>
          <w:top w:val="single" w:color="auto" w:sz="4" w:space="1"/>
        </w:pBdr>
        <w:suppressAutoHyphens/>
        <w:spacing w:after="0" w:line="240" w:lineRule="auto"/>
        <w:ind w:right="113"/>
        <w:jc w:val="center"/>
        <w:rPr>
          <w:rFonts w:ascii="Times New Roman" w:hAnsi="Times New Roman" w:eastAsia="Times New Roman" w:cs="Times New Roman"/>
          <w:sz w:val="20"/>
          <w:szCs w:val="20"/>
          <w:lang w:eastAsia="ar-SA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ar-SA"/>
        </w:rPr>
        <w:t>(наименование энергопринимающих устройств для присоединения)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 xml:space="preserve">расположенных 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${raspologeie}</w:t>
      </w:r>
    </w:p>
    <w:p>
      <w:pPr>
        <w:pBdr>
          <w:top w:val="single" w:color="auto" w:sz="4" w:space="1"/>
        </w:pBdr>
        <w:suppressAutoHyphens/>
        <w:spacing w:after="0" w:line="240" w:lineRule="auto"/>
        <w:ind w:left="1761"/>
        <w:rPr>
          <w:rFonts w:ascii="Times New Roman" w:hAnsi="Times New Roman" w:eastAsia="Times New Roman" w:cs="Times New Roman"/>
          <w:sz w:val="2"/>
          <w:szCs w:val="2"/>
          <w:lang w:eastAsia="ar-SA"/>
        </w:rPr>
      </w:pPr>
    </w:p>
    <w:p>
      <w:pPr>
        <w:tabs>
          <w:tab w:val="right" w:pos="9923"/>
        </w:tabs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.</w:t>
      </w:r>
    </w:p>
    <w:p>
      <w:pPr>
        <w:pBdr>
          <w:top w:val="single" w:color="auto" w:sz="4" w:space="1"/>
        </w:pBdr>
        <w:suppressAutoHyphens/>
        <w:spacing w:after="0" w:line="240" w:lineRule="auto"/>
        <w:ind w:right="113"/>
        <w:jc w:val="center"/>
        <w:rPr>
          <w:rFonts w:ascii="Times New Roman" w:hAnsi="Times New Roman" w:eastAsia="Times New Roman" w:cs="Times New Roman"/>
          <w:sz w:val="20"/>
          <w:szCs w:val="20"/>
          <w:lang w:eastAsia="ar-SA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ar-SA"/>
        </w:rPr>
        <w:t>(место нахождения энергопринимающих устройств)</w:t>
      </w:r>
    </w:p>
    <w:p>
      <w:pPr>
        <w:suppressAutoHyphens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</w:p>
    <w:p>
      <w:pPr>
        <w:suppressAutoHyphens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"/>
          <w:szCs w:val="2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5. Максимальная мощность  энергопринимающих устройств (присоединяемых и ранее</w:t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br w:type="textWrapping"/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117"/>
        <w:gridCol w:w="737"/>
        <w:gridCol w:w="2552"/>
        <w:gridCol w:w="737"/>
        <w:gridCol w:w="1816"/>
      </w:tblGrid>
      <w:tr>
        <w:tc>
          <w:tcPr>
            <w:tcW w:w="3117" w:type="dxa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  <w:t>присоединенных) составляет</w:t>
            </w:r>
          </w:p>
        </w:tc>
        <w:tc>
          <w:tcPr>
            <w:tcW w:w="73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${pover_prin_devices}</w:t>
            </w:r>
          </w:p>
        </w:tc>
        <w:tc>
          <w:tcPr>
            <w:tcW w:w="2552" w:type="dxa"/>
            <w:vAlign w:val="bottom"/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  <w:t>кВт при напряжении </w:t>
            </w:r>
          </w:p>
        </w:tc>
        <w:tc>
          <w:tcPr>
            <w:tcW w:w="73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${napr_prin_devices}</w:t>
            </w:r>
          </w:p>
        </w:tc>
        <w:tc>
          <w:tcPr>
            <w:tcW w:w="1816" w:type="dxa"/>
            <w:vAlign w:val="bottom"/>
          </w:tcPr>
          <w:p>
            <w:pPr>
              <w:suppressAutoHyphens/>
              <w:spacing w:after="0" w:line="240" w:lineRule="auto"/>
              <w:ind w:left="57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  <w:t>кВ, в том числе:</w:t>
            </w:r>
          </w:p>
        </w:tc>
      </w:tr>
    </w:tbl>
    <w:p>
      <w:pPr>
        <w:suppressAutoHyphens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"/>
          <w:szCs w:val="2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а) максимальная мощность присоединяемых энергопринимающих устройств составляет</w:t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br w:type="textWrapping"/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37"/>
        <w:gridCol w:w="2552"/>
        <w:gridCol w:w="737"/>
        <w:gridCol w:w="822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3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${pover_pris_devices}</w:t>
            </w:r>
          </w:p>
        </w:tc>
        <w:tc>
          <w:tcPr>
            <w:tcW w:w="2552" w:type="dxa"/>
            <w:vAlign w:val="bottom"/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  <w:t>кВт при напряжении </w:t>
            </w:r>
          </w:p>
        </w:tc>
        <w:tc>
          <w:tcPr>
            <w:tcW w:w="73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${napr_pris_devices}</w:t>
            </w:r>
          </w:p>
        </w:tc>
        <w:tc>
          <w:tcPr>
            <w:tcW w:w="822" w:type="dxa"/>
            <w:vAlign w:val="bottom"/>
          </w:tcPr>
          <w:p>
            <w:pPr>
              <w:suppressAutoHyphens/>
              <w:spacing w:after="0" w:line="240" w:lineRule="auto"/>
              <w:ind w:left="57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  <w:t>кВ;</w:t>
            </w:r>
          </w:p>
        </w:tc>
      </w:tr>
    </w:tbl>
    <w:p>
      <w:pPr>
        <w:suppressAutoHyphens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"/>
          <w:szCs w:val="2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б) максимальная мощность ранее присоединенных в данной точке присоединения</w:t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br w:type="textWrapping"/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570"/>
        <w:gridCol w:w="737"/>
        <w:gridCol w:w="2552"/>
        <w:gridCol w:w="737"/>
        <w:gridCol w:w="646"/>
      </w:tblGrid>
      <w:tr>
        <w:tc>
          <w:tcPr>
            <w:tcW w:w="4570" w:type="dxa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  <w:t>энергопринимающих устройств составляет</w:t>
            </w:r>
          </w:p>
        </w:tc>
        <w:tc>
          <w:tcPr>
            <w:tcW w:w="73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${pover_pris_r_devices}</w:t>
            </w:r>
          </w:p>
        </w:tc>
        <w:tc>
          <w:tcPr>
            <w:tcW w:w="2552" w:type="dxa"/>
            <w:vAlign w:val="bottom"/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  <w:t>кВт при напряжении </w:t>
            </w:r>
          </w:p>
        </w:tc>
        <w:tc>
          <w:tcPr>
            <w:tcW w:w="73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${napr_pris_r_devices}</w:t>
            </w:r>
          </w:p>
        </w:tc>
        <w:tc>
          <w:tcPr>
            <w:tcW w:w="646" w:type="dxa"/>
            <w:vAlign w:val="bottom"/>
          </w:tcPr>
          <w:p>
            <w:pPr>
              <w:suppressAutoHyphens/>
              <w:spacing w:after="0" w:line="240" w:lineRule="auto"/>
              <w:ind w:left="57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  <w:t>кВ.</w:t>
            </w:r>
          </w:p>
        </w:tc>
      </w:tr>
    </w:tbl>
    <w:p>
      <w:pPr>
        <w:suppressAutoHyphens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</w:p>
    <w:p>
      <w:pPr>
        <w:suppressAutoHyphens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 xml:space="preserve">6. Заявляемая категория надежности энергопринимающих устройств – </w:t>
      </w:r>
      <w:r>
        <w:rPr>
          <w:rFonts w:ascii="Times New Roman" w:hAnsi="Times New Roman" w:eastAsia="Times New Roman" w:cs="Times New Roman"/>
          <w:sz w:val="24"/>
          <w:szCs w:val="24"/>
          <w:lang w:val="en-US" w:eastAsia="ar-SA"/>
        </w:rPr>
        <w:t>III</w:t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 xml:space="preserve"> (по одному источнику электроснабжения энергопринимающих устройств).</w:t>
      </w:r>
    </w:p>
    <w:p>
      <w:pPr>
        <w:suppressAutoHyphens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</w:p>
    <w:p>
      <w:pPr>
        <w:suppressAutoHyphens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7. Характер нагрузки (вид экономической деятельности заявителя)</w:t>
      </w:r>
    </w:p>
    <w:p>
      <w:pPr>
        <w:tabs>
          <w:tab w:val="right" w:pos="9923"/>
        </w:tabs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.</w:t>
      </w:r>
    </w:p>
    <w:p>
      <w:pPr>
        <w:pBdr>
          <w:top w:val="single" w:color="auto" w:sz="4" w:space="1"/>
        </w:pBdr>
        <w:suppressAutoHyphens/>
        <w:spacing w:after="0" w:line="240" w:lineRule="auto"/>
        <w:ind w:right="113"/>
        <w:rPr>
          <w:rFonts w:ascii="Times New Roman" w:hAnsi="Times New Roman" w:eastAsia="Times New Roman" w:cs="Times New Roman"/>
          <w:sz w:val="2"/>
          <w:szCs w:val="2"/>
          <w:lang w:eastAsia="ar-SA"/>
        </w:rPr>
      </w:pPr>
    </w:p>
    <w:p>
      <w:pPr>
        <w:keepNext/>
        <w:suppressAutoHyphens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8. Сроки проектирования и поэтапного введения в эксплуатацию объекта (в том числе по этапам и очередям), планируемого поэтапного распределения мощности:</w:t>
      </w:r>
    </w:p>
    <w:tbl>
      <w:tblPr>
        <w:tblStyle w:val="3"/>
        <w:tblW w:w="933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701"/>
        <w:gridCol w:w="2098"/>
        <w:gridCol w:w="1985"/>
        <w:gridCol w:w="1929"/>
        <w:gridCol w:w="1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  <w:t>Этап</w:t>
            </w:r>
          </w:p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  <w:t>(очередь) строительства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  <w:t>Планируемый срок проектирования энергопринимающих устройств</w:t>
            </w:r>
          </w:p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  <w:t>(месяц, год)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  <w:t>Планируемый срок введения энергопринимающих устройств в эксплуатацию</w:t>
            </w:r>
          </w:p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  <w:t>(месяц, год)</w:t>
            </w:r>
          </w:p>
        </w:tc>
        <w:tc>
          <w:tcPr>
            <w:tcW w:w="1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  <w:t>Максимальная мощность энергопринимающих устройств</w:t>
            </w:r>
          </w:p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  <w:t>(кВт)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  <w:t>Категория надежности энергопринимающих устройств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</w:p>
        </w:tc>
      </w:tr>
    </w:tbl>
    <w:p>
      <w:pPr>
        <w:suppressAutoHyphens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16"/>
          <w:szCs w:val="16"/>
          <w:lang w:eastAsia="ar-SA"/>
        </w:rPr>
      </w:pPr>
    </w:p>
    <w:p>
      <w:pPr>
        <w:suppressAutoHyphens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 xml:space="preserve">9. Порядок расчета и условия рассрочки внесения платы за технологическое присоединение по договору осуществляются по   </w:t>
      </w:r>
    </w:p>
    <w:p>
      <w:pPr>
        <w:pBdr>
          <w:top w:val="single" w:color="auto" w:sz="4" w:space="1"/>
        </w:pBdr>
        <w:suppressAutoHyphens/>
        <w:spacing w:after="0" w:line="240" w:lineRule="auto"/>
        <w:ind w:left="5216"/>
        <w:rPr>
          <w:rFonts w:ascii="Times New Roman" w:hAnsi="Times New Roman" w:eastAsia="Times New Roman" w:cs="Times New Roman"/>
          <w:sz w:val="2"/>
          <w:szCs w:val="2"/>
          <w:lang w:eastAsia="ar-SA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${rashet_plati}</w:t>
      </w:r>
    </w:p>
    <w:p>
      <w:pPr>
        <w:pBdr>
          <w:top w:val="single" w:color="auto" w:sz="4" w:space="1"/>
        </w:pBd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sz w:val="20"/>
          <w:szCs w:val="20"/>
          <w:lang w:eastAsia="ar-SA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ar-SA"/>
        </w:rPr>
        <w:t>(вариант 1, вариант 2 – указать нужное)</w:t>
      </w:r>
    </w:p>
    <w:p>
      <w:pPr>
        <w:suppressAutoHyphens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а) вариант 1, при котором:</w:t>
      </w:r>
    </w:p>
    <w:p>
      <w:pPr>
        <w:suppressAutoHyphens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15 процентов платы за технологическое присоединение вносятся в течение 15 дней со дня заключения договора;</w:t>
      </w:r>
    </w:p>
    <w:p>
      <w:pPr>
        <w:suppressAutoHyphens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30 процентов платы за технологическое присоединение вносятся в течение 60 дней со дня заключения договора, но не позже дня фактического присоединения;</w:t>
      </w:r>
    </w:p>
    <w:p>
      <w:pPr>
        <w:suppressAutoHyphens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45 процентов платы за технологическое присоединение вносятся в течение 15 дней со дня фактического присоединения;</w:t>
      </w:r>
    </w:p>
    <w:p>
      <w:pPr>
        <w:suppressAutoHyphens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10 процентов платы за технологическое присоединение вносятся в течение 15 дней со дня подписания акта об осуществлении технологического присоединения;</w:t>
      </w:r>
    </w:p>
    <w:p>
      <w:pPr>
        <w:suppressAutoHyphens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б) вариант 2, при котором:</w:t>
      </w:r>
    </w:p>
    <w:p>
      <w:pPr>
        <w:suppressAutoHyphens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авансовый платеж вносится в размере 5 процентов размера платы за технологическое присоединение;</w:t>
      </w:r>
    </w:p>
    <w:p>
      <w:pPr>
        <w:suppressAutoHyphens/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осуществляется беспроцентная рассрочка платежа в размере 95 процентов платы за технологическое присоединение с условием ежеквартального внесения платы равными долями от общей суммы рассрочки на период до 3 лет со дня подписания сторонами акта об осуществлении технологического присоединения.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10. Гарантирующий поставщик (энергосбытовая организация), с которым планируется заключение договора энергоснабжения (купли-продажи электрической энергии (мощности)</w:t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${gen_postavhik}</w:t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.</w:t>
      </w:r>
    </w:p>
    <w:p>
      <w:pPr>
        <w:pBdr>
          <w:top w:val="single" w:color="auto" w:sz="4" w:space="1"/>
        </w:pBdr>
        <w:suppressAutoHyphens/>
        <w:spacing w:after="0" w:line="240" w:lineRule="auto"/>
        <w:ind w:right="113"/>
        <w:rPr>
          <w:rFonts w:ascii="Times New Roman" w:hAnsi="Times New Roman" w:eastAsia="Times New Roman" w:cs="Times New Roman"/>
          <w:sz w:val="2"/>
          <w:szCs w:val="2"/>
          <w:lang w:eastAsia="ar-SA"/>
        </w:rPr>
      </w:pPr>
    </w:p>
    <w:p>
      <w:pPr>
        <w:suppressAutoHyphens/>
        <w:spacing w:after="0" w:line="240" w:lineRule="auto"/>
        <w:ind w:firstLine="567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Приложения:</w:t>
      </w:r>
    </w:p>
    <w:p>
      <w:pPr>
        <w:suppressAutoHyphens/>
        <w:spacing w:after="0" w:line="240" w:lineRule="auto"/>
        <w:ind w:firstLine="567"/>
        <w:rPr>
          <w:rFonts w:ascii="Times New Roman" w:hAnsi="Times New Roman" w:eastAsia="Times New Roman" w:cs="Times New Roman"/>
          <w:sz w:val="20"/>
          <w:szCs w:val="20"/>
          <w:lang w:eastAsia="ar-SA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ar-SA"/>
        </w:rPr>
        <w:t>(указать перечень прилагаемых документов)</w:t>
      </w:r>
    </w:p>
    <w:p>
      <w:pPr>
        <w:suppressAutoHyphens/>
        <w:spacing w:after="0" w:line="240" w:lineRule="auto"/>
        <w:ind w:right="4818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${gen_postavhik}</w:t>
      </w:r>
    </w:p>
    <w:p>
      <w:pPr>
        <w:suppressAutoHyphens/>
        <w:spacing w:after="0" w:line="240" w:lineRule="auto"/>
        <w:ind w:right="4818"/>
        <w:jc w:val="center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</w:p>
    <w:p>
      <w:pPr>
        <w:suppressAutoHyphens/>
        <w:spacing w:after="0" w:line="240" w:lineRule="auto"/>
        <w:ind w:right="4818"/>
        <w:jc w:val="center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289"/>
        <w:gridCol w:w="141"/>
        <w:gridCol w:w="1701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13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uppressAutoHyphens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ar-SA"/>
              </w:rPr>
              <w:t>${name}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131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  <w:t>(фамилия, имя, отчество)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13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ar-SA"/>
              </w:rPr>
              <w:t>${name}</w:t>
            </w:r>
          </w:p>
        </w:tc>
      </w:tr>
      <w:tr>
        <w:tc>
          <w:tcPr>
            <w:tcW w:w="5131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  <w:t>(контактный телефон)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28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ar-SA"/>
              </w:rPr>
              <w:t>${dolgnost}</w:t>
            </w:r>
          </w:p>
        </w:tc>
        <w:tc>
          <w:tcPr>
            <w:tcW w:w="141" w:type="dxa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28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  <w:t>(должность)</w:t>
            </w:r>
          </w:p>
        </w:tc>
        <w:tc>
          <w:tcPr>
            <w:tcW w:w="141" w:type="dxa"/>
          </w:tcPr>
          <w:p>
            <w:pPr>
              <w:suppressAutoHyphens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  <w:t>(подпись)</w:t>
            </w:r>
          </w:p>
        </w:tc>
      </w:tr>
    </w:tbl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"/>
          <w:szCs w:val="2"/>
          <w:lang w:eastAsia="ar-SA"/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98"/>
        <w:gridCol w:w="454"/>
        <w:gridCol w:w="255"/>
        <w:gridCol w:w="1474"/>
        <w:gridCol w:w="369"/>
        <w:gridCol w:w="369"/>
        <w:gridCol w:w="397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98" w:type="dxa"/>
            <w:vAlign w:val="bottom"/>
          </w:tcPr>
          <w:p>
            <w:pPr>
              <w:suppressAutoHyphens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  <w:t>“</w:t>
            </w:r>
          </w:p>
        </w:tc>
        <w:tc>
          <w:tcPr>
            <w:tcW w:w="45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55" w:type="dxa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  <w:t>”</w:t>
            </w:r>
          </w:p>
        </w:tc>
        <w:tc>
          <w:tcPr>
            <w:tcW w:w="147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369" w:type="dxa"/>
            <w:vAlign w:val="bottom"/>
          </w:tcPr>
          <w:p>
            <w:pPr>
              <w:suppressAutoHyphens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397" w:type="dxa"/>
            <w:vAlign w:val="bottom"/>
          </w:tcPr>
          <w:p>
            <w:pPr>
              <w:suppressAutoHyphens/>
              <w:spacing w:after="0" w:line="240" w:lineRule="auto"/>
              <w:ind w:left="57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  <w:t>г.</w:t>
            </w:r>
          </w:p>
        </w:tc>
      </w:tr>
    </w:tbl>
    <w:p>
      <w:pPr>
        <w:suppressAutoHyphens/>
        <w:spacing w:after="0" w:line="240" w:lineRule="auto"/>
      </w:pPr>
      <w:r>
        <w:rPr>
          <w:rFonts w:ascii="Times New Roman" w:hAnsi="Times New Roman" w:eastAsia="Times New Roman" w:cs="Times New Roman"/>
          <w:sz w:val="20"/>
          <w:szCs w:val="20"/>
          <w:lang w:eastAsia="ar-SA"/>
        </w:rPr>
        <w:t>М.П.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Times New Roman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6C773"/>
    <w:rsid w:val="6AFF7560"/>
    <w:rsid w:val="7E56C773"/>
    <w:rsid w:val="DD7FA742"/>
    <w:rsid w:val="FEFEB3A7"/>
    <w:rsid w:val="FFBF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2024-04-03T11:48:00Z</dcterms:created>
  <dc:creator>asmi</dc:creator>
  <cp:lastModifiedBy>asmi</cp:lastModifiedBy>
  <dcterms:modified xsi:type="dcterms:W3CDTF">2024-04-03T12:23:25Z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