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  <w:spacing w:val="60"/>
          <w:sz w:val="26"/>
          <w:szCs w:val="26"/>
          <w:lang w:eastAsia="ar-SA"/>
        </w:rPr>
      </w:pPr>
      <w:r>
        <w:rPr>
          <w:rFonts w:ascii="Times New Roman" w:hAnsi="Times New Roman" w:eastAsia="Times New Roman" w:cs="Times New Roman"/>
          <w:b/>
          <w:bCs/>
          <w:spacing w:val="60"/>
          <w:sz w:val="26"/>
          <w:szCs w:val="26"/>
          <w:lang w:eastAsia="ar-SA"/>
        </w:rPr>
        <w:t>ЗАЯВКА</w:t>
      </w:r>
    </w:p>
    <w:p>
      <w:pPr>
        <w:suppressAutoHyphens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  <w:t xml:space="preserve">юридического лица (индивидуального предпринимателя), </w:t>
      </w:r>
    </w:p>
    <w:p>
      <w:pPr>
        <w:suppressAutoHyphens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  <w:t xml:space="preserve">физического лица на присоединение по одному источнику </w:t>
      </w:r>
    </w:p>
    <w:p>
      <w:pPr>
        <w:suppressAutoHyphens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  <w:t xml:space="preserve">электроснабжения энергопринимающих устройств с максимальной </w:t>
      </w:r>
    </w:p>
    <w:p>
      <w:pPr>
        <w:suppressAutoHyphens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  <w:t>мощностью до 150 кВт включительно</w:t>
      </w:r>
    </w:p>
    <w:p>
      <w:pPr>
        <w:suppressAutoHyphens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</w:p>
    <w:p>
      <w:pPr>
        <w:widowControl/>
        <w:tabs>
          <w:tab w:val="right" w:pos="9923"/>
        </w:tabs>
        <w:suppressAutoHyphens/>
        <w:bidi w:val="0"/>
        <w:spacing w:before="0" w:after="0" w:line="240" w:lineRule="auto"/>
        <w:ind w:left="0" w:right="0" w:firstLine="567"/>
        <w:jc w:val="left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1.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ar-SA"/>
        </w:rPr>
        <w:t xml:space="preserve">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${name} ${organization}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${dolgnost}</w:t>
      </w:r>
    </w:p>
    <w:p>
      <w:pPr>
        <w:tabs>
          <w:tab w:val="right" w:pos="9923"/>
        </w:tabs>
        <w:suppressAutoHyphens/>
        <w:spacing w:before="0" w:after="0" w:line="240" w:lineRule="auto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2. Номер записи в Едином государственном реестре юридических лиц (номер записи в Едином государственном реестре индивидуальных предпринимателей) и дата ее внесения в реестр 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${egrul}</w:t>
      </w:r>
    </w:p>
    <w:p>
      <w:pPr>
        <w:suppressAutoHyphens/>
        <w:spacing w:before="0" w:after="0" w:line="240" w:lineRule="auto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suppressAutoHyphens/>
        <w:spacing w:before="0" w:after="0" w:line="240" w:lineRule="auto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3. Место нахождения заявителя, в том числе фактический адрес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${adress}</w:t>
      </w:r>
    </w:p>
    <w:p>
      <w:pPr>
        <w:widowControl/>
        <w:suppressAutoHyphens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cs="Times New Roman"/>
          <w:b w:val="0"/>
          <w:bCs w:val="0"/>
          <w:position w:val="0"/>
          <w:sz w:val="24"/>
          <w:szCs w:val="24"/>
          <w:vertAlign w:val="baseline"/>
          <w:lang w:val="en-US"/>
        </w:rPr>
        <w:t xml:space="preserve">Паспортные данные : серия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${pasport_seria}</w:t>
      </w:r>
      <w:r>
        <w:rPr>
          <w:rFonts w:ascii="Times New Roman" w:hAnsi="Times New Roman" w:cs="Times New Roman"/>
          <w:b w:val="0"/>
          <w:bCs w:val="0"/>
          <w:position w:val="0"/>
          <w:sz w:val="24"/>
          <w:szCs w:val="24"/>
          <w:vertAlign w:val="baseline"/>
          <w:lang w:val="en-US"/>
        </w:rPr>
        <w:t xml:space="preserve"> номер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 xml:space="preserve">${pasport_number} 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выдан  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${pasport_vidan}</w:t>
      </w:r>
    </w:p>
    <w:p>
      <w:pPr>
        <w:suppressAutoHyphens/>
        <w:spacing w:before="0" w:after="0" w:line="240" w:lineRule="auto"/>
        <w:ind w:firstLine="567"/>
        <w:rPr>
          <w:rFonts w:ascii="Times New Roman" w:hAnsi="Times New Roman" w:eastAsia="Times New Roman" w:cs="Times New Roman"/>
          <w:position w:val="0"/>
          <w:sz w:val="24"/>
          <w:szCs w:val="24"/>
          <w:vertAlign w:val="baseline"/>
          <w:lang w:val="en-US" w:eastAsia="ar-SA"/>
        </w:rPr>
      </w:pPr>
    </w:p>
    <w:p>
      <w:pPr>
        <w:suppressAutoHyphens/>
        <w:spacing w:before="0" w:after="0" w:line="240" w:lineRule="auto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4. В связи с 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${osnovanie}</w:t>
      </w:r>
      <w:r>
        <w:rPr>
          <w:rFonts w:ascii="Times New Roman" w:hAnsi="Times New Roman" w:cs="Times New Roman"/>
          <w:position w:val="0"/>
          <w:sz w:val="24"/>
          <w:szCs w:val="24"/>
          <w:vertAlign w:val="baseli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просит осуществить технологическое присоединение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${ustroistvo}</w:t>
      </w:r>
      <w:r>
        <w:rPr>
          <w:rFonts w:ascii="Times New Roman" w:hAnsi="Times New Roman" w:cs="Times New Roman"/>
          <w:position w:val="0"/>
          <w:sz w:val="24"/>
          <w:szCs w:val="24"/>
          <w:vertAlign w:val="baseli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расположенных 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${raspologeie}</w:t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5. Максимальная мощность  энергопринимающих устройств (присоединяемых и ранее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ar-SA"/>
        </w:rPr>
        <w:t>присоединенных) составляет:</w:t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${pover_prin_devices}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ar-SA"/>
        </w:rPr>
        <w:t xml:space="preserve"> кВт при напряжении </w:t>
      </w: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${napr_prin_devices}</w:t>
      </w:r>
      <w:r>
        <w:rPr>
          <w:rFonts w:ascii="Times New Roman" w:hAnsi="Times New Roman" w:eastAsia="Times New Roman" w:cs="Times New Roman"/>
          <w:kern w:val="0"/>
          <w:position w:val="0"/>
          <w:sz w:val="24"/>
          <w:szCs w:val="24"/>
          <w:vertAlign w:val="baseline"/>
          <w:lang w:val="en-US" w:eastAsia="ar-SA"/>
        </w:rPr>
        <w:t xml:space="preserve"> кВ, в том числе: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br w:type="textWrapping"/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а) максимальная мощность присоединяемых энергопринимающих устройств составляет:</w:t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${pover_pris_devices}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ar-SA"/>
        </w:rPr>
        <w:t xml:space="preserve"> кВт при напряжении </w:t>
      </w: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${napr_pris_devices}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ab/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б) максимальная мощность ранее присоединенных в данной точке присоединения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ar-SA"/>
        </w:rPr>
        <w:t>энергопринимающих устройств составляет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:</w:t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${pover_pris_r_devices}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ar-SA"/>
        </w:rPr>
        <w:t xml:space="preserve"> кВт при напряжении </w:t>
      </w: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${napr_pris_r_devices}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br w:type="textWrapping"/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6. Заявляемая категория надежности энергопринимающих устройств – </w:t>
      </w:r>
      <w:r>
        <w:rPr>
          <w:rFonts w:ascii="Times New Roman" w:hAnsi="Times New Roman" w:eastAsia="Times New Roman" w:cs="Times New Roman"/>
          <w:sz w:val="24"/>
          <w:szCs w:val="24"/>
          <w:lang w:val="en-US" w:eastAsia="ar-SA"/>
        </w:rPr>
        <w:t>III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 (по одному источнику электроснабжения энергопринимающих устройств).</w:t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7. Характер нагрузки (вид экономической деятельности заявителя)</w:t>
      </w:r>
    </w:p>
    <w:p>
      <w:pPr>
        <w:tabs>
          <w:tab w:val="right" w:pos="9923"/>
        </w:tabs>
        <w:suppressAutoHyphens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${okved}</w:t>
      </w:r>
    </w:p>
    <w:p>
      <w:pPr>
        <w:tabs>
          <w:tab w:val="right" w:pos="9923"/>
        </w:tabs>
        <w:suppressAutoHyphens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ab/>
      </w:r>
    </w:p>
    <w:p>
      <w:pPr>
        <w:widowControl/>
        <w:tabs>
          <w:tab w:val="right" w:pos="9923"/>
        </w:tabs>
        <w:suppressAutoHyphens/>
        <w:bidi w:val="0"/>
        <w:spacing w:before="0" w:after="0" w:line="240" w:lineRule="auto"/>
        <w:ind w:left="0" w:right="0" w:firstLine="567"/>
        <w:jc w:val="left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8. Сроки проектирования и поэтапного введения в эксплуатацию объекта (в том числе по этапам и очередям), планируемого поэтапного распределения мощности:</w:t>
      </w:r>
    </w:p>
    <w:tbl>
      <w:tblPr>
        <w:tblStyle w:val="3"/>
        <w:tblW w:w="9160" w:type="dxa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01"/>
        <w:gridCol w:w="2095"/>
        <w:gridCol w:w="1986"/>
        <w:gridCol w:w="1929"/>
        <w:gridCol w:w="1449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ar-SA"/>
              </w:rPr>
              <w:t>Этап</w:t>
            </w:r>
          </w:p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ar-SA"/>
              </w:rPr>
              <w:t>(очередь) строительства</w:t>
            </w:r>
          </w:p>
        </w:tc>
        <w:tc>
          <w:tcPr>
            <w:tcW w:w="2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ar-SA"/>
              </w:rPr>
              <w:t>Планируемый срок проектирования энергопринимающих устройств</w:t>
            </w:r>
          </w:p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ar-SA"/>
              </w:rPr>
              <w:t>(месяц, год)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ar-SA"/>
              </w:rPr>
              <w:t>Планируемый срок введения энергопринимающих устройств в эксплуатацию</w:t>
            </w:r>
          </w:p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ar-SA"/>
              </w:rPr>
              <w:t>(месяц, год)</w:t>
            </w:r>
          </w:p>
        </w:tc>
        <w:tc>
          <w:tcPr>
            <w:tcW w:w="1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ar-SA"/>
              </w:rPr>
              <w:t>Максимальная мощность энергопринимающих устройств</w:t>
            </w:r>
          </w:p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ar-SA"/>
              </w:rPr>
              <w:t>(кВт)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ar-SA"/>
              </w:rPr>
              <w:t>Категория надежности энергопринимающих устройств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</w:tr>
    </w:tbl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16"/>
          <w:szCs w:val="16"/>
          <w:lang w:eastAsia="ar-SA"/>
        </w:rPr>
      </w:pP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9. Порядок расчета и условия рассрочки внесения платы за технологическое присоединение по договору осуществляются по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${rashet_plati}</w:t>
      </w:r>
    </w:p>
    <w:p>
      <w:pPr>
        <w:suppressAutoHyphens/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а) вариант 1, при котором:</w:t>
      </w:r>
    </w:p>
    <w:p>
      <w:pPr>
        <w:suppressAutoHyphens/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15 процентов платы за технологическое присоединение вносятся в течение 15 дней со дня заключения договора;</w:t>
      </w:r>
    </w:p>
    <w:p>
      <w:pPr>
        <w:suppressAutoHyphens/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30 процентов платы за технологическое присоединение вносятся в течение 60 дней со дня заключения договора, но не позже дня фактического присоединения;</w:t>
      </w:r>
    </w:p>
    <w:p>
      <w:pPr>
        <w:suppressAutoHyphens/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45 процентов платы за технологическое присоединение вносятся в течение 15 дней со дня фактического присоединения;</w:t>
      </w:r>
    </w:p>
    <w:p>
      <w:pPr>
        <w:suppressAutoHyphens/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10 процентов платы за технологическое присоединение вносятся в течение 15 дней со дня подписания акта об осуществлении технологического присоединения;</w:t>
      </w:r>
    </w:p>
    <w:p>
      <w:pPr>
        <w:suppressAutoHyphens/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б) вариант 2, при котором:</w:t>
      </w:r>
    </w:p>
    <w:p>
      <w:pPr>
        <w:suppressAutoHyphens/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авансовый платеж вносится в размере 5 процентов размера платы за технологическое присоединение;</w:t>
      </w:r>
    </w:p>
    <w:p>
      <w:pPr>
        <w:suppressAutoHyphens/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осуществляется беспроцентная рассрочка платежа в размере 95 процентов платы за технологическое присоединение с условием ежеквартального внесения платы равными долями от общей суммы рассрочки на период до 3 лет со дня подписания сторонами акта об осуществлении технологического присоединения.</w:t>
      </w:r>
    </w:p>
    <w:p>
      <w:pPr>
        <w:suppressAutoHyphens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widowControl/>
        <w:suppressAutoHyphens/>
        <w:bidi w:val="0"/>
        <w:spacing w:before="0" w:after="0" w:line="240" w:lineRule="auto"/>
        <w:ind w:left="0" w:right="0" w:firstLine="567"/>
        <w:jc w:val="left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10. Гарантирующий поставщик (энергосбытовая организация), с которым планируется заключение договора энергоснабжения (купли-продажи электрической энергии (мощности) </w:t>
      </w:r>
      <w:r>
        <w:rPr>
          <w:rFonts w:ascii="Times New Roman" w:hAnsi="Times New Roman" w:eastAsia="Times New Roman" w:cs="Times New Roman"/>
          <w:b/>
          <w:bCs/>
          <w:position w:val="0"/>
          <w:sz w:val="24"/>
          <w:szCs w:val="24"/>
          <w:vertAlign w:val="baseline"/>
          <w:lang w:val="en-US" w:eastAsia="ar-SA"/>
        </w:rPr>
        <w:t>${gen_postavhik}</w:t>
      </w:r>
    </w:p>
    <w:p>
      <w:pPr>
        <w:widowControl/>
        <w:suppressAutoHyphens/>
        <w:bidi w:val="0"/>
        <w:spacing w:before="0" w:after="0" w:line="240" w:lineRule="auto"/>
        <w:ind w:left="0" w:right="0" w:firstLine="567"/>
        <w:jc w:val="left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widowControl/>
        <w:suppressAutoHyphens/>
        <w:bidi w:val="0"/>
        <w:spacing w:before="0" w:after="0" w:line="240" w:lineRule="auto"/>
        <w:ind w:left="0" w:right="0" w:firstLine="567"/>
        <w:jc w:val="left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ar-SA"/>
        </w:rPr>
        <w:t>Приложения:</w:t>
      </w:r>
    </w:p>
    <w:p>
      <w:pPr>
        <w:suppressAutoHyphens/>
        <w:spacing w:before="0" w:after="0" w:line="240" w:lineRule="auto"/>
        <w:ind w:right="4818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position w:val="0"/>
          <w:sz w:val="24"/>
          <w:szCs w:val="24"/>
          <w:vertAlign w:val="baseline"/>
          <w:lang w:val="en-US"/>
        </w:rPr>
        <w:t>${prilogenie}</w:t>
      </w:r>
    </w:p>
    <w:p>
      <w:pPr>
        <w:suppressAutoHyphens/>
        <w:spacing w:before="0" w:after="0" w:line="240" w:lineRule="auto"/>
        <w:ind w:right="4818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widowControl/>
        <w:suppressAutoHyphens/>
        <w:spacing w:before="0" w:after="0" w:line="240" w:lineRule="auto"/>
        <w:jc w:val="left"/>
        <w:rPr>
          <w:b/>
          <w:bCs/>
          <w:kern w:val="0"/>
        </w:rPr>
      </w:pP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4"/>
          <w:szCs w:val="24"/>
          <w:vertAlign w:val="baseline"/>
          <w:lang w:val="ru-RU" w:eastAsia="ar-SA"/>
        </w:rPr>
        <w:t>Заявитель:</w:t>
      </w: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ru-RU" w:eastAsia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${name} ${dolgnost}</w:t>
      </w:r>
    </w:p>
    <w:p>
      <w:pPr>
        <w:widowControl/>
        <w:suppressAutoHyphens/>
        <w:spacing w:before="0" w:after="0" w:line="240" w:lineRule="auto"/>
        <w:jc w:val="left"/>
        <w:rPr>
          <w:b/>
          <w:bCs/>
          <w:kern w:val="0"/>
        </w:rPr>
      </w:pP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${organization}</w:t>
      </w:r>
    </w:p>
    <w:p>
      <w:pPr>
        <w:widowControl/>
        <w:suppressAutoHyphens/>
        <w:spacing w:before="0" w:after="0" w:line="240" w:lineRule="auto"/>
        <w:jc w:val="left"/>
        <w:rPr>
          <w:b/>
          <w:bCs/>
          <w:kern w:val="0"/>
        </w:rPr>
      </w:pP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4"/>
          <w:szCs w:val="24"/>
          <w:vertAlign w:val="baseline"/>
          <w:lang w:val="ru-RU" w:eastAsia="ar-SA"/>
        </w:rPr>
        <w:t>Контактный телефон:</w:t>
      </w: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ru-RU" w:eastAsia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${phone}</w:t>
      </w:r>
    </w:p>
    <w:p>
      <w:pPr>
        <w:widowControl/>
        <w:suppressAutoHyphens/>
        <w:spacing w:before="0" w:after="0" w:line="240" w:lineRule="auto"/>
        <w:jc w:val="left"/>
        <w:rPr>
          <w:rFonts w:ascii="Times New Roman" w:hAnsi="Times New Roman" w:eastAsia="Times New Roman" w:cs="Times New Roman"/>
          <w:position w:val="0"/>
          <w:sz w:val="24"/>
          <w:szCs w:val="24"/>
          <w:vertAlign w:val="baseline"/>
          <w:lang w:val="en-US" w:eastAsia="ar-SA"/>
        </w:rPr>
      </w:pPr>
    </w:p>
    <w:p>
      <w:pPr>
        <w:widowControl/>
        <w:suppressAutoHyphens/>
        <w:spacing w:before="0" w:after="0" w:line="240" w:lineRule="auto"/>
        <w:jc w:val="left"/>
        <w:rPr>
          <w:rFonts w:ascii="Times New Roman" w:hAnsi="Times New Roman" w:eastAsia="Times New Roman" w:cs="Times New Roman"/>
          <w:position w:val="0"/>
          <w:sz w:val="24"/>
          <w:szCs w:val="24"/>
          <w:vertAlign w:val="baseline"/>
          <w:lang w:val="en-US" w:eastAsia="ar-SA"/>
        </w:rPr>
      </w:pPr>
    </w:p>
    <w:p>
      <w:pPr>
        <w:widowControl/>
        <w:suppressAutoHyphens/>
        <w:spacing w:before="0" w:after="0" w:line="240" w:lineRule="auto"/>
        <w:jc w:val="left"/>
      </w:pP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4"/>
          <w:szCs w:val="24"/>
          <w:vertAlign w:val="baseline"/>
          <w:lang w:val="en-US" w:eastAsia="ar-SA"/>
        </w:rPr>
        <w:t>“${d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position w:val="0"/>
          <w:sz w:val="24"/>
          <w:szCs w:val="24"/>
          <w:vertAlign w:val="baseline"/>
          <w:lang w:val="en-US" w:eastAsia="ar-SA"/>
        </w:rPr>
        <w:t>e</w:t>
      </w:r>
      <w:bookmarkStart w:id="0" w:name="_GoBack"/>
      <w:bookmarkEnd w:id="0"/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4"/>
          <w:szCs w:val="24"/>
          <w:vertAlign w:val="baseline"/>
          <w:lang w:val="en-US" w:eastAsia="ar-SA"/>
        </w:rPr>
        <w:t xml:space="preserve">y}” ${month} ${year}       _________________________________ </w:t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>М.П.</w:t>
      </w:r>
    </w:p>
    <w:p>
      <w:pPr>
        <w:widowControl/>
        <w:suppressAutoHyphens/>
        <w:spacing w:before="0" w:after="0" w:line="240" w:lineRule="auto"/>
        <w:jc w:val="left"/>
      </w:pP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ab/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ab/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ab/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ab/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ab/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 xml:space="preserve">        (</w:t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ru-RU" w:eastAsia="ar-SA"/>
        </w:rPr>
        <w:t>подпись</w:t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>)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CC"/>
    <w:family w:val="roman"/>
    <w:pitch w:val="default"/>
    <w:sig w:usb0="A00002AF" w:usb1="500078FB" w:usb2="00000000" w:usb3="00000000" w:csb0="6000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6FEF9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Arial"/>
    </w:rPr>
  </w:style>
  <w:style w:type="paragraph" w:customStyle="1" w:styleId="7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8">
    <w:name w:val="Указатель1"/>
    <w:basedOn w:val="1"/>
    <w:qFormat/>
    <w:uiPriority w:val="0"/>
    <w:pPr>
      <w:suppressLineNumbers/>
    </w:pPr>
    <w:rPr>
      <w:rFonts w:cs="Arial"/>
    </w:rPr>
  </w:style>
  <w:style w:type="paragraph" w:customStyle="1" w:styleId="9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0">
    <w:name w:val="Заголовок таблицы"/>
    <w:basedOn w:val="9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374</Words>
  <Characters>2948</Characters>
  <Paragraphs>47</Paragraphs>
  <TotalTime>50</TotalTime>
  <ScaleCrop>false</ScaleCrop>
  <LinksUpToDate>false</LinksUpToDate>
  <CharactersWithSpaces>3309</CharactersWithSpaces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2024-04-03T14:48:00Z</dcterms:created>
  <dc:creator>asmi</dc:creator>
  <cp:lastModifiedBy>asmi</cp:lastModifiedBy>
  <dcterms:modified xsi:type="dcterms:W3CDTF">2024-04-09T09:17:25Z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