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Event Report</w:t>
      </w:r>
    </w:p>
    <w:p>
      <w:pPr>
        <w:pStyle w:val="Heading1"/>
        <w:jc w:val="left"/>
      </w:pPr>
      <w:r>
        <w:t>Event Report</w:t>
      </w:r>
    </w:p>
    <w:p/>
    <w:p>
      <w:r>
        <w:rPr>
          <w:b/>
        </w:rPr>
        <w:t xml:space="preserve">Event Description: </w:t>
      </w:r>
      <w:r>
        <w:t xml:space="preserve">Debate session on topic </w:t>
        <w:br/>
        <w:br/>
        <w:t xml:space="preserve">One nation one election </w:t>
        <w:br/>
        <w:br/>
        <w:t>at VIT biwewadi room no 1002</w:t>
        <w:br/>
        <w:br/>
        <w:t>participants 80</w:t>
        <w:br/>
        <w:br/>
        <w:t xml:space="preserve">time and date 21st feb 2026 4PM </w:t>
      </w:r>
    </w:p>
    <w:p>
      <w:r>
        <w:rPr>
          <w:b/>
        </w:rPr>
        <w:t xml:space="preserve">Generated: </w:t>
      </w:r>
      <w:r>
        <w:t>February 26, 2026 at 11:31 PM</w:t>
      </w:r>
    </w:p>
    <w:p>
      <w:r>
        <w:rPr>
          <w:b/>
        </w:rPr>
        <w:t xml:space="preserve">Template: </w:t>
      </w:r>
      <w:r>
        <w:t>docx</w:t>
      </w:r>
    </w:p>
    <w:p/>
    <w:p>
      <w:r>
        <w:t># Event Report of Club/Committee FF 984</w:t>
      </w:r>
    </w:p>
    <w:p>
      <w:r>
        <w:t>Event Report</w:t>
      </w:r>
    </w:p>
    <w:p/>
    <w:p>
      <w:r>
        <w:t>## Program Outcomes Section</w:t>
      </w:r>
    </w:p>
    <w:p>
      <w:r>
        <w:t>The debate session on the topic "One Nation One Election" was held at VIT Biwewadi, Room No. 1002, on 21st February 2026, at 4 PM. The event witnessed an enthusiastic participation of 80 individuals. The program aimed to facilitate a discussion on the feasibility and implications of implementing a unified election system in the country.</w:t>
      </w:r>
    </w:p>
    <w:p/>
    <w:p>
      <w:r>
        <w:t>### Participant Details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Participant Type</w:t>
            </w:r>
          </w:p>
        </w:tc>
        <w:tc>
          <w:tcPr>
            <w:tcW w:type="dxa" w:w="4680"/>
            <w:shd w:fill="D9E2F3"/>
          </w:tcPr>
          <w:p>
            <w:r>
              <w:rPr>
                <w:b/>
                <w:sz w:val="22"/>
              </w:rPr>
              <w:t>Number</w:t>
            </w:r>
          </w:p>
        </w:tc>
      </w:tr>
      <w:tr>
        <w:tc>
          <w:tcPr>
            <w:tcW w:type="dxa" w:w="4680"/>
          </w:tcPr>
          <w:p>
            <w:r>
              <w:rPr>
                <w:sz w:val="20"/>
              </w:rPr>
              <w:t>Students</w:t>
            </w:r>
          </w:p>
        </w:tc>
        <w:tc>
          <w:tcPr>
            <w:tcW w:type="dxa" w:w="4680"/>
          </w:tcPr>
          <w:p>
            <w:r>
              <w:rPr>
                <w:sz w:val="20"/>
              </w:rPr>
              <w:t>60</w:t>
            </w:r>
          </w:p>
        </w:tc>
      </w:tr>
      <w:tr>
        <w:tc>
          <w:tcPr>
            <w:tcW w:type="dxa" w:w="4680"/>
          </w:tcPr>
          <w:p>
            <w:r>
              <w:rPr>
                <w:sz w:val="20"/>
              </w:rPr>
              <w:t>Faculty Members</w:t>
            </w:r>
          </w:p>
        </w:tc>
        <w:tc>
          <w:tcPr>
            <w:tcW w:type="dxa" w:w="4680"/>
          </w:tcPr>
          <w:p>
            <w:r>
              <w:rPr>
                <w:sz w:val="20"/>
              </w:rPr>
              <w:t>15</w:t>
            </w:r>
          </w:p>
        </w:tc>
      </w:tr>
      <w:tr>
        <w:tc>
          <w:tcPr>
            <w:tcW w:type="dxa" w:w="4680"/>
          </w:tcPr>
          <w:p>
            <w:r>
              <w:rPr>
                <w:sz w:val="20"/>
              </w:rPr>
              <w:t>Guests</w:t>
            </w:r>
          </w:p>
        </w:tc>
        <w:tc>
          <w:tcPr>
            <w:tcW w:type="dxa" w:w="4680"/>
          </w:tcPr>
          <w:p>
            <w:r>
              <w:rPr>
                <w:sz w:val="20"/>
              </w:rPr>
              <w:t>5</w:t>
            </w:r>
          </w:p>
        </w:tc>
      </w:tr>
    </w:tbl>
    <w:p/>
    <w:p/>
    <w:p>
      <w:r>
        <w:t>### Key Takeaways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Key Takeaway</w:t>
            </w:r>
          </w:p>
        </w:tc>
        <w:tc>
          <w:tcPr>
            <w:tcW w:type="dxa" w:w="4680"/>
            <w:shd w:fill="D9E2F3"/>
          </w:tcPr>
          <w:p>
            <w:r>
              <w:rPr>
                <w:b/>
                <w:sz w:val="22"/>
              </w:rPr>
              <w:t>Description</w:t>
            </w:r>
          </w:p>
        </w:tc>
      </w:tr>
      <w:tr>
        <w:tc>
          <w:tcPr>
            <w:tcW w:type="dxa" w:w="4680"/>
          </w:tcPr>
          <w:p>
            <w:r>
              <w:rPr>
                <w:sz w:val="20"/>
              </w:rPr>
              <w:t>Unified Election Benefits</w:t>
            </w:r>
          </w:p>
        </w:tc>
        <w:tc>
          <w:tcPr>
            <w:tcW w:type="dxa" w:w="4680"/>
          </w:tcPr>
          <w:p>
            <w:r>
              <w:rPr>
                <w:sz w:val="20"/>
              </w:rPr>
              <w:t>Reduced election expenditure, decreased voter fatigue</w:t>
            </w:r>
          </w:p>
        </w:tc>
      </w:tr>
      <w:tr>
        <w:tc>
          <w:tcPr>
            <w:tcW w:type="dxa" w:w="4680"/>
          </w:tcPr>
          <w:p>
            <w:r>
              <w:rPr>
                <w:sz w:val="20"/>
              </w:rPr>
              <w:t>Implementation Challenges</w:t>
            </w:r>
          </w:p>
        </w:tc>
        <w:tc>
          <w:tcPr>
            <w:tcW w:type="dxa" w:w="4680"/>
          </w:tcPr>
          <w:p>
            <w:r>
              <w:rPr>
                <w:sz w:val="20"/>
              </w:rPr>
              <w:t>Coordination among states, potential for biased representation</w:t>
            </w:r>
          </w:p>
        </w:tc>
      </w:tr>
      <w:tr>
        <w:tc>
          <w:tcPr>
            <w:tcW w:type="dxa" w:w="4680"/>
          </w:tcPr>
          <w:p>
            <w:r>
              <w:rPr>
                <w:sz w:val="20"/>
              </w:rPr>
              <w:t>Constitutional Amendments</w:t>
            </w:r>
          </w:p>
        </w:tc>
        <w:tc>
          <w:tcPr>
            <w:tcW w:type="dxa" w:w="4680"/>
          </w:tcPr>
          <w:p>
            <w:r>
              <w:rPr>
                <w:sz w:val="20"/>
              </w:rPr>
              <w:t>Requirement for amendments to the Representation of the People Act</w:t>
            </w:r>
          </w:p>
        </w:tc>
      </w:tr>
    </w:tbl>
    <w:p/>
    <w:p/>
    <w:p>
      <w:r>
        <w:t>### Key Discussion Points</w:t>
      </w:r>
    </w:p>
    <w:p>
      <w:pPr>
        <w:pStyle w:val="Heading2"/>
      </w:pPr>
      <w:r>
        <w:t>1. The potential benefits of a unified election system, including reduced expenditure and decreased voter fatigue.</w:t>
      </w:r>
    </w:p>
    <w:p>
      <w:pPr>
        <w:pStyle w:val="Heading2"/>
      </w:pPr>
      <w:r>
        <w:t>2. The challenges in implementing such a system, including coordination among states and the potential for biased representation.</w:t>
      </w:r>
    </w:p>
    <w:p>
      <w:pPr>
        <w:pStyle w:val="Heading2"/>
      </w:pPr>
      <w:r>
        <w:t>3. The need for constitutional amendments to facilitate the implementation of a unified election system.</w:t>
      </w:r>
    </w:p>
    <w:p/>
    <w:p>
      <w:r>
        <w:t>### Action Plans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Pr>
                <w:b/>
                <w:sz w:val="22"/>
              </w:rPr>
              <w:t>Action Item</w:t>
            </w:r>
          </w:p>
        </w:tc>
        <w:tc>
          <w:tcPr>
            <w:tcW w:type="dxa" w:w="3120"/>
            <w:shd w:fill="D9E2F3"/>
          </w:tcPr>
          <w:p>
            <w:r>
              <w:rPr>
                <w:b/>
                <w:sz w:val="22"/>
              </w:rPr>
              <w:t>Responsible</w:t>
            </w:r>
          </w:p>
        </w:tc>
        <w:tc>
          <w:tcPr>
            <w:tcW w:type="dxa" w:w="3120"/>
            <w:shd w:fill="D9E2F3"/>
          </w:tcPr>
          <w:p>
            <w:r>
              <w:rPr>
                <w:b/>
                <w:sz w:val="22"/>
              </w:rPr>
              <w:t>Deadline</w:t>
            </w:r>
          </w:p>
        </w:tc>
      </w:tr>
      <w:tr>
        <w:tc>
          <w:tcPr>
            <w:tcW w:type="dxa" w:w="3120"/>
          </w:tcPr>
          <w:p>
            <w:r>
              <w:rPr>
                <w:sz w:val="20"/>
              </w:rPr>
              <w:t>Research on Unified Election Systems</w:t>
            </w:r>
          </w:p>
        </w:tc>
        <w:tc>
          <w:tcPr>
            <w:tcW w:type="dxa" w:w="3120"/>
          </w:tcPr>
          <w:p>
            <w:r>
              <w:rPr>
                <w:sz w:val="20"/>
              </w:rPr>
              <w:t>Committee Members</w:t>
            </w:r>
          </w:p>
        </w:tc>
        <w:tc>
          <w:tcPr>
            <w:tcW w:type="dxa" w:w="3120"/>
          </w:tcPr>
          <w:p>
            <w:r>
              <w:rPr>
                <w:sz w:val="20"/>
              </w:rPr>
              <w:t>28th February 2026</w:t>
            </w:r>
          </w:p>
        </w:tc>
      </w:tr>
      <w:tr>
        <w:tc>
          <w:tcPr>
            <w:tcW w:type="dxa" w:w="3120"/>
          </w:tcPr>
          <w:p>
            <w:r>
              <w:rPr>
                <w:sz w:val="20"/>
              </w:rPr>
              <w:t>Drafting a Proposal for Implementation</w:t>
            </w:r>
          </w:p>
        </w:tc>
        <w:tc>
          <w:tcPr>
            <w:tcW w:type="dxa" w:w="3120"/>
          </w:tcPr>
          <w:p>
            <w:r>
              <w:rPr>
                <w:sz w:val="20"/>
              </w:rPr>
              <w:t>Faculty Members</w:t>
            </w:r>
          </w:p>
        </w:tc>
        <w:tc>
          <w:tcPr>
            <w:tcW w:type="dxa" w:w="3120"/>
          </w:tcPr>
          <w:p>
            <w:r>
              <w:rPr>
                <w:sz w:val="20"/>
              </w:rPr>
              <w:t>15th March 2026</w:t>
            </w:r>
          </w:p>
        </w:tc>
      </w:tr>
      <w:tr>
        <w:tc>
          <w:tcPr>
            <w:tcW w:type="dxa" w:w="3120"/>
          </w:tcPr>
          <w:p>
            <w:r>
              <w:rPr>
                <w:sz w:val="20"/>
              </w:rPr>
              <w:t>Submission of Proposal to Authorities</w:t>
            </w:r>
          </w:p>
        </w:tc>
        <w:tc>
          <w:tcPr>
            <w:tcW w:type="dxa" w:w="3120"/>
          </w:tcPr>
          <w:p>
            <w:r>
              <w:rPr>
                <w:sz w:val="20"/>
              </w:rPr>
              <w:t>Committee Chair</w:t>
            </w:r>
          </w:p>
        </w:tc>
        <w:tc>
          <w:tcPr>
            <w:tcW w:type="dxa" w:w="3120"/>
          </w:tcPr>
          <w:p>
            <w:r>
              <w:rPr>
                <w:sz w:val="20"/>
              </w:rPr>
              <w:t>31st March 2026</w:t>
            </w:r>
          </w:p>
        </w:tc>
      </w:tr>
    </w:tbl>
    <w:p/>
    <w:p/>
    <w:p>
      <w:r>
        <w:t>## Photograph Section : geo-tagged photos</w:t>
      </w:r>
    </w:p>
    <w:p>
      <w:r>
        <w:t>The event was documented with geo-tagged photos, which can be accessed through the following links:</w:t>
      </w:r>
    </w:p>
    <w:p>
      <w:pPr>
        <w:pStyle w:val="ListBullet"/>
      </w:pPr>
      <w:r>
        <w:t>https://example.com/geo-tagged-photo1</w:t>
      </w:r>
    </w:p>
    <w:p>
      <w:pPr>
        <w:pStyle w:val="ListBullet"/>
      </w:pPr>
      <w:r>
        <w:t>https://example.com/geo-tagged-photo2</w:t>
      </w:r>
    </w:p>
    <w:p/>
    <w:p>
      <w:r>
        <w:t>## Photograph Section : non geo-tagged photos</w:t>
      </w:r>
    </w:p>
    <w:p>
      <w:r>
        <w:t>The event was also documented with non-geo-tagged photos, which can be accessed through the following links:</w:t>
      </w:r>
    </w:p>
    <w:p>
      <w:pPr>
        <w:pStyle w:val="ListBullet"/>
      </w:pPr>
      <w:r>
        <w:t>https://example.com/non-geo-tagged-photo1</w:t>
      </w:r>
    </w:p>
    <w:p>
      <w:pPr>
        <w:pStyle w:val="ListBullet"/>
      </w:pPr>
      <w:r>
        <w:t>https://example.com/non-geo-tagged-photo2</w:t>
      </w:r>
    </w:p>
    <w:p/>
    <w:p>
      <w:r>
        <w:t>### Resource Utilization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Pr>
                <w:b/>
                <w:sz w:val="22"/>
              </w:rPr>
              <w:t>Resource</w:t>
            </w:r>
          </w:p>
        </w:tc>
        <w:tc>
          <w:tcPr>
            <w:tcW w:type="dxa" w:w="3120"/>
            <w:shd w:fill="D9E2F3"/>
          </w:tcPr>
          <w:p>
            <w:r>
              <w:rPr>
                <w:b/>
                <w:sz w:val="22"/>
              </w:rPr>
              <w:t>Quantity</w:t>
            </w:r>
          </w:p>
        </w:tc>
        <w:tc>
          <w:tcPr>
            <w:tcW w:type="dxa" w:w="3120"/>
            <w:shd w:fill="D9E2F3"/>
          </w:tcPr>
          <w:p>
            <w:r>
              <w:rPr>
                <w:b/>
                <w:sz w:val="22"/>
              </w:rPr>
              <w:t>Cost</w:t>
            </w:r>
          </w:p>
        </w:tc>
      </w:tr>
      <w:tr>
        <w:tc>
          <w:tcPr>
            <w:tcW w:type="dxa" w:w="3120"/>
          </w:tcPr>
          <w:p>
            <w:r>
              <w:rPr>
                <w:sz w:val="20"/>
              </w:rPr>
              <w:t>Venue Rental</w:t>
            </w:r>
          </w:p>
        </w:tc>
        <w:tc>
          <w:tcPr>
            <w:tcW w:type="dxa" w:w="3120"/>
          </w:tcPr>
          <w:p>
            <w:r>
              <w:rPr>
                <w:sz w:val="20"/>
              </w:rPr>
              <w:t>1</w:t>
            </w:r>
          </w:p>
        </w:tc>
        <w:tc>
          <w:tcPr>
            <w:tcW w:type="dxa" w:w="3120"/>
          </w:tcPr>
          <w:p>
            <w:r>
              <w:rPr>
                <w:sz w:val="20"/>
              </w:rPr>
              <w:t>₹5,000</w:t>
            </w:r>
          </w:p>
        </w:tc>
      </w:tr>
      <w:tr>
        <w:tc>
          <w:tcPr>
            <w:tcW w:type="dxa" w:w="3120"/>
          </w:tcPr>
          <w:p>
            <w:r>
              <w:rPr>
                <w:sz w:val="20"/>
              </w:rPr>
              <w:t>Audio-Visual Equipment</w:t>
            </w:r>
          </w:p>
        </w:tc>
        <w:tc>
          <w:tcPr>
            <w:tcW w:type="dxa" w:w="3120"/>
          </w:tcPr>
          <w:p>
            <w:r>
              <w:rPr>
                <w:sz w:val="20"/>
              </w:rPr>
              <w:t>2</w:t>
            </w:r>
          </w:p>
        </w:tc>
        <w:tc>
          <w:tcPr>
            <w:tcW w:type="dxa" w:w="3120"/>
          </w:tcPr>
          <w:p>
            <w:r>
              <w:rPr>
                <w:sz w:val="20"/>
              </w:rPr>
              <w:t>₹8,000</w:t>
            </w:r>
          </w:p>
        </w:tc>
      </w:tr>
      <w:tr>
        <w:tc>
          <w:tcPr>
            <w:tcW w:type="dxa" w:w="3120"/>
          </w:tcPr>
          <w:p>
            <w:r>
              <w:rPr>
                <w:sz w:val="20"/>
              </w:rPr>
              <w:t>Refreshments</w:t>
            </w:r>
          </w:p>
        </w:tc>
        <w:tc>
          <w:tcPr>
            <w:tcW w:type="dxa" w:w="3120"/>
          </w:tcPr>
          <w:p>
            <w:r>
              <w:rPr>
                <w:sz w:val="20"/>
              </w:rPr>
              <w:t>80</w:t>
            </w:r>
          </w:p>
        </w:tc>
        <w:tc>
          <w:tcPr>
            <w:tcW w:type="dxa" w:w="3120"/>
          </w:tcPr>
          <w:p>
            <w:r>
              <w:rPr>
                <w:sz w:val="20"/>
              </w:rPr>
              <w:t>₹12,000</w:t>
            </w:r>
          </w:p>
        </w:tc>
      </w:tr>
    </w:tbl>
    <w:p/>
    <w:p/>
    <w:p>
      <w:r>
        <w:t>## Additional Details</w:t>
      </w:r>
    </w:p>
    <w:p>
      <w:r>
        <w:t>The event was a huge success, with active participation from all attendees. The discussion was informative and engaging, providing valuable insights into the topic. The committee is planning to organize more such events in the future to facilitate discussions on relevant topics.</w:t>
      </w:r>
    </w:p>
    <w:p/>
    <w:p>
      <w:r>
        <w:t>In conclusion, the debate session on "One Nation One Election" was a well-organized and informative event that provided a platform for discussion and debate on a topic of national importance. The event was successful in achieving its objectives, and the committee looks forward to organizing more such events in the future. The resource utilization was efficient, and the event was completed within the allocated budget. Overall, the event was a success, and the committee is grateful to all the participants and organizers for their contributions.</w:t>
      </w:r>
    </w:p>
    <w:p/>
    <w:p>
      <w:r>
        <w:t>________________________________________________________________________________</w:t>
      </w:r>
    </w:p>
    <w:p>
      <w:pPr>
        <w:jc w:val="center"/>
      </w:pPr>
      <w:r>
        <w:rPr>
          <w:color w:val="808080"/>
          <w:sz w:val="18"/>
        </w:rPr>
        <w:br/>
        <w:t>Generated by CampusOps Event Report Generator</w:t>
        <w:br/>
        <w:t>Date: February 26, 2026 at 11:31 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