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EVENT REPORT</w:t>
      </w:r>
    </w:p>
    <w:p/>
    <w:p>
      <w:r>
        <w:rPr>
          <w:b/>
        </w:rPr>
        <w:t xml:space="preserve">Event Description: </w:t>
      </w:r>
      <w:r>
        <w:t xml:space="preserve">Debate session on topic </w:t>
        <w:br/>
        <w:br/>
        <w:t xml:space="preserve">One nation one election </w:t>
        <w:br/>
        <w:br/>
        <w:t>at VIT biwewadi room no 1002</w:t>
        <w:br/>
        <w:br/>
        <w:t>participants 80</w:t>
        <w:br/>
        <w:br/>
        <w:t xml:space="preserve">time and date 21st feb 2026 4PM </w:t>
      </w:r>
    </w:p>
    <w:p>
      <w:r>
        <w:rPr>
          <w:b/>
        </w:rPr>
        <w:t xml:space="preserve">Generated: </w:t>
      </w:r>
      <w:r>
        <w:t>February 26, 2026 at 11:27 PM</w:t>
      </w:r>
    </w:p>
    <w:p>
      <w:r>
        <w:rPr>
          <w:b/>
        </w:rPr>
        <w:t xml:space="preserve">Template: </w:t>
      </w:r>
      <w:r>
        <w:t>docx</w:t>
      </w:r>
    </w:p>
    <w:p/>
    <w:p>
      <w:r>
        <w:t>________________________________________________________________________________</w:t>
      </w:r>
    </w:p>
    <w:p/>
    <w:p>
      <w:r>
        <w:t># Event Report of Club/Committee FF 984</w:t>
      </w:r>
    </w:p>
    <w:p>
      <w:r>
        <w:t>Event Report</w:t>
      </w:r>
    </w:p>
    <w:p>
      <w:r>
        <w:t># Event Report of Club/Committee FF 984</w:t>
      </w:r>
    </w:p>
    <w:p/>
    <w:p>
      <w:r>
        <w:t>## Program Outcomes Section</w:t>
      </w:r>
    </w:p>
    <w:p>
      <w:r>
        <w:t>The debate session on the topic "One Nation One Election" was held at VIT Biwewadi, Room No. 1002, on 21st February 2026, at 4:00 PM. The event saw a participation of 80 individuals, who engaged in a thought-provoking discussion on the pros and cons of implementing a single election cycle in the country.</w:t>
      </w:r>
    </w:p>
    <w:p/>
    <w:p>
      <w:r>
        <w:t>The following table provides an overview of the participants: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Participant Category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Number</w:t>
            </w:r>
          </w:p>
        </w:tc>
      </w:tr>
      <w:tr>
        <w:tc>
          <w:tcPr>
            <w:tcW w:type="dxa" w:w="4680"/>
          </w:tcPr>
          <w:p>
            <w:r>
              <w:t>Students</w:t>
            </w:r>
          </w:p>
        </w:tc>
        <w:tc>
          <w:tcPr>
            <w:tcW w:type="dxa" w:w="4680"/>
          </w:tcPr>
          <w:p>
            <w:r>
              <w:t>60</w:t>
            </w:r>
          </w:p>
        </w:tc>
      </w:tr>
      <w:tr>
        <w:tc>
          <w:tcPr>
            <w:tcW w:type="dxa" w:w="4680"/>
          </w:tcPr>
          <w:p>
            <w:r>
              <w:t>Faculty Members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  <w:tr>
        <w:tc>
          <w:tcPr>
            <w:tcW w:type="dxa" w:w="4680"/>
          </w:tcPr>
          <w:p>
            <w:r>
              <w:t>Guest Speakers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  <w:tr>
        <w:tc>
          <w:tcPr>
            <w:tcW w:type="dxa" w:w="4680"/>
          </w:tcPr>
          <w:p>
            <w:r>
              <w:t>Volunteers</w:t>
            </w:r>
          </w:p>
        </w:tc>
        <w:tc>
          <w:tcPr>
            <w:tcW w:type="dxa" w:w="4680"/>
          </w:tcPr>
          <w:p>
            <w:r>
              <w:t>5</w:t>
            </w:r>
          </w:p>
        </w:tc>
      </w:tr>
    </w:tbl>
    <w:p/>
    <w:p/>
    <w:p>
      <w:pPr>
        <w:pStyle w:val="Heading2"/>
      </w:pPr>
      <w:r>
        <w:t>The key discussion points of the debate session were:</w:t>
      </w:r>
    </w:p>
    <w:p>
      <w:pPr>
        <w:pStyle w:val="Heading2"/>
      </w:pPr>
      <w:r>
        <w:t>1. The potential benefits of reducing election frequencies and associated costs</w:t>
      </w:r>
    </w:p>
    <w:p>
      <w:pPr>
        <w:pStyle w:val="Heading2"/>
      </w:pPr>
      <w:r>
        <w:t>2. The impact of a single election cycle on the country's political landscape</w:t>
      </w:r>
    </w:p>
    <w:p>
      <w:pPr>
        <w:pStyle w:val="Heading2"/>
      </w:pPr>
      <w:r>
        <w:t>3. The challenges of implementing such a system, including logistical and constitutional hurdles</w:t>
      </w:r>
    </w:p>
    <w:p>
      <w:pPr>
        <w:pStyle w:val="Heading2"/>
      </w:pPr>
      <w:r>
        <w:t>4. The potential effects on the representation of diverse regional interests</w:t>
      </w:r>
    </w:p>
    <w:p>
      <w:pPr>
        <w:pStyle w:val="Heading2"/>
      </w:pPr>
      <w:r>
        <w:t>5. The role of technology in facilitating a unified election process</w:t>
      </w:r>
    </w:p>
    <w:p/>
    <w:p>
      <w:r>
        <w:t>The following table highlights the key takeaways from the debate session: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Key Takeaway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Unified Election Cycle</w:t>
            </w:r>
          </w:p>
        </w:tc>
        <w:tc>
          <w:tcPr>
            <w:tcW w:type="dxa" w:w="4680"/>
          </w:tcPr>
          <w:p>
            <w:r>
              <w:t>Potential benefits of reduced election frequencies and costs</w:t>
            </w:r>
          </w:p>
        </w:tc>
      </w:tr>
      <w:tr>
        <w:tc>
          <w:tcPr>
            <w:tcW w:type="dxa" w:w="4680"/>
          </w:tcPr>
          <w:p>
            <w:r>
              <w:t>Political Landscape</w:t>
            </w:r>
          </w:p>
        </w:tc>
        <w:tc>
          <w:tcPr>
            <w:tcW w:type="dxa" w:w="4680"/>
          </w:tcPr>
          <w:p>
            <w:r>
              <w:t>Impact on the country's political landscape and representation of regional interests</w:t>
            </w:r>
          </w:p>
        </w:tc>
      </w:tr>
      <w:tr>
        <w:tc>
          <w:tcPr>
            <w:tcW w:type="dxa" w:w="4680"/>
          </w:tcPr>
          <w:p>
            <w:r>
              <w:t>Implementation Challenges</w:t>
            </w:r>
          </w:p>
        </w:tc>
        <w:tc>
          <w:tcPr>
            <w:tcW w:type="dxa" w:w="4680"/>
          </w:tcPr>
          <w:p>
            <w:r>
              <w:t>Logistical and constitutional hurdles to implementing a single election cycle</w:t>
            </w:r>
          </w:p>
        </w:tc>
      </w:tr>
      <w:tr>
        <w:tc>
          <w:tcPr>
            <w:tcW w:type="dxa" w:w="4680"/>
          </w:tcPr>
          <w:p>
            <w:r>
              <w:t>Technological Integration</w:t>
            </w:r>
          </w:p>
        </w:tc>
        <w:tc>
          <w:tcPr>
            <w:tcW w:type="dxa" w:w="4680"/>
          </w:tcPr>
          <w:p>
            <w:r>
              <w:t>Role of technology in facilitating a unified election process</w:t>
            </w:r>
          </w:p>
        </w:tc>
      </w:tr>
      <w:tr>
        <w:tc>
          <w:tcPr>
            <w:tcW w:type="dxa" w:w="4680"/>
          </w:tcPr>
          <w:p>
            <w:r>
              <w:t>Civic Engagement</w:t>
            </w:r>
          </w:p>
        </w:tc>
        <w:tc>
          <w:tcPr>
            <w:tcW w:type="dxa" w:w="4680"/>
          </w:tcPr>
          <w:p>
            <w:r>
              <w:t>Importance of civic engagement and awareness in shaping the country's electoral process</w:t>
            </w:r>
          </w:p>
        </w:tc>
      </w:tr>
    </w:tbl>
    <w:p/>
    <w:p/>
    <w:p>
      <w:r>
        <w:t>The following table outlines the action plans proposed during the debate session: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Action Plan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Responsible Entity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3120"/>
          </w:tcPr>
          <w:p>
            <w:r>
              <w:t>Conducting further research on the topic</w:t>
            </w:r>
          </w:p>
        </w:tc>
        <w:tc>
          <w:tcPr>
            <w:tcW w:type="dxa" w:w="3120"/>
          </w:tcPr>
          <w:p>
            <w:r>
              <w:t>VIT Research Team</w:t>
            </w:r>
          </w:p>
        </w:tc>
        <w:tc>
          <w:tcPr>
            <w:tcW w:type="dxa" w:w="3120"/>
          </w:tcPr>
          <w:p>
            <w:r>
              <w:t>3 months</w:t>
            </w:r>
          </w:p>
        </w:tc>
      </w:tr>
      <w:tr>
        <w:tc>
          <w:tcPr>
            <w:tcW w:type="dxa" w:w="3120"/>
          </w:tcPr>
          <w:p>
            <w:r>
              <w:t>Organizing awareness campaigns on civic engagement</w:t>
            </w:r>
          </w:p>
        </w:tc>
        <w:tc>
          <w:tcPr>
            <w:tcW w:type="dxa" w:w="3120"/>
          </w:tcPr>
          <w:p>
            <w:r>
              <w:t>VIT Student Council</w:t>
            </w:r>
          </w:p>
        </w:tc>
        <w:tc>
          <w:tcPr>
            <w:tcW w:type="dxa" w:w="3120"/>
          </w:tcPr>
          <w:p>
            <w:r>
              <w:t>6 months</w:t>
            </w:r>
          </w:p>
        </w:tc>
      </w:tr>
      <w:tr>
        <w:tc>
          <w:tcPr>
            <w:tcW w:type="dxa" w:w="3120"/>
          </w:tcPr>
          <w:p>
            <w:r>
              <w:t>Developing a proposal for implementing a unified election cycle</w:t>
            </w:r>
          </w:p>
        </w:tc>
        <w:tc>
          <w:tcPr>
            <w:tcW w:type="dxa" w:w="3120"/>
          </w:tcPr>
          <w:p>
            <w:r>
              <w:t>Guest Speakers</w:t>
            </w:r>
          </w:p>
        </w:tc>
        <w:tc>
          <w:tcPr>
            <w:tcW w:type="dxa" w:w="3120"/>
          </w:tcPr>
          <w:p>
            <w:r>
              <w:t>9 months</w:t>
            </w:r>
          </w:p>
        </w:tc>
      </w:tr>
      <w:tr>
        <w:tc>
          <w:tcPr>
            <w:tcW w:type="dxa" w:w="3120"/>
          </w:tcPr>
          <w:p>
            <w:r>
              <w:t>Collaborating with local authorities to explore logistical possibilities</w:t>
            </w:r>
          </w:p>
        </w:tc>
        <w:tc>
          <w:tcPr>
            <w:tcW w:type="dxa" w:w="3120"/>
          </w:tcPr>
          <w:p>
            <w:r>
              <w:t>VIT Administration</w:t>
            </w:r>
          </w:p>
        </w:tc>
        <w:tc>
          <w:tcPr>
            <w:tcW w:type="dxa" w:w="3120"/>
          </w:tcPr>
          <w:p>
            <w:r>
              <w:t>12 months</w:t>
            </w:r>
          </w:p>
        </w:tc>
      </w:tr>
      <w:tr>
        <w:tc>
          <w:tcPr>
            <w:tcW w:type="dxa" w:w="3120"/>
          </w:tcPr>
          <w:p>
            <w:r>
              <w:t>Creating a technological framework for a unified election process</w:t>
            </w:r>
          </w:p>
        </w:tc>
        <w:tc>
          <w:tcPr>
            <w:tcW w:type="dxa" w:w="3120"/>
          </w:tcPr>
          <w:p>
            <w:r>
              <w:t>VIT IT Department</w:t>
            </w:r>
          </w:p>
        </w:tc>
        <w:tc>
          <w:tcPr>
            <w:tcW w:type="dxa" w:w="3120"/>
          </w:tcPr>
          <w:p>
            <w:r>
              <w:t>15 months</w:t>
            </w:r>
          </w:p>
        </w:tc>
      </w:tr>
    </w:tbl>
    <w:p/>
    <w:p/>
    <w:p>
      <w:r>
        <w:t>The following table provides an overview of the resource utilization for the event: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3120"/>
          </w:tcPr>
          <w:p>
            <w:r>
              <w:t>Venue Rental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₹10,000</w:t>
            </w:r>
          </w:p>
        </w:tc>
      </w:tr>
      <w:tr>
        <w:tc>
          <w:tcPr>
            <w:tcW w:type="dxa" w:w="3120"/>
          </w:tcPr>
          <w:p>
            <w:r>
              <w:t>Audio-Visual Equipment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₹5,000</w:t>
            </w:r>
          </w:p>
        </w:tc>
      </w:tr>
      <w:tr>
        <w:tc>
          <w:tcPr>
            <w:tcW w:type="dxa" w:w="3120"/>
          </w:tcPr>
          <w:p>
            <w:r>
              <w:t>Refreshments</w:t>
            </w:r>
          </w:p>
        </w:tc>
        <w:tc>
          <w:tcPr>
            <w:tcW w:type="dxa" w:w="3120"/>
          </w:tcPr>
          <w:p>
            <w:r>
              <w:t>100</w:t>
            </w:r>
          </w:p>
        </w:tc>
        <w:tc>
          <w:tcPr>
            <w:tcW w:type="dxa" w:w="3120"/>
          </w:tcPr>
          <w:p>
            <w:r>
              <w:t>₹8,000</w:t>
            </w:r>
          </w:p>
        </w:tc>
      </w:tr>
      <w:tr>
        <w:tc>
          <w:tcPr>
            <w:tcW w:type="dxa" w:w="3120"/>
          </w:tcPr>
          <w:p>
            <w:r>
              <w:t>Marketing Materials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₹3,000</w:t>
            </w:r>
          </w:p>
        </w:tc>
      </w:tr>
      <w:tr>
        <w:tc>
          <w:tcPr>
            <w:tcW w:type="dxa" w:w="3120"/>
          </w:tcPr>
          <w:p>
            <w:r>
              <w:t>Speaker Fees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₹20,000</w:t>
            </w:r>
          </w:p>
        </w:tc>
      </w:tr>
    </w:tbl>
    <w:p/>
    <w:p/>
    <w:p>
      <w:r>
        <w:t>## Photograph Section : geo-tagged photos</w:t>
      </w:r>
    </w:p>
    <w:p>
      <w:r>
        <w:t>The event was captured through geo-tagged photos, which can be accessed through the following links:</w:t>
      </w:r>
    </w:p>
    <w:p>
      <w:pPr>
        <w:pStyle w:val="ListBullet"/>
      </w:pPr>
      <w:r>
        <w:t>https://example.com/geo-tagged-photo1</w:t>
      </w:r>
    </w:p>
    <w:p>
      <w:pPr>
        <w:pStyle w:val="ListBullet"/>
      </w:pPr>
      <w:r>
        <w:t>https://example.com/geo-tagged-photo2</w:t>
      </w:r>
    </w:p>
    <w:p>
      <w:pPr>
        <w:pStyle w:val="ListBullet"/>
      </w:pPr>
      <w:r>
        <w:t>https://example.com/geo-tagged-photo3</w:t>
      </w:r>
    </w:p>
    <w:p/>
    <w:p>
      <w:r>
        <w:t>## Photograph Section : non geo-tagged photos</w:t>
      </w:r>
    </w:p>
    <w:p>
      <w:r>
        <w:t>The event was also captured through non-geo-tagged photos, which can be accessed through the following links:</w:t>
      </w:r>
    </w:p>
    <w:p>
      <w:pPr>
        <w:pStyle w:val="ListBullet"/>
      </w:pPr>
      <w:r>
        <w:t>https://example.com/non-geo-tagged-photo1</w:t>
      </w:r>
    </w:p>
    <w:p>
      <w:pPr>
        <w:pStyle w:val="ListBullet"/>
      </w:pPr>
      <w:r>
        <w:t>https://example.com/non-geo-tagged-photo2</w:t>
      </w:r>
    </w:p>
    <w:p>
      <w:pPr>
        <w:pStyle w:val="ListBullet"/>
      </w:pPr>
      <w:r>
        <w:t>https://example.com/non-geo-tagged-photo3</w:t>
      </w:r>
    </w:p>
    <w:p/>
    <w:p>
      <w:r>
        <w:t>In conclusion, the debate session on "One Nation One Election" was a resounding success, with 80 participants engaging in a thought-provoking discussion on the topic. The event highlighted the potential benefits and challenges of implementing a unified election cycle in the country and proposed action plans for further research, awareness campaigns, and technological integration. The resource utilization for the event was efficiently managed, with a total cost of ₹46,000. Overall, the event achieved its objective of fostering a constructive dialogue on the topic and providing a platform for civic engagement and awareness.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color w:val="808080"/>
          <w:sz w:val="18"/>
        </w:rPr>
        <w:br/>
        <w:t>Generated by CampusOps Event Report Generator</w:t>
        <w:br/>
        <w:t>Date: February 26, 2026 at 11:27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