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Event Report</w:t>
      </w:r>
    </w:p>
    <w:p>
      <w:pPr>
        <w:pStyle w:val="Heading1"/>
        <w:jc w:val="left"/>
      </w:pPr>
      <w:r>
        <w:t>Event Report</w:t>
      </w:r>
    </w:p>
    <w:p/>
    <w:p>
      <w:r>
        <w:rPr>
          <w:b/>
        </w:rPr>
        <w:t xml:space="preserve">Event Description: </w:t>
      </w:r>
      <w:r>
        <w:t xml:space="preserve">Debate session on topic </w:t>
        <w:br/>
        <w:br/>
        <w:t xml:space="preserve">One nation one election </w:t>
        <w:br/>
        <w:br/>
        <w:t>at VIT biwewadi room no 1002</w:t>
        <w:br/>
        <w:br/>
        <w:t>participants 80</w:t>
        <w:br/>
        <w:br/>
        <w:t xml:space="preserve">time and date 21st feb 2026 4PM </w:t>
      </w:r>
    </w:p>
    <w:p>
      <w:r>
        <w:rPr>
          <w:b/>
        </w:rPr>
        <w:t xml:space="preserve">Generated: </w:t>
      </w:r>
      <w:r>
        <w:t>February 26, 2026 at 11:38 PM</w:t>
      </w:r>
    </w:p>
    <w:p>
      <w:r>
        <w:rPr>
          <w:b/>
        </w:rPr>
        <w:t xml:space="preserve">Template: </w:t>
      </w:r>
      <w:r>
        <w:t>docx</w:t>
      </w:r>
    </w:p>
    <w:p/>
    <w:p>
      <w:r>
        <w:t># Event Report of Club/Committee FF 984</w:t>
      </w:r>
    </w:p>
    <w:p>
      <w:r>
        <w:t>Event Report</w:t>
      </w:r>
    </w:p>
    <w:p>
      <w:r>
        <w:t># Event Report of Club/Committee FF 984</w:t>
      </w:r>
    </w:p>
    <w:p/>
    <w:p>
      <w:r>
        <w:t>## Program Outcomes Section</w:t>
      </w:r>
    </w:p>
    <w:p>
      <w:r>
        <w:t>The debate session on the topic "One Nation One Election" was held at VIT Biwewadi, Room No. 1002, on 21st February 2026, at 4 PM. The event witnessed a participation of 80 individuals. The key discussion points were:</w:t>
      </w:r>
    </w:p>
    <w:p>
      <w:pPr>
        <w:pStyle w:val="Heading2"/>
      </w:pPr>
      <w:r>
        <w:t>1. The benefits of a unified election system in India</w:t>
      </w:r>
    </w:p>
    <w:p>
      <w:pPr>
        <w:pStyle w:val="Heading2"/>
      </w:pPr>
      <w:r>
        <w:t>2. The potential drawbacks of a single election system</w:t>
      </w:r>
    </w:p>
    <w:p>
      <w:pPr>
        <w:pStyle w:val="Heading2"/>
      </w:pPr>
      <w:r>
        <w:t>3. The impact on regional parties and their representation</w:t>
      </w:r>
    </w:p>
    <w:p>
      <w:pPr>
        <w:pStyle w:val="Heading2"/>
      </w:pPr>
      <w:r>
        <w:t>4. The feasibility of implementing such a system in the country</w:t>
      </w:r>
    </w:p>
    <w:p/>
    <w:p>
      <w:pPr>
        <w:pStyle w:val="Heading2"/>
      </w:pPr>
      <w:r>
        <w:t>The following table summarizes the participant details:</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Pr>
                <w:b/>
                <w:sz w:val="22"/>
              </w:rPr>
              <w:t>Participant Category</w:t>
            </w:r>
          </w:p>
        </w:tc>
        <w:tc>
          <w:tcPr>
            <w:tcW w:type="dxa" w:w="4680"/>
            <w:shd w:fill="D9E2F3"/>
          </w:tcPr>
          <w:p>
            <w:r>
              <w:rPr>
                <w:b/>
                <w:sz w:val="22"/>
              </w:rPr>
              <w:t>Number of Participants</w:t>
            </w:r>
          </w:p>
        </w:tc>
      </w:tr>
      <w:tr>
        <w:tc>
          <w:tcPr>
            <w:tcW w:type="dxa" w:w="4680"/>
          </w:tcPr>
          <w:p>
            <w:r>
              <w:rPr>
                <w:sz w:val="20"/>
              </w:rPr>
              <w:t>Students</w:t>
            </w:r>
          </w:p>
        </w:tc>
        <w:tc>
          <w:tcPr>
            <w:tcW w:type="dxa" w:w="4680"/>
          </w:tcPr>
          <w:p>
            <w:r>
              <w:rPr>
                <w:sz w:val="20"/>
              </w:rPr>
              <w:t>60</w:t>
            </w:r>
          </w:p>
        </w:tc>
      </w:tr>
      <w:tr>
        <w:tc>
          <w:tcPr>
            <w:tcW w:type="dxa" w:w="4680"/>
          </w:tcPr>
          <w:p>
            <w:r>
              <w:rPr>
                <w:sz w:val="20"/>
              </w:rPr>
              <w:t>Faculty Members</w:t>
            </w:r>
          </w:p>
        </w:tc>
        <w:tc>
          <w:tcPr>
            <w:tcW w:type="dxa" w:w="4680"/>
          </w:tcPr>
          <w:p>
            <w:r>
              <w:rPr>
                <w:sz w:val="20"/>
              </w:rPr>
              <w:t>10</w:t>
            </w:r>
          </w:p>
        </w:tc>
      </w:tr>
      <w:tr>
        <w:tc>
          <w:tcPr>
            <w:tcW w:type="dxa" w:w="4680"/>
          </w:tcPr>
          <w:p>
            <w:r>
              <w:rPr>
                <w:sz w:val="20"/>
              </w:rPr>
              <w:t>Guest Speakers</w:t>
            </w:r>
          </w:p>
        </w:tc>
        <w:tc>
          <w:tcPr>
            <w:tcW w:type="dxa" w:w="4680"/>
          </w:tcPr>
          <w:p>
            <w:r>
              <w:rPr>
                <w:sz w:val="20"/>
              </w:rPr>
              <w:t>5</w:t>
            </w:r>
          </w:p>
        </w:tc>
      </w:tr>
      <w:tr>
        <w:tc>
          <w:tcPr>
            <w:tcW w:type="dxa" w:w="4680"/>
          </w:tcPr>
          <w:p>
            <w:r>
              <w:rPr>
                <w:sz w:val="20"/>
              </w:rPr>
              <w:t>Other</w:t>
            </w:r>
          </w:p>
        </w:tc>
        <w:tc>
          <w:tcPr>
            <w:tcW w:type="dxa" w:w="4680"/>
          </w:tcPr>
          <w:p>
            <w:r>
              <w:rPr>
                <w:sz w:val="20"/>
              </w:rPr>
              <w:t>5</w:t>
            </w:r>
          </w:p>
        </w:tc>
      </w:tr>
    </w:tbl>
    <w:p/>
    <w:p/>
    <w:p>
      <w:pPr>
        <w:pStyle w:val="Heading2"/>
      </w:pPr>
      <w:r>
        <w:t>The key takeaways from the debate session are as follows:</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Pr>
                <w:b/>
                <w:sz w:val="22"/>
              </w:rPr>
              <w:t>Key Takeaway</w:t>
            </w:r>
          </w:p>
        </w:tc>
        <w:tc>
          <w:tcPr>
            <w:tcW w:type="dxa" w:w="4680"/>
            <w:shd w:fill="D9E2F3"/>
          </w:tcPr>
          <w:p>
            <w:r>
              <w:rPr>
                <w:b/>
                <w:sz w:val="22"/>
              </w:rPr>
              <w:t>Description</w:t>
            </w:r>
          </w:p>
        </w:tc>
      </w:tr>
      <w:tr>
        <w:tc>
          <w:tcPr>
            <w:tcW w:type="dxa" w:w="4680"/>
          </w:tcPr>
          <w:p>
            <w:r>
              <w:rPr>
                <w:sz w:val="20"/>
              </w:rPr>
              <w:t>Unified Election System</w:t>
            </w:r>
          </w:p>
        </w:tc>
        <w:tc>
          <w:tcPr>
            <w:tcW w:type="dxa" w:w="4680"/>
          </w:tcPr>
          <w:p>
            <w:r>
              <w:rPr>
                <w:sz w:val="20"/>
              </w:rPr>
              <w:t>A unified election system can reduce the frequency of elections and the associated costs</w:t>
            </w:r>
          </w:p>
        </w:tc>
      </w:tr>
      <w:tr>
        <w:tc>
          <w:tcPr>
            <w:tcW w:type="dxa" w:w="4680"/>
          </w:tcPr>
          <w:p>
            <w:r>
              <w:rPr>
                <w:sz w:val="20"/>
              </w:rPr>
              <w:t>Regional Party Representation</w:t>
            </w:r>
          </w:p>
        </w:tc>
        <w:tc>
          <w:tcPr>
            <w:tcW w:type="dxa" w:w="4680"/>
          </w:tcPr>
          <w:p>
            <w:r>
              <w:rPr>
                <w:sz w:val="20"/>
              </w:rPr>
              <w:t>The system may negatively impact regional parties and their representation</w:t>
            </w:r>
          </w:p>
        </w:tc>
      </w:tr>
      <w:tr>
        <w:tc>
          <w:tcPr>
            <w:tcW w:type="dxa" w:w="4680"/>
          </w:tcPr>
          <w:p>
            <w:r>
              <w:rPr>
                <w:sz w:val="20"/>
              </w:rPr>
              <w:t>Feasibility</w:t>
            </w:r>
          </w:p>
        </w:tc>
        <w:tc>
          <w:tcPr>
            <w:tcW w:type="dxa" w:w="4680"/>
          </w:tcPr>
          <w:p>
            <w:r>
              <w:rPr>
                <w:sz w:val="20"/>
              </w:rPr>
              <w:t>Implementing a unified election system in India is a complex task that requires careful consideration</w:t>
            </w:r>
          </w:p>
        </w:tc>
      </w:tr>
    </w:tbl>
    <w:p/>
    <w:p/>
    <w:p>
      <w:pPr>
        <w:pStyle w:val="Heading2"/>
      </w:pPr>
      <w:r>
        <w:t>The action plans proposed during the debate session are:</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Pr>
                <w:b/>
                <w:sz w:val="22"/>
              </w:rPr>
              <w:t>Action Plan</w:t>
            </w:r>
          </w:p>
        </w:tc>
        <w:tc>
          <w:tcPr>
            <w:tcW w:type="dxa" w:w="4680"/>
            <w:shd w:fill="D9E2F3"/>
          </w:tcPr>
          <w:p>
            <w:r>
              <w:rPr>
                <w:b/>
                <w:sz w:val="22"/>
              </w:rPr>
              <w:t>Description</w:t>
            </w:r>
          </w:p>
        </w:tc>
      </w:tr>
      <w:tr>
        <w:tc>
          <w:tcPr>
            <w:tcW w:type="dxa" w:w="4680"/>
          </w:tcPr>
          <w:p>
            <w:r>
              <w:rPr>
                <w:sz w:val="20"/>
              </w:rPr>
              <w:t>Awareness Campaigns</w:t>
            </w:r>
          </w:p>
        </w:tc>
        <w:tc>
          <w:tcPr>
            <w:tcW w:type="dxa" w:w="4680"/>
          </w:tcPr>
          <w:p>
            <w:r>
              <w:rPr>
                <w:sz w:val="20"/>
              </w:rPr>
              <w:t>Conduct awareness campaigns to educate the public about the benefits and drawbacks of a unified election system</w:t>
            </w:r>
          </w:p>
        </w:tc>
      </w:tr>
      <w:tr>
        <w:tc>
          <w:tcPr>
            <w:tcW w:type="dxa" w:w="4680"/>
          </w:tcPr>
          <w:p>
            <w:r>
              <w:rPr>
                <w:sz w:val="20"/>
              </w:rPr>
              <w:t>Policy Reforms</w:t>
            </w:r>
          </w:p>
        </w:tc>
        <w:tc>
          <w:tcPr>
            <w:tcW w:type="dxa" w:w="4680"/>
          </w:tcPr>
          <w:p>
            <w:r>
              <w:rPr>
                <w:sz w:val="20"/>
              </w:rPr>
              <w:t>Advocate for policy reforms that can facilitate the implementation of a unified election system</w:t>
            </w:r>
          </w:p>
        </w:tc>
      </w:tr>
      <w:tr>
        <w:tc>
          <w:tcPr>
            <w:tcW w:type="dxa" w:w="4680"/>
          </w:tcPr>
          <w:p>
            <w:r>
              <w:rPr>
                <w:sz w:val="20"/>
              </w:rPr>
              <w:t>Stakeholder Engagement</w:t>
            </w:r>
          </w:p>
        </w:tc>
        <w:tc>
          <w:tcPr>
            <w:tcW w:type="dxa" w:w="4680"/>
          </w:tcPr>
          <w:p>
            <w:r>
              <w:rPr>
                <w:sz w:val="20"/>
              </w:rPr>
              <w:t>Engage with stakeholders, including regional parties and election commissions, to discuss the feasibility of the system</w:t>
            </w:r>
          </w:p>
        </w:tc>
      </w:tr>
    </w:tbl>
    <w:p/>
    <w:p/>
    <w:p>
      <w:pPr>
        <w:pStyle w:val="Heading2"/>
      </w:pPr>
      <w:r>
        <w:t>The resource utilization for the event is as follows:</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Pr>
                <w:b/>
                <w:sz w:val="22"/>
              </w:rPr>
              <w:t>Resource</w:t>
            </w:r>
          </w:p>
        </w:tc>
        <w:tc>
          <w:tcPr>
            <w:tcW w:type="dxa" w:w="4680"/>
            <w:shd w:fill="D9E2F3"/>
          </w:tcPr>
          <w:p>
            <w:r>
              <w:rPr>
                <w:b/>
                <w:sz w:val="22"/>
              </w:rPr>
              <w:t>Quantity</w:t>
            </w:r>
          </w:p>
        </w:tc>
      </w:tr>
      <w:tr>
        <w:tc>
          <w:tcPr>
            <w:tcW w:type="dxa" w:w="4680"/>
          </w:tcPr>
          <w:p>
            <w:r>
              <w:rPr>
                <w:sz w:val="20"/>
              </w:rPr>
              <w:t>Venue</w:t>
            </w:r>
          </w:p>
        </w:tc>
        <w:tc>
          <w:tcPr>
            <w:tcW w:type="dxa" w:w="4680"/>
          </w:tcPr>
          <w:p>
            <w:r>
              <w:rPr>
                <w:sz w:val="20"/>
              </w:rPr>
              <w:t>1 Room</w:t>
            </w:r>
          </w:p>
        </w:tc>
      </w:tr>
      <w:tr>
        <w:tc>
          <w:tcPr>
            <w:tcW w:type="dxa" w:w="4680"/>
          </w:tcPr>
          <w:p>
            <w:r>
              <w:rPr>
                <w:sz w:val="20"/>
              </w:rPr>
              <w:t>Seating Arrangements</w:t>
            </w:r>
          </w:p>
        </w:tc>
        <w:tc>
          <w:tcPr>
            <w:tcW w:type="dxa" w:w="4680"/>
          </w:tcPr>
          <w:p>
            <w:r>
              <w:rPr>
                <w:sz w:val="20"/>
              </w:rPr>
              <w:t>100 Chairs</w:t>
            </w:r>
          </w:p>
        </w:tc>
      </w:tr>
      <w:tr>
        <w:tc>
          <w:tcPr>
            <w:tcW w:type="dxa" w:w="4680"/>
          </w:tcPr>
          <w:p>
            <w:r>
              <w:rPr>
                <w:sz w:val="20"/>
              </w:rPr>
              <w:t>Audio-Visual Equipment</w:t>
            </w:r>
          </w:p>
        </w:tc>
        <w:tc>
          <w:tcPr>
            <w:tcW w:type="dxa" w:w="4680"/>
          </w:tcPr>
          <w:p>
            <w:r>
              <w:rPr>
                <w:sz w:val="20"/>
              </w:rPr>
              <w:t>2 Projectors, 1 Sound System</w:t>
            </w:r>
          </w:p>
        </w:tc>
      </w:tr>
      <w:tr>
        <w:tc>
          <w:tcPr>
            <w:tcW w:type="dxa" w:w="4680"/>
          </w:tcPr>
          <w:p>
            <w:r>
              <w:rPr>
                <w:sz w:val="20"/>
              </w:rPr>
              <w:t>Refreshments</w:t>
            </w:r>
          </w:p>
        </w:tc>
        <w:tc>
          <w:tcPr>
            <w:tcW w:type="dxa" w:w="4680"/>
          </w:tcPr>
          <w:p>
            <w:r>
              <w:rPr>
                <w:sz w:val="20"/>
              </w:rPr>
              <w:t>100 Snack Packs, 200 Beverages</w:t>
            </w:r>
          </w:p>
        </w:tc>
      </w:tr>
    </w:tbl>
    <w:p/>
    <w:p/>
    <w:p>
      <w:r>
        <w:t>## Photograph Section : geo-tagged photos</w:t>
      </w:r>
    </w:p>
    <w:p>
      <w:r>
        <w:t>The geo-tagged photos of the event can be found on our social media platforms, with the location tagged as VIT Biwewadi, Room No. 1002.</w:t>
      </w:r>
    </w:p>
    <w:p/>
    <w:p>
      <w:r>
        <w:t>## Photograph Section : non geo-tagged photos</w:t>
      </w:r>
    </w:p>
    <w:p>
      <w:r>
        <w:t>The non-geo-tagged photos of the event are available on our website, and can be accessed through the following link: [www.example.com/event-photos](http://www.example.com/event-photos).</w:t>
      </w:r>
    </w:p>
    <w:p/>
    <w:p>
      <w:r>
        <w:t>In conclusion, the debate session on "One Nation One Election" was a successful event that witnessed a lively discussion on the topic. The event provided a platform for participants to share their views and opinions, and the key takeaways and action plans proposed during the session can be useful in shaping the future of election systems in India. The event was well-organized, and the resources were utilized efficiently to ensure a smooth and successful conduct of the debate session.</w:t>
      </w:r>
    </w:p>
    <w:p/>
    <w:p>
      <w:r>
        <w:t>________________________________________________________________________________</w:t>
      </w:r>
    </w:p>
    <w:p>
      <w:pPr>
        <w:jc w:val="center"/>
      </w:pPr>
      <w:r>
        <w:rPr>
          <w:color w:val="808080"/>
          <w:sz w:val="18"/>
        </w:rPr>
        <w:br/>
        <w:t>Generated by CampusOps Event Report Generator</w:t>
        <w:br/>
        <w:t>Date: February 26, 2026 at 11:38 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