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after="120"/>
        <w:jc w:val="center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en-US"/>
        </w:rPr>
        <w:t>Andrew Smithies AIA</w:t>
      </w:r>
      <w:r>
        <w:rPr>
          <w:rFonts w:ascii="Arial" w:hAnsi="Arial"/>
          <w:sz w:val="28"/>
          <w:szCs w:val="28"/>
          <w:rtl w:val="0"/>
          <w:lang w:val="en-US"/>
        </w:rPr>
        <w:t xml:space="preserve"> C.Act MMathStat</w:t>
      </w:r>
    </w:p>
    <w:p>
      <w:pPr>
        <w:pStyle w:val="Body A"/>
        <w:spacing w:before="40" w:after="120"/>
        <w:ind w:left="1797" w:hanging="1797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>Address -</w:t>
        <w:tab/>
        <w:t>1 Tyler Road, Staplehurst, Tonbridge, Kent TN12 0GY</w:t>
      </w:r>
    </w:p>
    <w:p>
      <w:pPr>
        <w:pStyle w:val="Body A"/>
        <w:spacing w:before="40" w:after="120"/>
        <w:ind w:left="1797" w:hanging="1797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>Telephone -</w:t>
        <w:tab/>
      </w:r>
      <w:r>
        <w:rPr>
          <w:rFonts w:ascii="Arial" w:hAnsi="Arial"/>
          <w:sz w:val="22"/>
          <w:szCs w:val="22"/>
          <w:rtl w:val="0"/>
          <w:lang w:val="en-US"/>
        </w:rPr>
        <w:t>+44 (0) 775 438 1792</w:t>
      </w:r>
    </w:p>
    <w:p>
      <w:pPr>
        <w:pStyle w:val="Body A"/>
        <w:spacing w:before="40" w:after="120"/>
        <w:ind w:left="1797" w:hanging="1797"/>
        <w:jc w:val="both"/>
        <w:rPr>
          <w:rStyle w:val="None"/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>Email -</w:t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"mailto:andrew.smithies@gmail.com"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a.smithies@me.com</w:t>
      </w:r>
      <w:r>
        <w:rPr/>
        <w:fldChar w:fldCharType="end" w:fldLock="0"/>
      </w:r>
    </w:p>
    <w:p>
      <w:pPr>
        <w:pStyle w:val="Heading 3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Profile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Chartered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Actuary with 1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9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years general insurance industry experience (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8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post-qualification).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 natural communicator with excellent spelling and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gramma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r.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Has a strong track record in mentoring graduates and junior analysts.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 team player who can also work independently and take ownership of projects.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pt-PT"/>
        </w:rPr>
      </w:pPr>
      <w:r>
        <w:rPr>
          <w:rStyle w:val="None"/>
          <w:rFonts w:ascii="Arial" w:hAnsi="Arial"/>
          <w:sz w:val="22"/>
          <w:szCs w:val="22"/>
          <w:rtl w:val="0"/>
          <w:lang w:val="pt-PT"/>
        </w:rPr>
        <w:t xml:space="preserve">A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well-organised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and logical problem solver with a keen eye for detail.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 rapid learner, capable of picking up new skills and ideas very quickly.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Has extensive software knowledge including:</w:t>
      </w:r>
    </w:p>
    <w:p>
      <w:pPr>
        <w:pStyle w:val="Body A"/>
        <w:ind w:left="360" w:firstLine="0"/>
        <w:jc w:val="both"/>
        <w:rPr>
          <w:rStyle w:val="None"/>
          <w:rFonts w:ascii="Arial" w:cs="Arial" w:hAnsi="Arial" w:eastAsia="Arial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Excel, Access/SQL, Visual Basic, ResQ, Arius, SolvencyTool, Python, Word, PowerPoint.</w:t>
      </w:r>
    </w:p>
    <w:p>
      <w:pPr>
        <w:pStyle w:val="Heading 3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Employment History</w:t>
      </w:r>
    </w:p>
    <w:p>
      <w:pPr>
        <w:pStyle w:val="Body A"/>
        <w:keepNext w:val="1"/>
        <w:spacing w:before="80" w:after="40"/>
        <w:jc w:val="right"/>
        <w:rPr>
          <w:rStyle w:val="None"/>
          <w:rFonts w:ascii="Arial" w:cs="Arial" w:hAnsi="Arial" w:eastAsia="Arial"/>
          <w:b w:val="1"/>
          <w:bCs w:val="1"/>
          <w:sz w:val="22"/>
          <w:szCs w:val="22"/>
          <w:u w:val="single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u w:val="single"/>
          <w:rtl w:val="0"/>
          <w:lang w:val="en-US"/>
        </w:rPr>
        <w:t>Reserving &amp; Capital Actuary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rtl w:val="0"/>
        </w:rPr>
        <w:tab/>
        <w:t>Acromas Insurance Co Ltd</w:t>
        <w:tab/>
        <w:tab/>
      </w: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en-US"/>
        </w:rPr>
        <w:t>Remote/London</w:t>
      </w:r>
      <w:r>
        <w:rPr>
          <w:rStyle w:val="None"/>
          <w:rFonts w:ascii="Arial" w:cs="Arial" w:hAnsi="Arial" w:eastAsia="Arial"/>
          <w:i w:val="1"/>
          <w:iCs w:val="1"/>
          <w:sz w:val="22"/>
          <w:szCs w:val="22"/>
          <w:rtl w:val="0"/>
        </w:rPr>
        <w:tab/>
        <w:tab/>
        <w:tab/>
        <w:tab/>
        <w:tab/>
        <w:t>(</w:t>
      </w:r>
      <w:r>
        <w:rPr>
          <w:rStyle w:val="None"/>
          <w:rFonts w:ascii="Arial" w:hAnsi="Arial"/>
          <w:b w:val="1"/>
          <w:bCs w:val="1"/>
          <w:i w:val="1"/>
          <w:iCs w:val="1"/>
          <w:sz w:val="22"/>
          <w:szCs w:val="22"/>
          <w:rtl w:val="0"/>
          <w:lang w:val="en-US"/>
        </w:rPr>
        <w:t>SAGA Group plc / Ageas Retail Ltd)</w:t>
      </w:r>
      <w:r>
        <w:rPr>
          <w:rStyle w:val="None"/>
          <w:rFonts w:ascii="Arial" w:cs="Arial" w:hAnsi="Arial" w:eastAsia="Arial"/>
          <w:i w:val="1"/>
          <w:iCs w:val="1"/>
          <w:sz w:val="22"/>
          <w:szCs w:val="22"/>
        </w:rPr>
        <w:tab/>
      </w:r>
      <w:r>
        <w:rPr>
          <w:rStyle w:val="None"/>
          <w:rFonts w:ascii="Arial" w:hAnsi="Arial"/>
          <w:i w:val="1"/>
          <w:iCs w:val="1"/>
          <w:sz w:val="22"/>
          <w:szCs w:val="22"/>
          <w:u w:val="single"/>
          <w:rtl w:val="0"/>
          <w:lang w:val="en-US"/>
        </w:rPr>
        <w:t>Sep</w:t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 xml:space="preserve"> 20</w:t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>24</w:t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 xml:space="preserve"> - </w:t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>present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First line reviewer of monthly motor reserve assumptions and results, also primary point of contact for AICL Sub-Committee and Large Claims Committee reporting.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Led production of papers for quarterly Reserving Committee: ABE (FRS), IFRS17 LIC, (Stochastic) Reserve Variability Governance, Reserve Risk &amp; Margin (Scenario testing), and comparisons to independent actuaries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 xml:space="preserve">’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results.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Led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the annual refresh of the company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s Solvency II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Undertaking-Specific Parameters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for submission to the Gibraltar regulator.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Led deep-dive reviews into development patterns for TPD, TPI (Small) and Large Loss perils.</w:t>
      </w:r>
    </w:p>
    <w:p>
      <w:pPr>
        <w:pStyle w:val="Heading Red A"/>
        <w:spacing w:before="80" w:after="40"/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val="single"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Actuarial Manager</w:t>
      </w:r>
      <w:r>
        <w:rPr>
          <w:rStyle w:val="None"/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>PKF Littlejohn LLP</w:t>
        <w:tab/>
      </w:r>
      <w:r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Hybrid/</w:t>
      </w:r>
      <w:r>
        <w:rPr>
          <w:rStyle w:val="None"/>
          <w:rFonts w:ascii="Arial" w:hAnsi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London </w:t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Sep 2022 - </w:t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Sep 2024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Project-managed independent reserve reviews for diverse insurance clients from Gibraltar motor specialists to London Market reinsurers and legacy/run-off portfolio managers.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Reviewed the actuarial models, cashflow projection and key actuarial inputs implemented by a client to prepare their IFRS 17 Day 1 balance sheet position.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Acted as actuarial expert supporting internal audits of both pricing and reserving processes for a Lloyd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syndicate managing agent.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Designed sensitivity tests to check that a specialist reinsurance client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in-house built SQL-based reserving application was working as expected.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Developed a frequency-severity projection tool for occupational disease exposures, enabling the firm to do more than just methodology &amp; assumptions reviews for clients with these risks.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Assisted partners with audit pitches to prospective new clients.</w:t>
      </w:r>
    </w:p>
    <w:p>
      <w:pPr>
        <w:pStyle w:val="Heading Red A"/>
        <w:spacing w:before="80" w:after="40"/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Reserving Actuary</w:t>
      </w:r>
      <w:r>
        <w:rPr>
          <w:rStyle w:val="None"/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>Extracover Ltd t/a ZEGO</w:t>
      </w:r>
      <w:r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Remote/</w:t>
      </w:r>
      <w:r>
        <w:rPr>
          <w:rStyle w:val="None"/>
          <w:rFonts w:ascii="Arial" w:hAnsi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London </w:t>
      </w:r>
      <w:r>
        <w:rPr>
          <w:rStyle w:val="None"/>
          <w:rFonts w:ascii="Arial" w:cs="Arial" w:hAnsi="Arial" w:eastAsia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Sep 2021 - Aug 2022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Implemented prototype tools to bring quarterly reserving processes in-house, and worked with the BI team to scale up warehousing of historical data.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Reviewed the work of external actuarial consultants on the group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internal carrier reserve reviews, challenging their assumptions and findings.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Updated IBNR estimates for UK and Irish business written by external carriers for the purpose of internal performance reporting.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Collaborated with the Claims team in building analytics &amp; MI to monitor third party administrators and spot trends &amp;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outliers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in their bordereaux and claims handling processes.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Developed quarterly reports on claims inflation and underwriting year performance.</w:t>
      </w:r>
    </w:p>
    <w:p>
      <w:pPr>
        <w:pStyle w:val="Body A"/>
        <w:keepNext w:val="1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Served on Risk &amp; Reserving and Claims &amp; Underwriting Committees for the internal carrier.</w:t>
      </w:r>
    </w:p>
    <w:p>
      <w:pPr>
        <w:pStyle w:val="Heading Red A"/>
        <w:spacing w:before="80" w:after="40"/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Actuary - IFRS17/SII &amp; Business Change</w:t>
      </w:r>
      <w:r>
        <w:rPr>
          <w:rStyle w:val="None"/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ab/>
        <w:t>AXA UK plc</w:t>
      </w:r>
      <w:r>
        <w:rPr>
          <w:rStyle w:val="None"/>
          <w:rFonts w:ascii="Arial" w:cs="Arial" w:hAnsi="Arial" w:eastAsia="Arial"/>
          <w:b w:val="0"/>
          <w:bCs w:val="0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Arial" w:hAnsi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London </w:t>
      </w:r>
      <w:r>
        <w:rPr>
          <w:rStyle w:val="None"/>
          <w:rFonts w:ascii="Arial" w:cs="Arial" w:hAnsi="Arial" w:eastAsia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lang w:val="en-US"/>
          <w14:textFill>
            <w14:solidFill>
              <w14:srgbClr w14:val="000000"/>
            </w14:solidFill>
          </w14:textFill>
        </w:rPr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Nov 2018 - Sep 2021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Designed and built prototype cashflow projection &amp; discounting model for IFRS17 and Solvency II reporting, then led team to migrate this into the Cloud and automate it.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Owned and made simplifications to quarterly Technical Provisions processes, documented and handed these over to outsourced actuaries.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Produced QRT submissions and wrote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parts of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Actuarial Function, SCFR and RSR reports.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Assisted with transformation of reserving processes via a new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centralised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data warehouse.</w:t>
      </w:r>
    </w:p>
    <w:p>
      <w:pPr>
        <w:pStyle w:val="Heading Red A"/>
        <w:spacing w:before="80" w:after="40"/>
        <w:rPr>
          <w:rStyle w:val="None"/>
          <w:rFonts w:ascii="Arial" w:cs="Arial" w:hAnsi="Arial" w:eastAsia="Arial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Non-Actuarial Analytics Roles</w:t>
      </w:r>
      <w:r>
        <w:rPr>
          <w:rStyle w:val="None"/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ab/>
        <w:t>(various)</w:t>
        <w:tab/>
      </w:r>
      <w:r>
        <w:rPr>
          <w:rStyle w:val="None"/>
          <w:rFonts w:ascii="Arial" w:hAnsi="Arial"/>
          <w:b w:val="0"/>
          <w:bCs w:val="0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London/South East </w:t>
        <w:tab/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Jun 2016 </w:t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None"/>
          <w:rFonts w:ascii="Arial" w:hAnsi="Arial"/>
          <w:b w:val="0"/>
          <w:bCs w:val="0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Oct 2018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Parametrised</w:t>
      </w: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models based on GDP and construction industry indicators for reporting actual circulation performance versus targets.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Prepared publishers</w:t>
      </w:r>
      <w:r>
        <w:rPr>
          <w:rStyle w:val="None"/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’ </w:t>
      </w: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audit filing submissions, with both internal forecasting and comparisons with competitors' results.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Reviewed existing processes and management of data, then proposed and implemented changes to improve efficiency and quality of forecasts.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Developed KPI dashboard solutions to track compliance with internal security standards and improving product release cycle efficiency.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Led several deep-dive insight projects.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 training sessions for analytics tool users.</w:t>
      </w:r>
    </w:p>
    <w:p>
      <w:pPr>
        <w:pStyle w:val="Default"/>
        <w:numPr>
          <w:ilvl w:val="0"/>
          <w:numId w:val="5"/>
        </w:numPr>
        <w:bidi w:val="0"/>
        <w:spacing w:before="0"/>
        <w:ind w:right="0"/>
        <w:jc w:val="both"/>
        <w:rPr>
          <w:rFonts w:ascii="Arial" w:hAnsi="Arial"/>
          <w:outline w:val="0"/>
          <w:color w:val="000000"/>
          <w:sz w:val="22"/>
          <w:szCs w:val="22"/>
          <w:rtl w:val="0"/>
          <w:lang w:val="en-US"/>
          <w14:textFill>
            <w14:solidFill>
              <w14:srgbClr w14:val="000000">
                <w14:alpha w14:val="9802"/>
              </w14:srgbClr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Tested and reconciled data as part of the migration process to a new platform.</w:t>
      </w:r>
    </w:p>
    <w:p>
      <w:pPr>
        <w:pStyle w:val="Body A"/>
        <w:keepNext w:val="1"/>
        <w:spacing w:before="80" w:after="40"/>
        <w:jc w:val="right"/>
        <w:rPr>
          <w:rStyle w:val="None"/>
          <w:rFonts w:ascii="Arial" w:cs="Arial" w:hAnsi="Arial" w:eastAsia="Arial"/>
          <w:b w:val="1"/>
          <w:bCs w:val="1"/>
          <w:sz w:val="22"/>
          <w:szCs w:val="22"/>
          <w:u w:val="single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u w:val="single"/>
          <w:rtl w:val="0"/>
          <w:lang w:val="en-US"/>
        </w:rPr>
        <w:t>Senior Actuarial Analyst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rtl w:val="0"/>
        </w:rPr>
        <w:tab/>
        <w:t>Sterling Insurance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Group Ltd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</w:rPr>
        <w:tab/>
        <w:tab/>
      </w: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en-US"/>
        </w:rPr>
        <w:t>Kings Hill, Kent</w:t>
        <w:tab/>
        <w:tab/>
        <w:tab/>
        <w:tab/>
        <w:tab/>
      </w: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(now Cov</w:t>
      </w:r>
      <w:r>
        <w:rPr>
          <w:rStyle w:val="None"/>
          <w:rFonts w:ascii="Arial" w:hAnsi="Arial" w:hint="default"/>
          <w:b w:val="1"/>
          <w:bCs w:val="1"/>
          <w:sz w:val="22"/>
          <w:szCs w:val="22"/>
          <w:rtl w:val="0"/>
          <w:lang w:val="en-US"/>
        </w:rPr>
        <w:t>é</w:t>
      </w: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a Insurance plc)</w:t>
      </w:r>
      <w:r>
        <w:rPr>
          <w:rStyle w:val="None"/>
          <w:rFonts w:ascii="Arial" w:cs="Arial" w:hAnsi="Arial" w:eastAsia="Arial"/>
          <w:i w:val="1"/>
          <w:iCs w:val="1"/>
          <w:sz w:val="22"/>
          <w:szCs w:val="22"/>
        </w:rPr>
        <w:tab/>
        <w:tab/>
        <w:tab/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>Jan 2012 - May 2016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Served on the Household &amp; Commercial Product/Pricing Committee; produced the monthly analytics &amp; reports, led a project to migrate them to a new database, reviewed rating models and pricing change proposals for the committee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approval.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Developed loss ratio, claim frequency and Catastrophe models for independent actuarial challenge to FP&amp;A budget assumptions.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Liaised with Auditors, Finance, MI and Claims teams as required during the annual IBNR estimation process, and drafted TAS-compliant reports for the Board.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Performed ad-hoc analysis to improve accuracy of formula reserves.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Ran the internal capital model with scenario analysis; and reported the results.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Led a feasibility study into the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potential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use of Undertaking-Specific Parameters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in the SCR.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Delivered a Solvency II Data Dictionary, a full synopsis of the proposed Standard Formula approach, and a gap analysis of the company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Technical Provisions calculations.</w:t>
      </w:r>
    </w:p>
    <w:p>
      <w:pPr>
        <w:pStyle w:val="Body A"/>
        <w:keepNext w:val="1"/>
        <w:spacing w:before="80" w:after="40"/>
        <w:jc w:val="both"/>
        <w:rPr>
          <w:rStyle w:val="None"/>
          <w:rFonts w:ascii="Arial" w:cs="Arial" w:hAnsi="Arial" w:eastAsia="Arial"/>
          <w:b w:val="1"/>
          <w:bCs w:val="1"/>
          <w:sz w:val="22"/>
          <w:szCs w:val="22"/>
          <w:u w:val="single"/>
          <w:lang w:val="it-IT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u w:val="single"/>
          <w:rtl w:val="0"/>
          <w:lang w:val="it-IT"/>
        </w:rPr>
        <w:t>Actuarial Analyst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rtl w:val="0"/>
          <w:lang w:val="it-IT"/>
        </w:rPr>
        <w:tab/>
        <w:t>Assicurazioni Generali SpA</w:t>
        <w:tab/>
        <w:tab/>
      </w: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it-IT"/>
        </w:rPr>
        <w:t>London</w:t>
        <w:tab/>
      </w:r>
      <w:r>
        <w:rPr>
          <w:rStyle w:val="None"/>
          <w:rFonts w:ascii="Arial" w:hAnsi="Arial"/>
          <w:sz w:val="22"/>
          <w:szCs w:val="22"/>
          <w:u w:val="single"/>
          <w:rtl w:val="0"/>
          <w:lang w:val="it-IT"/>
        </w:rPr>
        <w:t>Mar 2011 - Jan 2012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Assisted Casualty underwriters with rating of some unusual risks; recommending assumptions on claims inflation, IBNR and changes in exposure.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Projected premiums and losses by underwriting year for business planning process; adjusting for actual versus expected renewals and rate changes, then updated the underlying assumptions based on feedback from heads of underwriting departments.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Projected ultimate losses for International Healthcare account and run-off business.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Prepared results statements with IBNR for Finance and IT functions.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Drafted management reports &amp; presentations for each quarter end.</w:t>
      </w:r>
    </w:p>
    <w:p>
      <w:pPr>
        <w:pStyle w:val="Body A"/>
        <w:keepNext w:val="1"/>
        <w:spacing w:before="80" w:after="40"/>
        <w:jc w:val="both"/>
        <w:rPr>
          <w:rStyle w:val="None"/>
          <w:rFonts w:ascii="Arial" w:cs="Arial" w:hAnsi="Arial" w:eastAsia="Arial"/>
          <w:b w:val="1"/>
          <w:bCs w:val="1"/>
          <w:i w:val="1"/>
          <w:i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u w:val="single"/>
          <w:rtl w:val="0"/>
          <w:lang w:val="en-US"/>
        </w:rPr>
        <w:t>Actuarial Analyst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rtl w:val="0"/>
        </w:rPr>
        <w:tab/>
        <w:t>RSA Insurance Group plc</w:t>
        <w:tab/>
        <w:tab/>
      </w: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en-US"/>
        </w:rPr>
        <w:t>Horsham</w:t>
        <w:tab/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>May 2008 - Mar 2011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Involved in all stages of quarterly car insurance reserve reviews from data manipulation to modelling, documenting the reviews, leading meetings with claims/underwriting teams, and allocating the finalised IBNR to specific accounts for full-year forecasts.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Redesigned the code to collect data off the in-house claims handling systems; then reconciled and built the team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new improved Access database.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Acted as the team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liaison with direct brand product managers; reporting the impact of reserving decisions on their P&amp;L, and providing further data and insight as required.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Helped justify changes in home insurance pricing forecasts to stakeholders.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Updated postcode rating tables.</w:t>
      </w:r>
    </w:p>
    <w:p>
      <w:pPr>
        <w:pStyle w:val="Body A"/>
        <w:spacing w:before="80" w:after="40"/>
        <w:jc w:val="both"/>
        <w:rPr>
          <w:rStyle w:val="None"/>
          <w:rFonts w:ascii="Arial" w:cs="Arial" w:hAnsi="Arial" w:eastAsia="Arial"/>
          <w:b w:val="1"/>
          <w:bCs w:val="1"/>
          <w:i w:val="1"/>
          <w:iCs w:val="1"/>
          <w:sz w:val="22"/>
          <w:szCs w:val="22"/>
          <w:u w:val="single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u w:val="single"/>
          <w:rtl w:val="0"/>
          <w:lang w:val="en-US"/>
        </w:rPr>
        <w:t>Analyst</w:t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rtl w:val="0"/>
          <w:lang w:val="en-US"/>
        </w:rPr>
        <w:tab/>
        <w:t>Certus Ltd</w:t>
        <w:tab/>
      </w:r>
      <w:r>
        <w:rPr>
          <w:rStyle w:val="None"/>
          <w:rFonts w:ascii="Arial" w:cs="Arial" w:hAnsi="Arial" w:eastAsia="Arial"/>
          <w:b w:val="1"/>
          <w:bCs w:val="1"/>
          <w:sz w:val="22"/>
          <w:szCs w:val="22"/>
          <w:lang w:val="en-US"/>
        </w:rPr>
        <w:tab/>
      </w: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en-US"/>
        </w:rPr>
        <w:t>Royal Tunbridge Wells</w:t>
        <w:tab/>
        <w:tab/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 xml:space="preserve">Aug 2004 </w:t>
      </w:r>
      <w:r>
        <w:rPr>
          <w:rStyle w:val="None"/>
          <w:rFonts w:ascii="Arial" w:hAnsi="Arial" w:hint="default"/>
          <w:sz w:val="22"/>
          <w:szCs w:val="22"/>
          <w:u w:val="single"/>
          <w:rtl w:val="0"/>
          <w:lang w:val="en-US"/>
        </w:rPr>
        <w:t xml:space="preserve">– </w:t>
      </w:r>
      <w:r>
        <w:rPr>
          <w:rStyle w:val="None"/>
          <w:rFonts w:ascii="Arial" w:hAnsi="Arial"/>
          <w:sz w:val="22"/>
          <w:szCs w:val="22"/>
          <w:u w:val="single"/>
          <w:rtl w:val="0"/>
          <w:lang w:val="en-US"/>
        </w:rPr>
        <w:t>Jan 2008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Maintained an actuarial simulation model of Engineering project losses for a client, external actuaries and underwriters.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Led an analysis of Property and Business Interruption claims for another client, used to derive annual cost &amp; frequency distributions for both the mutual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s specific member pool, and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i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ts parent group.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Helped develop a premium benchmarking model for utility companies.</w:t>
      </w:r>
    </w:p>
    <w:p>
      <w:pPr>
        <w:pStyle w:val="Heading 3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Qualifications</w:t>
      </w:r>
    </w:p>
    <w:p>
      <w:pPr>
        <w:pStyle w:val="Body A"/>
        <w:keepNext w:val="1"/>
        <w:spacing w:after="40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Institute and Faculty of Actuaries</w:t>
        <w:tab/>
        <w:tab/>
        <w:tab/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2006-2017</w:t>
      </w:r>
    </w:p>
    <w:p>
      <w:pPr>
        <w:pStyle w:val="Body A"/>
        <w:spacing w:after="120"/>
        <w:jc w:val="both"/>
        <w:rPr>
          <w:rStyle w:val="None"/>
          <w:rFonts w:ascii="Arial" w:cs="Arial" w:hAnsi="Arial" w:eastAsia="Arial"/>
          <w:b w:val="1"/>
          <w:bCs w:val="1"/>
          <w:sz w:val="22"/>
          <w:szCs w:val="22"/>
          <w:lang w:val="en-US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Chartered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A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ssociate (AIA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C.Act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).</w:t>
      </w:r>
    </w:p>
    <w:p>
      <w:pPr>
        <w:pStyle w:val="Body A"/>
        <w:keepNext w:val="1"/>
        <w:spacing w:after="40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University of Warwick</w:t>
        <w:tab/>
        <w:tab/>
        <w:tab/>
        <w:tab/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2000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–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2004</w:t>
      </w:r>
    </w:p>
    <w:p>
      <w:pPr>
        <w:pStyle w:val="Body A"/>
        <w:spacing w:after="120"/>
        <w:jc w:val="both"/>
        <w:rPr>
          <w:rStyle w:val="None"/>
          <w:rFonts w:ascii="Arial" w:cs="Arial" w:hAnsi="Arial" w:eastAsia="Arial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  <w:rtl w:val="0"/>
          <w:lang w:val="en-US"/>
        </w:rPr>
        <w:t>Master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s degree in Mathematics &amp; Statistics (MMathStat), Class 2:1 (Honours).</w:t>
      </w:r>
    </w:p>
    <w:p>
      <w:pPr>
        <w:pStyle w:val="Body A"/>
        <w:keepNext w:val="1"/>
        <w:spacing w:after="40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Tunbridge Wells Grammar School for Boys</w:t>
        <w:tab/>
        <w:tab/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1993-2000</w:t>
      </w:r>
    </w:p>
    <w:p>
      <w:pPr>
        <w:pStyle w:val="Body A"/>
        <w:spacing w:after="120"/>
        <w:jc w:val="both"/>
        <w:rPr>
          <w:rStyle w:val="None"/>
          <w:rFonts w:ascii="Arial" w:cs="Arial" w:hAnsi="Arial" w:eastAsia="Arial"/>
          <w:sz w:val="22"/>
          <w:szCs w:val="22"/>
        </w:rPr>
      </w:pP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da-DK"/>
        </w:rPr>
        <w:t xml:space="preserve">A-Levels: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Mathematics (Grade A), English Language &amp; Literature (A), Computing (B)</w:t>
      </w:r>
    </w:p>
    <w:p>
      <w:pPr>
        <w:pStyle w:val="Body A"/>
        <w:spacing w:after="120"/>
        <w:jc w:val="both"/>
        <w:rPr>
          <w:rStyle w:val="None"/>
          <w:rFonts w:ascii="Arial" w:cs="Arial" w:hAnsi="Arial" w:eastAsia="Arial"/>
          <w:sz w:val="22"/>
          <w:szCs w:val="22"/>
        </w:rPr>
      </w:pPr>
      <w:r>
        <w:rPr>
          <w:rStyle w:val="None"/>
          <w:rFonts w:ascii="Arial" w:hAnsi="Arial"/>
          <w:i w:val="1"/>
          <w:iCs w:val="1"/>
          <w:sz w:val="22"/>
          <w:szCs w:val="22"/>
          <w:rtl w:val="0"/>
          <w:lang w:val="es-ES_tradnl"/>
        </w:rPr>
        <w:t xml:space="preserve">GCSEs: 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English Language, English Literature, Mathematics, Double Award Science, French (All Grade A*); Religious Studies, Information Technology, Music (All B), Electronics (A)</w:t>
      </w:r>
    </w:p>
    <w:p>
      <w:pPr>
        <w:pStyle w:val="Heading 3"/>
        <w:rPr>
          <w:rStyle w:val="None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>Interests</w:t>
      </w:r>
    </w:p>
    <w:p>
      <w:pPr>
        <w:pStyle w:val="Body A"/>
        <w:spacing w:after="120"/>
        <w:jc w:val="both"/>
      </w:pPr>
      <w:bookmarkStart w:name="_gjdgxs" w:id="0"/>
      <w:bookmarkEnd w:id="0"/>
      <w:r>
        <w:rPr>
          <w:rStyle w:val="None"/>
          <w:rFonts w:ascii="Arial" w:hAnsi="Arial"/>
          <w:sz w:val="22"/>
          <w:szCs w:val="22"/>
          <w:rtl w:val="0"/>
          <w:lang w:val="en-US"/>
        </w:rPr>
        <w:t>I</w:t>
      </w:r>
      <w:r>
        <w:rPr>
          <w:rStyle w:val="None"/>
          <w:rFonts w:ascii="Arial" w:hAnsi="Arial" w:hint="default"/>
          <w:sz w:val="22"/>
          <w:szCs w:val="22"/>
          <w:rtl w:val="0"/>
          <w:lang w:val="en-US"/>
        </w:rPr>
        <w:t>’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ve appeared on various quiz shows including Weakest Link, Fifteen to One, Brainteaser, Memory Bank, Eggheads, Wordplay, Mastermind, Only Connect, The Chase, Countdown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, B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rain of Britain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and The Finish Line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>. Other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pastimes</w:t>
      </w:r>
      <w:r>
        <w:rPr>
          <w:rStyle w:val="None"/>
          <w:rFonts w:ascii="Arial" w:hAnsi="Arial"/>
          <w:sz w:val="22"/>
          <w:szCs w:val="22"/>
          <w:rtl w:val="0"/>
          <w:lang w:val="en-US"/>
        </w:rPr>
        <w:t xml:space="preserve"> include quiz leagues, ten-pin bowling, digital photography, cycling, darts, country walking, playing piano and researching my family tree.</w:t>
      </w:r>
    </w:p>
    <w:sectPr>
      <w:headerReference w:type="default" r:id="rId4"/>
      <w:headerReference w:type="even" r:id="rId5"/>
      <w:headerReference w:type="first" r:id="rId6"/>
      <w:footerReference w:type="default" r:id="rId7"/>
      <w:footerReference w:type="even" r:id="rId8"/>
      <w:footerReference w:type="first" r:id="rId9"/>
      <w:pgSz w:w="11900" w:h="16840" w:orient="portrait"/>
      <w:pgMar w:top="1418" w:right="1134" w:bottom="1134" w:left="1418" w:header="964" w:footer="964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rebuchet MS">
    <w:charset w:val="00"/>
    <w:family w:val="roman"/>
    <w:pitch w:val="default"/>
  </w:font>
  <w:font w:name="Helvetica Neue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right" w:pos="6840"/>
      </w:tabs>
      <w:jc w:val="right"/>
    </w:pPr>
    <w:r>
      <w:rPr>
        <w:rFonts w:ascii="Trebuchet MS" w:hAnsi="Trebuchet MS"/>
        <w:b w:val="1"/>
        <w:bCs w:val="1"/>
        <w:sz w:val="18"/>
        <w:szCs w:val="18"/>
        <w:rtl w:val="0"/>
        <w:lang w:val="da-DK"/>
      </w:rPr>
      <w:t xml:space="preserve">Page </w:t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begin" w:fldLock="0"/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instrText xml:space="preserve"> PAGE </w:instrText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separate" w:fldLock="0"/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right" w:pos="6840"/>
      </w:tabs>
      <w:jc w:val="right"/>
    </w:pPr>
    <w:r>
      <w:rPr>
        <w:rFonts w:ascii="Trebuchet MS" w:hAnsi="Trebuchet MS"/>
        <w:b w:val="1"/>
        <w:bCs w:val="1"/>
        <w:sz w:val="18"/>
        <w:szCs w:val="18"/>
        <w:rtl w:val="0"/>
        <w:lang w:val="da-DK"/>
      </w:rPr>
      <w:t xml:space="preserve">Page </w:t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begin" w:fldLock="0"/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instrText xml:space="preserve"> PAGE </w:instrText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separate" w:fldLock="0"/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</w:r>
    <w:r>
      <w:rPr>
        <w:rFonts w:ascii="Trebuchet MS" w:cs="Trebuchet MS" w:hAnsi="Trebuchet MS" w:eastAsia="Trebuchet MS"/>
        <w:b w:val="1"/>
        <w:bCs w:val="1"/>
        <w:sz w:val="18"/>
        <w:szCs w:val="18"/>
        <w:rtl w:val="0"/>
        <w:lang w:val="en-US"/>
      </w:rPr>
      <w:fldChar w:fldCharType="end" w:fldLock="0"/>
    </w:r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>
        <w:rFonts w:ascii="Trebuchet MS" w:hAnsi="Trebuchet MS"/>
        <w:sz w:val="20"/>
        <w:szCs w:val="20"/>
        <w:rtl w:val="0"/>
        <w:lang w:val="en-US"/>
      </w:rPr>
      <w:t>Andrew Smithies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>
        <w:rFonts w:ascii="Trebuchet MS" w:hAnsi="Trebuchet MS"/>
        <w:sz w:val="20"/>
        <w:szCs w:val="20"/>
        <w:rtl w:val="0"/>
        <w:lang w:val="en-US"/>
      </w:rPr>
      <w:t>Andrew Smithies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2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4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6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2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8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4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021" w:hanging="22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1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caps w:val="0"/>
      <w:smallCaps w:val="0"/>
      <w:strike w:val="0"/>
      <w:dstrike w:val="0"/>
      <w:outline w:val="0"/>
      <w:color w:val="0000fe"/>
      <w:sz w:val="22"/>
      <w:szCs w:val="22"/>
      <w:u w:val="single" w:color="0000fe"/>
      <w:vertAlign w:val="baseline"/>
      <w14:textFill>
        <w14:solidFill>
          <w14:srgbClr w14:val="0000FE"/>
        </w14:solidFill>
      </w14:textFill>
    </w:rPr>
  </w:style>
  <w:style w:type="paragraph" w:styleId="Heading 3">
    <w:name w:val="Heading 3"/>
    <w:next w:val="Body A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1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  <w:style w:type="paragraph" w:styleId="Heading Red A">
    <w:name w:val="Heading Red A"/>
    <w:next w:val="Heading Red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e220c"/>
      <w:spacing w:val="0"/>
      <w:kern w:val="0"/>
      <w:position w:val="0"/>
      <w:sz w:val="32"/>
      <w:szCs w:val="32"/>
      <w:u w:val="none" w:color="ee220c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EE220C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