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47E34">
      <w:pPr>
        <w:pStyle w:val="31"/>
        <w:spacing w:after="16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KV Cache CDN 专利申请方向建议</w:t>
      </w:r>
    </w:p>
    <w:p w14:paraId="0BE9BE9A">
      <w:pPr>
        <w:spacing w:after="360"/>
        <w:jc w:val="center"/>
      </w:pPr>
      <w:r>
        <w:rPr>
          <w:rFonts w:ascii="微软雅黑" w:hAnsi="微软雅黑" w:eastAsia="微软雅黑"/>
          <w:color w:val="505050"/>
          <w:sz w:val="22"/>
        </w:rPr>
        <w:t>面向跨地域大模型推理的专利组合初步挖掘</w:t>
      </w:r>
    </w:p>
    <w:p w14:paraId="70FBA37D">
      <w:pPr>
        <w:spacing w:after="100" w:line="324" w:lineRule="auto"/>
      </w:pPr>
      <w:r>
        <w:rPr>
          <w:rFonts w:ascii="微软雅黑" w:hAnsi="微软雅黑" w:eastAsia="微软雅黑"/>
          <w:i w:val="0"/>
          <w:color w:val="000000"/>
          <w:sz w:val="21"/>
        </w:rPr>
        <w:t>本文件将 KV Cache CDN 方案拆分为六项可独立实施、可形成相互支撑关系的专利申请方向。重点不在泛化地保护“缓存”“路由”或“传输与重算选择”，而在跨域 KV 的兼容性、正确性、风险控制和多租户安全等具体技术闭环。建议将其作为内部立项与代理师正式检索、撰写的输入材料。</w:t>
      </w:r>
    </w:p>
    <w:p w14:paraId="561E8B81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结论：</w:t>
      </w:r>
      <w:r>
        <w:rPr>
          <w:rFonts w:ascii="微软雅黑" w:hAnsi="微软雅黑" w:eastAsia="微软雅黑"/>
          <w:color w:val="000000"/>
          <w:sz w:val="21"/>
        </w:rPr>
        <w:t>优先布局兼容性证明、依赖闭包恢复和风险感知路由三件核心专利；其余作为预热、安全和 PIC 质量控制的改进或防御性专利。</w:t>
      </w:r>
    </w:p>
    <w:p w14:paraId="0280FA4D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一 申请策略与边界</w:t>
      </w:r>
    </w:p>
    <w:p w14:paraId="1E08155D">
      <w:pPr>
        <w:spacing w:after="100" w:line="324" w:lineRule="auto"/>
      </w:pPr>
      <w:r>
        <w:rPr>
          <w:rFonts w:ascii="微软雅黑" w:hAnsi="微软雅黑" w:eastAsia="微软雅黑"/>
          <w:i w:val="0"/>
          <w:color w:val="000000"/>
          <w:sz w:val="21"/>
        </w:rPr>
        <w:t>已有公开内容覆盖了部分基础动作，例如 KV 预测调度、分层预取、缓存复用以及按实时系统状态在异步传输与重算间分配。因此，不建议直接申请“KV Cache CDN 系统”“按带宽选择传输或重算”“按热度预取 KV”等过宽主题。</w:t>
      </w:r>
    </w:p>
    <w:p w14:paraId="246598F0">
      <w:pPr>
        <w:spacing w:after="100" w:line="324" w:lineRule="auto"/>
      </w:pPr>
      <w:r>
        <w:rPr>
          <w:rFonts w:ascii="微软雅黑" w:hAnsi="微软雅黑" w:eastAsia="微软雅黑"/>
          <w:i w:val="0"/>
          <w:color w:val="000000"/>
          <w:sz w:val="21"/>
        </w:rPr>
        <w:t>本组合采取“基础专利加改进专利”结构：P1 约束可复用对象，P2 决定请求落点，P3 保证故障恢复正确性；P4 至 P6 则分别扩展到预热、安全与 PIC 质量控制。所有权利要求应以推理系统的资源控制、数据一致性、时延或跨域字节数改善等可测技术效果为落点，避免仅描述成本套利或业务规则。</w:t>
      </w:r>
    </w:p>
    <w:p w14:paraId="23621A51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二 建议的专利组合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264BA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78E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517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建议名称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78CA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核心保护点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A8C4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9BFD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39748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3820B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E45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基于兼容性证明的跨域 KV 缓存复用方法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9FCD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以不可变兼容性清单控制 KV 的查询、传输、加载和失效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13EC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基础专利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927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最高</w:t>
            </w:r>
          </w:p>
        </w:tc>
      </w:tr>
      <w:tr w14:paraId="159BF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D17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P2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234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基于缓存完整度和生成时延预算的推理请求路由方法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E26D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以端到端收益而非单纯命中率进行跨地域亲和路由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6B9D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基础专利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6139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高</w:t>
            </w:r>
          </w:p>
        </w:tc>
      </w:tr>
      <w:tr w14:paraId="3EF03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4080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P3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74D6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基于 KV 依赖闭包的中断恢复与最小重算方法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600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传输中断时求合法复用闭包并确定最小重算边界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1CBD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核心改进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526C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最高</w:t>
            </w:r>
          </w:p>
        </w:tc>
      </w:tr>
      <w:tr w14:paraId="168CC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D64F2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P4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8069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面向多地域推理的 KV 模块分级预热方法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C5EB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结合到达时限、兼容容量与模块价值做预分发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157D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改进专利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D23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中高</w:t>
            </w:r>
          </w:p>
        </w:tc>
      </w:tr>
      <w:tr w14:paraId="32848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35415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P5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EA81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多租户 KV 缓存的能力令牌隔离与侧信道抑制方法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3D74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目录可见性、访问授权与命中时延侧信道控制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E57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防御性专利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FD8F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中高</w:t>
            </w:r>
          </w:p>
        </w:tc>
      </w:tr>
      <w:tr w14:paraId="519C8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D02C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P6</w:t>
            </w:r>
          </w:p>
        </w:tc>
        <w:tc>
          <w:tcPr>
            <w:tcW w:w="238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F82B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基于质量置信度的 PIC 缓存装配与回退方法</w:t>
            </w:r>
          </w:p>
        </w:tc>
        <w:tc>
          <w:tcPr>
            <w:tcW w:w="340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B507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按质量预测选择 PIC 装配、边界重算或全量重算</w:t>
            </w:r>
          </w:p>
        </w:tc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58D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算法改进</w:t>
            </w:r>
          </w:p>
        </w:tc>
        <w:tc>
          <w:tcPr>
            <w:tcW w:w="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C849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中</w:t>
            </w:r>
          </w:p>
        </w:tc>
      </w:tr>
    </w:tbl>
    <w:p w14:paraId="3D8B1126">
      <w:pPr>
        <w:spacing w:after="40"/>
      </w:pPr>
    </w:p>
    <w:p w14:paraId="3E3085BF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三 核心专利方向</w:t>
      </w:r>
    </w:p>
    <w:p w14:paraId="29783D37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P1 基于兼容性证明的跨域 KV 缓存复用方法</w:t>
      </w:r>
    </w:p>
    <w:p w14:paraId="6C11729D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为每一份可传输 KV 生成不可变的推理兼容性清单，并以该清单控制分布式目录检索、跨域传输、节点加载和版本失效。</w:t>
      </w:r>
    </w:p>
    <w:p w14:paraId="7A3FC37B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07B6B03A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接收推理请求并生成目标兼容性清单，所述清单至少包含模型权重、模型结构、Tokenizer、RoPE 策略、适配器、KV 精度及编解码、推理引擎和张量布局标识；</w:t>
      </w:r>
    </w:p>
    <w:p w14:paraId="021AA4CF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查询 KV 目录以获得候选缓存及其源兼容性清单；</w:t>
      </w:r>
    </w:p>
    <w:p w14:paraId="2EF21101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将源清单与目标清单逐项判定为直接复用、可转换复用或禁止复用；</w:t>
      </w:r>
    </w:p>
    <w:p w14:paraId="342292AF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仅对满足兼容规则的候选缓存下发加载或传输指令；对不满足规则的缓存执行边界重算、全量重算或受控转码；</w:t>
      </w:r>
    </w:p>
    <w:p w14:paraId="3974F122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根据验证结果更新候选缓存的可用状态和失效范围。</w:t>
      </w:r>
    </w:p>
    <w:p w14:paraId="21B78BAF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阻断模型、LoRA、精度、RoPE 或引擎不一致造成的静默质量退化；减少无效跨域传输；支持模型滚动升级时的灰度复用。</w:t>
      </w:r>
    </w:p>
    <w:p w14:paraId="685558CE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至少构造模型版本、LoRA、RoPE、量化格式和张量布局不一致的实施例，证明未验证复用会导致输出偏差，而兼容性门控可阻断该问题。</w:t>
      </w:r>
      <w:bookmarkStart w:id="0" w:name="_GoBack"/>
      <w:bookmarkEnd w:id="0"/>
    </w:p>
    <w:p w14:paraId="3A5B6B33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单纯使用哈希或版本号可能被认定为常规元数据管理。应突出“兼容性判定结果直接驱动 KV 数据路径和重算边界”的联动机制。</w:t>
      </w:r>
    </w:p>
    <w:p w14:paraId="3BF6A262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P2 基于缓存完整度和生成时延预算的推理请求路由方法</w:t>
      </w:r>
    </w:p>
    <w:p w14:paraId="6D564768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不将“缓存命中”作为绝对优先级，而是在满足 SLA、合规和容量约束下，计算去不同节点后的 Prefill 节省与整个 Decode 生命周期网络税。</w:t>
      </w:r>
    </w:p>
    <w:p w14:paraId="7595F4CD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525F1700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取得请求关联模块的缓存完整度向量或依赖图覆盖比例；</w:t>
      </w:r>
    </w:p>
    <w:p w14:paraId="52AF1002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预测请求输出 Token 数、候选节点排队时间、首 Token 时延和每 Token 时延；</w:t>
      </w:r>
    </w:p>
    <w:p w14:paraId="2D19FE92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计算候选节点的可复用 KV 节省、缓存缺失传输或重算代价，以及预测输出 Token 数乘以网络往返时延形成的持续时延代价；</w:t>
      </w:r>
    </w:p>
    <w:p w14:paraId="6E581A4B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在时延 SLA、数据驻留和节点容量约束下选择目标节点；</w:t>
      </w:r>
    </w:p>
    <w:p w14:paraId="5D75A2FC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当缓存收益小于持续 Decode 时延损失时，拒绝跨地域亲和路由并选择本地节点。</w:t>
      </w:r>
    </w:p>
    <w:p w14:paraId="46B59BBB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降低长生成任务的端到端时延，避免只为缓存命中而牺牲持续 Token 输出时延，并减少错误跨区域调度。</w:t>
      </w:r>
    </w:p>
    <w:p w14:paraId="7AD91361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对短输出、长输出、缓存高完整度和低完整度请求做对照，给出 P95 或 P99 TTFT 与 TPOT 的改善数据。</w:t>
      </w:r>
    </w:p>
    <w:p w14:paraId="0C6DC329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缓存感知路由已有研究基础。独立权利要求必须强调“生成持续时间或 Token 数驱动的 Decode 网络税”与“模块完整度向量”的联合决策。</w:t>
      </w:r>
    </w:p>
    <w:p w14:paraId="7F7C5782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P3 基于 KV 依赖闭包的中断恢复与最小重算方法</w:t>
      </w:r>
    </w:p>
    <w:p w14:paraId="02EADDB4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为 KV 块维护父依赖、位置状态、PIC 链接状态和质量状态；跨域取回中断时，以最大合法依赖闭包确定可继续使用的缓存和最小重算起点。</w:t>
      </w:r>
    </w:p>
    <w:p w14:paraId="6BCDCD6D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6D206F8C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 Prefill 或 PIC 编译阶段记录 KV 块的依赖关系、位置状态和可装配条件；</w:t>
      </w:r>
    </w:p>
    <w:p w14:paraId="5FA36C00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在分块传输中断或校验失败时，识别已到达 KV 块及其依赖状态；</w:t>
      </w:r>
    </w:p>
    <w:p w14:paraId="07782DA8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求得可直接复用的最大合法依赖闭包，并识别最早失效边界；</w:t>
      </w:r>
    </w:p>
    <w:p w14:paraId="61208651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从所述最早失效边界执行局部重算，或对满足条件的块执行边界修复；</w:t>
      </w:r>
    </w:p>
    <w:p w14:paraId="77262391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将无法证明有效的下游块标记为失效，禁止与重算结果直接拼接；</w:t>
      </w:r>
    </w:p>
    <w:p w14:paraId="726C7DB9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将恢复后的 KV 作为新版本快照写回目录。</w:t>
      </w:r>
    </w:p>
    <w:p w14:paraId="26CB24BA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减少网络抖动下的全量重算，并避免因半截 KV 或错误下游复用导致的静默推理质量问题。</w:t>
      </w:r>
    </w:p>
    <w:p w14:paraId="6DA67F49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给出连续前缀、非前缀 PIC 和多块 RAG 三种依赖图；对比全量重算、错误直接拼接和依赖闭包恢复的时延与质量。</w:t>
      </w:r>
    </w:p>
    <w:p w14:paraId="45DCA799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需避免宣称任意 KV 块可自由拼接。权利要求应以“可证明有效的闭包”和“最早失效边界”为核心。</w:t>
      </w:r>
    </w:p>
    <w:p w14:paraId="1233FA1F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P4 面向多地域推理的 KV 模块分级预热方法</w:t>
      </w:r>
    </w:p>
    <w:p w14:paraId="0A7FD7D9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将预热从一般 CDN 热度复制，收敛为具有推理兼容条件和请求到达截止时间的模块分发问题。</w:t>
      </w:r>
    </w:p>
    <w:p w14:paraId="2BCFD011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04D0C0F2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采集模块的预期复用次数、单次 Prefill 节省、区域到达分布、传输时间、目标节点兼容容量及存储机会成本；</w:t>
      </w:r>
    </w:p>
    <w:p w14:paraId="086778CD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根据预期请求到达窗口确定预分发截止时间；</w:t>
      </w:r>
    </w:p>
    <w:p w14:paraId="7CF2D888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计算模块在各候选节点的预热价值，并仅选择可在截止时间前完成校验和装载的目标节点；</w:t>
      </w:r>
    </w:p>
    <w:p w14:paraId="6B2A3416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对公共模块、租户区域模块和会话私有模块采取不同的复制层级和生命周期；</w:t>
      </w:r>
    </w:p>
    <w:p w14:paraId="10714267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在预热失败、热度衰减或版本变化时执行降层、撤销或重算。</w:t>
      </w:r>
    </w:p>
    <w:p w14:paraId="383B2F2A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减少请求关键路径上的跨域 KV 传输，提升预热命中率，并避免将低复用或不兼容对象复制到边缘。</w:t>
      </w:r>
    </w:p>
    <w:p w14:paraId="39B62D0B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应比较普通热度预取和截止时间感知预热的命中率、跨域字节数、过期副本比例及 P99 首 Token 时延。</w:t>
      </w:r>
    </w:p>
    <w:p w14:paraId="4D094BC6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CDN 预热本身成熟。应避免把“按热度复制”作为创新，而将兼容容量、到达时限和推理节省的耦合优化作为重点。</w:t>
      </w:r>
    </w:p>
    <w:p w14:paraId="46918D1E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P5 多租户 KV 缓存的能力令牌隔离与侧信道抑制方法</w:t>
      </w:r>
    </w:p>
    <w:p w14:paraId="15DAE235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对 KV 目录可见性、对象访问权和命中时延差进行协同控制，使共享缓存不会暴露其他租户的提示词或知识库使用痕迹。</w:t>
      </w:r>
    </w:p>
    <w:p w14:paraId="23C223F1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7342D635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为 KV 对象绑定租户域、地域域、用途域、模型域和有效期限；</w:t>
      </w:r>
    </w:p>
    <w:p w14:paraId="77C5C1B1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以短期能力令牌控制目录查询、对象拉取和加载行为；</w:t>
      </w:r>
    </w:p>
    <w:p w14:paraId="2B9AA7A5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对公共模块与私有模块采用不同的目录可见性和候选集合；</w:t>
      </w:r>
    </w:p>
    <w:p w14:paraId="30A45B65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针对高敏对象采用固定响应窗、虚拟拉取、延迟扰动或隔离调度，以抑制命中与未命中的时延差；</w:t>
      </w:r>
    </w:p>
    <w:p w14:paraId="06252D98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在令牌失效、知识库更新、模型切换或合规边界变化时联动撤销可用状态。</w:t>
      </w:r>
    </w:p>
    <w:p w14:paraId="682FF76D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降低目录枚举、缓存命中时延和跨域访问路径泄露租户上下文的风险，同时保持可控 SLA。</w:t>
      </w:r>
    </w:p>
    <w:p w14:paraId="783EE751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建立攻击者通过响应时延推断缓存状态的实验；比较启用隔离与侧信道抑制前后的推断成功率和时延开销。</w:t>
      </w:r>
    </w:p>
    <w:p w14:paraId="5DF920F6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安全机制需要具体实现，不能只写“加密”或“隔离”。优先覆盖目录、令牌和调度时序的组合动作。</w:t>
      </w:r>
    </w:p>
    <w:p w14:paraId="64D27B3A">
      <w:pPr>
        <w:pStyle w:val="4"/>
        <w:keepNext/>
        <w:spacing w:before="180" w:after="80"/>
      </w:pPr>
      <w:r>
        <w:rPr>
          <w:rFonts w:ascii="微软雅黑" w:hAnsi="微软雅黑" w:eastAsia="微软雅黑"/>
          <w:b/>
          <w:color w:val="000000"/>
          <w:sz w:val="23"/>
        </w:rPr>
        <w:t>P6 基于质量置信度的 PIC 缓存装配与回退方法</w:t>
      </w:r>
    </w:p>
    <w:p w14:paraId="041B8A50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定位：</w:t>
      </w:r>
      <w:r>
        <w:rPr>
          <w:rFonts w:ascii="微软雅黑" w:hAnsi="微软雅黑" w:eastAsia="微软雅黑"/>
          <w:color w:val="000000"/>
          <w:sz w:val="21"/>
        </w:rPr>
        <w:t>不争夺位置无关缓存本身，而保护针对具体模块组合和模型版本，决定是否装配、重算多少边界、何时回退的质量控制闭环。</w:t>
      </w:r>
    </w:p>
    <w:p w14:paraId="25DF69C0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建议的独立权利要求骨架：</w:t>
      </w:r>
    </w:p>
    <w:p w14:paraId="56309B69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针对模块排列、模型版本、边界类型和上下文长度建立离线质量画像；</w:t>
      </w:r>
    </w:p>
    <w:p w14:paraId="4BD1A05D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在线预测当前模块组合的装配质量置信度；</w:t>
      </w:r>
    </w:p>
    <w:p w14:paraId="55873982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依据质量置信度选择直接装配、不同规模的边界重算或全量重算；</w:t>
      </w:r>
    </w:p>
    <w:p w14:paraId="6C2C2E36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在置信度低于阈值时禁止 PIC 装配并回退至合法依赖边界重算；</w:t>
      </w:r>
    </w:p>
    <w:p w14:paraId="1DA94B9E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将线上质量代理指标回写质量画像以更新后续决策。</w:t>
      </w:r>
    </w:p>
    <w:p w14:paraId="2F34160F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预期技术效果：</w:t>
      </w:r>
      <w:r>
        <w:rPr>
          <w:rFonts w:ascii="微软雅黑" w:hAnsi="微软雅黑" w:eastAsia="微软雅黑"/>
          <w:color w:val="000000"/>
          <w:sz w:val="21"/>
        </w:rPr>
        <w:t>在保持回答质量和工具调用正确性的前提下减少不必要 Prefill，避免 PIC 在不适用上下文中造成质量劣化。</w:t>
      </w:r>
    </w:p>
    <w:p w14:paraId="03832850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撰写前需补的证据：</w:t>
      </w:r>
      <w:r>
        <w:rPr>
          <w:rFonts w:ascii="微软雅黑" w:hAnsi="微软雅黑" w:eastAsia="微软雅黑"/>
          <w:color w:val="000000"/>
          <w:sz w:val="21"/>
        </w:rPr>
        <w:t>在 RAG、工具调用和多轮 Agent 任务上，提供不同边界重算预算的质量、TTFT 与吞吐数据。</w:t>
      </w:r>
    </w:p>
    <w:p w14:paraId="29C97C4E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风险与边界：</w:t>
      </w:r>
      <w:r>
        <w:rPr>
          <w:rFonts w:ascii="微软雅黑" w:hAnsi="微软雅黑" w:eastAsia="微软雅黑"/>
          <w:color w:val="000000"/>
          <w:sz w:val="21"/>
        </w:rPr>
        <w:t>PIC 与选择性重算已有较多公开。需要将权利要求聚焦于可量化的质量置信度、在线回退和画像闭环。</w:t>
      </w:r>
    </w:p>
    <w:p w14:paraId="0AB31727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四 暂不建议单独申请的主题</w:t>
      </w:r>
    </w:p>
    <w:p w14:paraId="22EBDFBC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KV Cache CDN 系统：概念范围过宽，容易被 CDN、分布式缓存、PD 分离和 KV 池化等现有技术覆盖。</w:t>
      </w:r>
    </w:p>
    <w:p w14:paraId="13DD3C87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根据带宽选择传输或重算：已有公开涉及实时状态下异步传输和重算比例分配，应避免作为独立发明点。</w:t>
      </w:r>
    </w:p>
    <w:p w14:paraId="2A7B7AB7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按热度从 DRAM 或 NVMe 预取 KV 到 GPU：已有 KV 调度和分层预取公开，除非结合新的跨域正确性或到达时限机制。</w:t>
      </w:r>
    </w:p>
    <w:p w14:paraId="2A36D177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P2P KV 网络与 Token 激励：合规、安全和可实施性不确定。若缺乏可验证抗投毒协议，不宜绑定实时企业推理主专利。</w:t>
      </w:r>
    </w:p>
    <w:p w14:paraId="1B4D3109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五 推荐申报顺序与准备材料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44F976C">
        <w:trPr>
          <w:tblHeader/>
          <w:jc w:val="center"/>
        </w:trPr>
        <w:tc>
          <w:tcPr>
            <w:tcW w:w="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1A21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7AAC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建议专利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1B0A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立项前必须完成的材料</w:t>
            </w:r>
          </w:p>
        </w:tc>
      </w:tr>
      <w:tr w14:paraId="74E5D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10B2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第一批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BE1F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P1 兼容性证明；P3 依赖闭包恢复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DC3B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系统架构图、状态机、兼容性字段定义、依赖图示例、故障恢复实验</w:t>
            </w:r>
          </w:p>
        </w:tc>
      </w:tr>
      <w:tr w14:paraId="7B96B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9DF0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第二批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809E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P2 风险感知亲和路由；P4 分级预热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93A9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目标函数、路由时序图、真实 WAN 或网络仿真数据、P95/P99 指标</w:t>
            </w:r>
          </w:p>
        </w:tc>
      </w:tr>
      <w:tr w14:paraId="09E69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61273"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第三批</w:t>
            </w:r>
          </w:p>
        </w:tc>
        <w:tc>
          <w:tcPr>
            <w:tcW w:w="30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6D4A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P5 租户安全；P6 PIC 质量控制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F812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000000"/>
                <w:sz w:val="17"/>
              </w:rPr>
              <w:t>威胁模型、攻击实验、质量回归集、在线回退策略和边界条件</w:t>
            </w:r>
          </w:p>
        </w:tc>
      </w:tr>
    </w:tbl>
    <w:p w14:paraId="4316C9E4">
      <w:pPr>
        <w:spacing w:after="40"/>
      </w:pPr>
    </w:p>
    <w:p w14:paraId="4910ADD7">
      <w:pPr>
        <w:spacing w:after="100" w:line="324" w:lineRule="auto"/>
      </w:pPr>
      <w:r>
        <w:rPr>
          <w:rFonts w:ascii="微软雅黑" w:hAnsi="微软雅黑" w:eastAsia="微软雅黑"/>
          <w:i w:val="0"/>
          <w:color w:val="000000"/>
          <w:sz w:val="21"/>
        </w:rPr>
        <w:t>建议每件专利至少准备一张系统图、一张状态机或时序图、一个可计算的判定公式，以及三类实施例。技术效果应尽量落实为降低跨域字节数、降低 P99 TTFT、减少无效重算、阻断不兼容 KV 加载或降低侧信道推断成功率。</w:t>
      </w:r>
    </w:p>
    <w:p w14:paraId="7CDB94AD">
      <w:pPr>
        <w:pStyle w:val="3"/>
        <w:keepNext/>
        <w:spacing w:before="260" w:after="120"/>
      </w:pPr>
      <w:r>
        <w:rPr>
          <w:rFonts w:ascii="微软雅黑" w:hAnsi="微软雅黑" w:eastAsia="微软雅黑"/>
          <w:b/>
          <w:color w:val="000000"/>
          <w:sz w:val="28"/>
        </w:rPr>
        <w:t>六 初步公开线索与正式检索提示</w:t>
      </w:r>
    </w:p>
    <w:p w14:paraId="29DCBD93">
      <w:pPr>
        <w:spacing w:after="100" w:line="324" w:lineRule="auto"/>
      </w:pPr>
      <w:r>
        <w:rPr>
          <w:rFonts w:ascii="微软雅黑" w:hAnsi="微软雅黑" w:eastAsia="微软雅黑"/>
          <w:i w:val="0"/>
          <w:color w:val="000000"/>
          <w:sz w:val="21"/>
        </w:rPr>
        <w:t>初步公开线索显示，KV 预测调度、预取和传输与重算的基础动作已有较多公开；下列材料仅用于立项时避开过宽主张，不构成正式的新颖性、创造性或自由实施结论。提交前应按拟申请国家开展专利和非专利文献检索。</w:t>
      </w:r>
    </w:p>
    <w:p w14:paraId="47CF9941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CN120276667A：Key value cache data scheduling method, large model reasoning method and device。涉及预测后续 Token 所需 KV 并在存储层间调度。</w:t>
      </w:r>
    </w:p>
    <w:p w14:paraId="668DBBF6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US20260105328A1：Inference computation methods and apparatuses for large model。涉及基于系统实时状态分配异步 KV 传输与重算部分。</w:t>
      </w:r>
    </w:p>
    <w:p w14:paraId="627944DA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CacheGen: KV Cache Compression and Streaming for Fast Large Language Model Serving。涉及 KV 压缩、带宽自适应以及在带宽下降时的重算策略。</w:t>
      </w:r>
    </w:p>
    <w:p w14:paraId="5D7F3F80">
      <w:pPr>
        <w:pStyle w:val="16"/>
        <w:spacing w:after="40" w:line="300" w:lineRule="auto"/>
      </w:pPr>
      <w:r>
        <w:rPr>
          <w:rFonts w:ascii="微软雅黑" w:hAnsi="微软雅黑" w:eastAsia="微软雅黑"/>
          <w:color w:val="000000"/>
          <w:sz w:val="20"/>
        </w:rPr>
        <w:t>EPIC: Efficient Position Independent Context Caching for Serving Large Language Models；CacheBlend: Fast Large Language Model Serving for RAG with Cached Knowledge Fusion。涉及位置无关缓存和选择性重算。</w:t>
      </w:r>
    </w:p>
    <w:p w14:paraId="2D1098ED">
      <w:pPr>
        <w:spacing w:after="100" w:line="324" w:lineRule="auto"/>
      </w:pPr>
      <w:r>
        <w:rPr>
          <w:rFonts w:ascii="微软雅黑" w:hAnsi="微软雅黑" w:eastAsia="微软雅黑"/>
          <w:b/>
          <w:color w:val="000000"/>
          <w:sz w:val="21"/>
        </w:rPr>
        <w:t>说明：</w:t>
      </w:r>
      <w:r>
        <w:rPr>
          <w:rFonts w:ascii="微软雅黑" w:hAnsi="微软雅黑" w:eastAsia="微软雅黑"/>
          <w:color w:val="000000"/>
          <w:sz w:val="21"/>
        </w:rPr>
        <w:t>本文件为技术方案与专利挖掘建议，不构成法律意见。专利权利要求的范围、可授权性、优先权策略和自由实施分析，应由具备相应资格的专利代理师或律师结合正式检索结果确定。</w:t>
      </w:r>
    </w:p>
    <w:sectPr>
      <w:footerReference r:id="rId5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00401">
    <w:pPr>
      <w:pStyle w:val="24"/>
      <w:jc w:val="center"/>
    </w:pPr>
    <w:r>
      <w:rPr>
        <w:rFonts w:ascii="微软雅黑" w:hAnsi="微软雅黑" w:eastAsia="微软雅黑"/>
        <w:color w:val="5A5A5A"/>
        <w:sz w:val="17"/>
      </w:rPr>
      <w:t>KV Cache CDN 专利申请方向建议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70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3990</Words>
  <Characters>4567</Characters>
  <Lines>0</Lines>
  <Paragraphs>0</Paragraphs>
  <TotalTime>971</TotalTime>
  <ScaleCrop>false</ScaleCrop>
  <LinksUpToDate>false</LinksUpToDate>
  <CharactersWithSpaces>4808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兮兮爸爸</dc:creator>
  <dc:description>generated by python-docx</dc:description>
  <cp:lastModifiedBy>兮兮爸爸</cp:lastModifiedBy>
  <dcterms:modified xsi:type="dcterms:W3CDTF">2026-09-16T01:52:00Z</dcterms:modified>
  <dc:subject>面向跨地域大模型推理的专利组合初步挖掘</dc:subject>
  <dc:title>KV Cache CDN 专利申请方向建议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eyJoZGlkIjoiOWI3YjdiYmY0ZjY0ZTViZGJiOGEwZDBmOTMzMDU0YWQiLCJ1c2VySWQiOiI1ODY5MDMyNjYifQ==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81F1ADDDA2104F049F916D6A04CCD41B_12</vt:lpwstr>
  </property>
</Properties>
</file>