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Cyber Law H5P Study — Copy-Paste Content for Lumi</w:t>
      </w:r>
    </w:p>
    <w:p>
      <w:pPr/>
      <w:r>
        <w:t xml:space="preserve">Oct 11, 2026</w:t>
      </w:r>
      <w:r>
        <w:t xml:space="preserve"> · </w:t>
      </w:r>
      <w:r>
        <w:t xml:space="preserve">@Monirul</w:t>
      </w:r>
    </w:p>
    <w:p>
      <w:pPr>
        <w:pStyle w:val="Heading2"/>
      </w:pPr>
      <w:r>
        <w:t xml:space="preserve">How to use this doc</w:t>
      </w:r>
    </w:p>
    <w:p>
      <w:pPr/>
      <w:r>
        <w:t xml:space="preserve">Each section below is one H5P file. Copy the text under each label into the matching field in Lumi, top to bottom. The correct option is marked ✔; do not paste the ✔ symbol.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Label</w:t>
            </w:r>
          </w:p>
        </w:tc>
        <w:tc>
          <w:tcPr>
            <w:tcW w:w="3120" w:type="dxa"/>
            <w:shd w:val="clear" w:color="auto" w:fill="F2F2F2"/>
          </w:tcPr>
          <w:p>
            <w:pPr/>
            <w:r>
              <w:t xml:space="preserve">Lumi element</w:t>
            </w:r>
          </w:p>
        </w:tc>
        <w:tc>
          <w:tcPr>
            <w:tcW w:w="3120" w:type="dxa"/>
            <w:shd w:val="clear" w:color="auto" w:fill="F2F2F2"/>
          </w:tcPr>
          <w:p>
            <w:pPr/>
            <w:r>
              <w:t xml:space="preserve">What to paste</w:t>
            </w:r>
          </w:p>
        </w:tc>
      </w:tr>
      <w:tr>
        <w:tc>
          <w:tcPr>
            <w:tcW w:w="3120" w:type="dxa"/>
          </w:tcPr>
          <w:p>
            <w:pPr/>
            <w:r>
              <w:rPr>
                <w:b/>
              </w:rPr>
              <w:t xml:space="preserve">SLIDE n</w:t>
            </w:r>
          </w:p>
        </w:tc>
        <w:tc>
          <w:tcPr>
            <w:tcW w:w="3120" w:type="dxa"/>
          </w:tcPr>
          <w:p>
            <w:pPr/>
            <w:r>
              <w:t xml:space="preserve">A new slide in Course Presentation</w:t>
            </w:r>
          </w:p>
        </w:tc>
        <w:tc>
          <w:tcPr>
            <w:tcW w:w="3120" w:type="dxa"/>
          </w:tcPr>
          <w:p>
            <w:pPr/>
            <w:r>
              <w:t xml:space="preserve">Nothing; just add the slide</w:t>
            </w:r>
          </w:p>
        </w:tc>
      </w:tr>
      <w:tr>
        <w:tc>
          <w:tcPr>
            <w:tcW w:w="3120" w:type="dxa"/>
          </w:tcPr>
          <w:p>
            <w:pPr/>
            <w:r>
              <w:rPr>
                <w:b/>
              </w:rPr>
              <w:t xml:space="preserve">TEXT</w:t>
            </w:r>
          </w:p>
        </w:tc>
        <w:tc>
          <w:tcPr>
            <w:tcW w:w="3120" w:type="dxa"/>
          </w:tcPr>
          <w:p>
            <w:pPr/>
            <w:r>
              <w:t xml:space="preserve">Text element on that slide</w:t>
            </w:r>
          </w:p>
        </w:tc>
        <w:tc>
          <w:tcPr>
            <w:tcW w:w="3120" w:type="dxa"/>
          </w:tcPr>
          <w:p>
            <w:pPr/>
            <w:r>
              <w:t xml:space="preserve">The text under the label</w:t>
            </w:r>
          </w:p>
        </w:tc>
      </w:tr>
      <w:tr>
        <w:tc>
          <w:tcPr>
            <w:tcW w:w="3120" w:type="dxa"/>
          </w:tcPr>
          <w:p>
            <w:pPr/>
            <w:r>
              <w:rPr>
                <w:b/>
              </w:rPr>
              <w:t xml:space="preserve">MC</w:t>
            </w:r>
          </w:p>
        </w:tc>
        <w:tc>
          <w:tcPr>
            <w:tcW w:w="3120" w:type="dxa"/>
          </w:tcPr>
          <w:p>
            <w:pPr/>
            <w:r>
              <w:t xml:space="preserve">Multiple Choice element</w:t>
            </w:r>
          </w:p>
        </w:tc>
        <w:tc>
          <w:tcPr>
            <w:tcW w:w="3120" w:type="dxa"/>
          </w:tcPr>
          <w:p>
            <w:pPr/>
            <w:r>
              <w:t xml:space="preserve">Question, then each option; tick the ✔ option as correct; paste the feedback</w:t>
            </w:r>
          </w:p>
        </w:tc>
      </w:tr>
      <w:tr>
        <w:tc>
          <w:tcPr>
            <w:tcW w:w="3120" w:type="dxa"/>
          </w:tcPr>
          <w:p>
            <w:pPr/>
            <w:r>
              <w:rPr>
                <w:b/>
              </w:rPr>
              <w:t xml:space="preserve">TF</w:t>
            </w:r>
          </w:p>
        </w:tc>
        <w:tc>
          <w:tcPr>
            <w:tcW w:w="3120" w:type="dxa"/>
          </w:tcPr>
          <w:p>
            <w:pPr/>
            <w:r>
              <w:t xml:space="preserve">True/False Question element</w:t>
            </w:r>
          </w:p>
        </w:tc>
        <w:tc>
          <w:tcPr>
            <w:tcW w:w="3120" w:type="dxa"/>
          </w:tcPr>
          <w:p>
            <w:pPr/>
            <w:r>
              <w:t xml:space="preserve">The statement; tick the correct answer; paste the feedback</w:t>
            </w:r>
          </w:p>
        </w:tc>
      </w:tr>
      <w:tr>
        <w:tc>
          <w:tcPr>
            <w:tcW w:w="3120" w:type="dxa"/>
          </w:tcPr>
          <w:p>
            <w:pPr/>
            <w:r>
              <w:rPr>
                <w:b/>
              </w:rPr>
              <w:t xml:space="preserve">DW</w:t>
            </w:r>
          </w:p>
        </w:tc>
        <w:tc>
          <w:tcPr>
            <w:tcW w:w="3120" w:type="dxa"/>
          </w:tcPr>
          <w:p>
            <w:pPr/>
            <w:r>
              <w:t xml:space="preserve">Drag the Words element</w:t>
            </w:r>
          </w:p>
        </w:tc>
        <w:tc>
          <w:tcPr>
            <w:tcW w:w="3120" w:type="dxa"/>
          </w:tcPr>
          <w:p>
            <w:pPr/>
            <w:r>
              <w:t xml:space="preserve">The text exactly as written; words between </w:t>
            </w:r>
            <w:r>
              <w:rPr>
                <w:i/>
              </w:rPr>
              <w:t xml:space="preserve">asterisks</w:t>
            </w:r>
            <w:r>
              <w:t xml:space="preserve"> become the draggable answers</w:t>
            </w:r>
          </w:p>
        </w:tc>
      </w:tr>
    </w:tbl>
    <w:p>
      <w:pPr/>
      <w:r>
        <w:t xml:space="preserve">Rules that keep both groups fair:</w:t>
      </w:r>
    </w:p>
    <w:p>
      <w:pPr>
        <w:pStyle w:val="ListParagraph"/>
        <w:numPr>
          <w:ilvl w:val="0"/>
          <w:numId w:val="2"/>
        </w:numPr>
      </w:pPr>
      <w:r>
        <w:t xml:space="preserve">The TEXT in these slides is the same text as the </w:t>
      </w:r>
      <w:r>
        <w:rPr>
          <w:i/>
        </w:rPr>
        <w:t xml:space="preserve">Group A Reading Text</w:t>
      </w:r>
      <w:r>
        <w:t xml:space="preserve">. Do not add extra facts in Lumi.</w:t>
      </w:r>
    </w:p>
    <w:p>
      <w:pPr>
        <w:pStyle w:val="ListParagraph"/>
        <w:numPr>
          <w:ilvl w:val="0"/>
          <w:numId w:val="2"/>
        </w:numPr>
      </w:pPr>
      <w:r>
        <w:t xml:space="preserve">Penalties are maximums. 1 lakh = BDT 100,000; 1 crore = BDT 10,000,000.</w:t>
      </w:r>
    </w:p>
    <w:p>
      <w:pPr>
        <w:pStyle w:val="ListParagraph"/>
        <w:numPr>
          <w:ilvl w:val="0"/>
          <w:numId w:val="2"/>
        </w:numPr>
      </w:pPr>
      <w:r>
        <w:t xml:space="preserve">Sections 20 and 33 are not in the source file and are not covered.</w:t>
      </w:r>
    </w:p>
    <w:p>
      <w:pPr>
        <w:pStyle w:val="ListParagraph"/>
        <w:numPr>
          <w:ilvl w:val="0"/>
          <w:numId w:val="2"/>
        </w:numPr>
      </w:pPr>
      <w:r>
        <w:t xml:space="preserve">The module questions here are different from the 15 test questions on purpose.</w:t>
      </w:r>
    </w:p>
    <w:p>
      <w:pPr>
        <w:pStyle w:val="Heading2"/>
      </w:pPr>
      <w:r>
        <w:t xml:space="preserve">H5P 1 and 7 — Test (build once as </w:t>
      </w:r>
      <w:r>
        <w:rPr>
          <w:rStyle w:val="CodeChar"/>
        </w:rPr>
        <w:t xml:space="preserve">pretest</w:t>
      </w:r>
      <w:r>
        <w:t xml:space="preserve">, save a copy as </w:t>
      </w:r>
      <w:r>
        <w:rPr>
          <w:rStyle w:val="CodeChar"/>
        </w:rPr>
        <w:t xml:space="preserve">posttest</w:t>
      </w:r>
      <w:r>
        <w:t xml:space="preserve">)</w:t>
      </w:r>
    </w:p>
    <w:p>
      <w:pPr/>
      <w:r>
        <w:rPr>
          <w:b/>
        </w:rPr>
        <w:t xml:space="preserve">Type:</w:t>
      </w:r>
      <w:r>
        <w:t xml:space="preserve"> Question Set with 15 Multiple Choice questions. </w:t>
      </w:r>
      <w:r>
        <w:rPr>
          <w:b/>
        </w:rPr>
        <w:t xml:space="preserve">Settings:</w:t>
      </w:r>
      <w:r>
        <w:t xml:space="preserve"> randomise questions on, randomise answers on, retry off, show solution off, no feedback text. Paste the question, then the four options; tick the ✔ option.</w:t>
      </w:r>
    </w:p>
    <w:p>
      <w:pPr/>
      <w:r>
        <w:rPr>
          <w:b/>
        </w:rPr>
        <w:t xml:space="preserve">Q1.</w:t>
      </w:r>
      <w:r>
        <w:t xml:space="preserve"> The Act is deemed to have come into force on:</w:t>
      </w:r>
    </w:p>
    <w:p>
      <w:pPr>
        <w:pStyle w:val="ListParagraph"/>
        <w:numPr>
          <w:ilvl w:val="0"/>
          <w:numId w:val="3"/>
        </w:numPr>
      </w:pPr>
      <w:r>
        <w:t xml:space="preserve">✔ 21 May 2025</w:t>
      </w:r>
    </w:p>
    <w:p>
      <w:pPr>
        <w:pStyle w:val="ListParagraph"/>
        <w:numPr>
          <w:ilvl w:val="0"/>
          <w:numId w:val="3"/>
        </w:numPr>
      </w:pPr>
      <w:r>
        <w:t xml:space="preserve">21 May 2026</w:t>
      </w:r>
    </w:p>
    <w:p>
      <w:pPr>
        <w:pStyle w:val="ListParagraph"/>
        <w:numPr>
          <w:ilvl w:val="0"/>
          <w:numId w:val="3"/>
        </w:numPr>
      </w:pPr>
      <w:r>
        <w:t xml:space="preserve">1 January 2026</w:t>
      </w:r>
    </w:p>
    <w:p>
      <w:pPr>
        <w:pStyle w:val="ListParagraph"/>
        <w:numPr>
          <w:ilvl w:val="0"/>
          <w:numId w:val="3"/>
        </w:numPr>
      </w:pPr>
      <w:r>
        <w:t xml:space="preserve">The date it was published in the Gazette</w:t>
      </w:r>
    </w:p>
    <w:p>
      <w:pPr/>
      <w:r>
        <w:rPr>
          <w:b/>
        </w:rPr>
        <w:t xml:space="preserve">Q2.</w:t>
      </w:r>
      <w:r>
        <w:t xml:space="preserve"> Which law's provisions on the right to information remain effective despite this Act?</w:t>
      </w:r>
    </w:p>
    <w:p>
      <w:pPr>
        <w:pStyle w:val="ListParagraph"/>
        <w:numPr>
          <w:ilvl w:val="0"/>
          <w:numId w:val="4"/>
        </w:numPr>
      </w:pPr>
      <w:r>
        <w:t xml:space="preserve">✔ Right to Information Act, 2009</w:t>
      </w:r>
    </w:p>
    <w:p>
      <w:pPr>
        <w:pStyle w:val="ListParagraph"/>
        <w:numPr>
          <w:ilvl w:val="0"/>
          <w:numId w:val="4"/>
        </w:numPr>
      </w:pPr>
      <w:r>
        <w:t xml:space="preserve">Information and Communication Technology Act, 2006</w:t>
      </w:r>
    </w:p>
    <w:p>
      <w:pPr>
        <w:pStyle w:val="ListParagraph"/>
        <w:numPr>
          <w:ilvl w:val="0"/>
          <w:numId w:val="4"/>
        </w:numPr>
      </w:pPr>
      <w:r>
        <w:t xml:space="preserve">Evidence Act, 1872</w:t>
      </w:r>
    </w:p>
    <w:p>
      <w:pPr>
        <w:pStyle w:val="ListParagraph"/>
        <w:numPr>
          <w:ilvl w:val="0"/>
          <w:numId w:val="4"/>
        </w:numPr>
      </w:pPr>
      <w:r>
        <w:t xml:space="preserve">Code of Criminal Procedure, 1898</w:t>
      </w:r>
    </w:p>
    <w:p>
      <w:pPr/>
      <w:r>
        <w:rPr>
          <w:b/>
        </w:rPr>
        <w:t xml:space="preserve">Q3.</w:t>
      </w:r>
      <w:r>
        <w:t xml:space="preserve"> A person outside Bangladesh uses a computer located in Bangladesh to commit an offence inside Bangladesh. The Act treats this as:</w:t>
      </w:r>
    </w:p>
    <w:p>
      <w:pPr>
        <w:pStyle w:val="ListParagraph"/>
        <w:numPr>
          <w:ilvl w:val="0"/>
          <w:numId w:val="5"/>
        </w:numPr>
      </w:pPr>
      <w:r>
        <w:t xml:space="preserve">✔ Committed wholly in Bangladesh</w:t>
      </w:r>
    </w:p>
    <w:p>
      <w:pPr>
        <w:pStyle w:val="ListParagraph"/>
        <w:numPr>
          <w:ilvl w:val="0"/>
          <w:numId w:val="5"/>
        </w:numPr>
      </w:pPr>
      <w:r>
        <w:t xml:space="preserve">Committed abroad</w:t>
      </w:r>
    </w:p>
    <w:p>
      <w:pPr>
        <w:pStyle w:val="ListParagraph"/>
        <w:numPr>
          <w:ilvl w:val="0"/>
          <w:numId w:val="5"/>
        </w:numPr>
      </w:pPr>
      <w:r>
        <w:t xml:space="preserve">Outside the Act</w:t>
      </w:r>
    </w:p>
    <w:p>
      <w:pPr>
        <w:pStyle w:val="ListParagraph"/>
        <w:numPr>
          <w:ilvl w:val="0"/>
          <w:numId w:val="5"/>
        </w:numPr>
      </w:pPr>
      <w:r>
        <w:t xml:space="preserve">Only a civil matter</w:t>
      </w:r>
    </w:p>
    <w:p>
      <w:pPr/>
      <w:r>
        <w:rPr>
          <w:b/>
        </w:rPr>
        <w:t xml:space="preserve">Q4.</w:t>
      </w:r>
      <w:r>
        <w:t xml:space="preserve"> How often must every Security Operation Center report to the National Security Operation Center?</w:t>
      </w:r>
    </w:p>
    <w:p>
      <w:pPr>
        <w:pStyle w:val="ListParagraph"/>
        <w:numPr>
          <w:ilvl w:val="0"/>
          <w:numId w:val="6"/>
        </w:numPr>
      </w:pPr>
      <w:r>
        <w:t xml:space="preserve">✔ Every quarter (3 months)</w:t>
      </w:r>
    </w:p>
    <w:p>
      <w:pPr>
        <w:pStyle w:val="ListParagraph"/>
        <w:numPr>
          <w:ilvl w:val="0"/>
          <w:numId w:val="6"/>
        </w:numPr>
      </w:pPr>
      <w:r>
        <w:t xml:space="preserve">Every month</w:t>
      </w:r>
    </w:p>
    <w:p>
      <w:pPr>
        <w:pStyle w:val="ListParagraph"/>
        <w:numPr>
          <w:ilvl w:val="0"/>
          <w:numId w:val="6"/>
        </w:numPr>
      </w:pPr>
      <w:r>
        <w:t xml:space="preserve">Once a year</w:t>
      </w:r>
    </w:p>
    <w:p>
      <w:pPr>
        <w:pStyle w:val="ListParagraph"/>
        <w:numPr>
          <w:ilvl w:val="0"/>
          <w:numId w:val="6"/>
        </w:numPr>
      </w:pPr>
      <w:r>
        <w:t xml:space="preserve">Only when asked</w:t>
      </w:r>
    </w:p>
    <w:p>
      <w:pPr/>
      <w:r>
        <w:rPr>
          <w:b/>
        </w:rPr>
        <w:t xml:space="preserve">Q5.</w:t>
      </w:r>
      <w:r>
        <w:t xml:space="preserve"> After content is blocked under section 8, within how many days must the Tribunal's permission be obtained?</w:t>
      </w:r>
    </w:p>
    <w:p>
      <w:pPr>
        <w:pStyle w:val="ListParagraph"/>
        <w:numPr>
          <w:ilvl w:val="0"/>
          <w:numId w:val="7"/>
        </w:numPr>
      </w:pPr>
      <w:r>
        <w:t xml:space="preserve">✔ 3 days</w:t>
      </w:r>
    </w:p>
    <w:p>
      <w:pPr>
        <w:pStyle w:val="ListParagraph"/>
        <w:numPr>
          <w:ilvl w:val="0"/>
          <w:numId w:val="7"/>
        </w:numPr>
      </w:pPr>
      <w:r>
        <w:t xml:space="preserve">7 days</w:t>
      </w:r>
    </w:p>
    <w:p>
      <w:pPr>
        <w:pStyle w:val="ListParagraph"/>
        <w:numPr>
          <w:ilvl w:val="0"/>
          <w:numId w:val="7"/>
        </w:numPr>
      </w:pPr>
      <w:r>
        <w:t xml:space="preserve">15 days</w:t>
      </w:r>
    </w:p>
    <w:p>
      <w:pPr>
        <w:pStyle w:val="ListParagraph"/>
        <w:numPr>
          <w:ilvl w:val="0"/>
          <w:numId w:val="7"/>
        </w:numPr>
      </w:pPr>
      <w:r>
        <w:t xml:space="preserve">30 days</w:t>
      </w:r>
    </w:p>
    <w:p>
      <w:pPr/>
      <w:r>
        <w:rPr>
          <w:b/>
        </w:rPr>
        <w:t xml:space="preserve">Q6.</w:t>
      </w:r>
      <w:r>
        <w:t xml:space="preserve"> Who chairs the National Cyber Security Council?</w:t>
      </w:r>
    </w:p>
    <w:p>
      <w:pPr>
        <w:pStyle w:val="ListParagraph"/>
        <w:numPr>
          <w:ilvl w:val="0"/>
          <w:numId w:val="8"/>
        </w:numPr>
      </w:pPr>
      <w:r>
        <w:t xml:space="preserve">✔ The Prime Minister</w:t>
      </w:r>
    </w:p>
    <w:p>
      <w:pPr>
        <w:pStyle w:val="ListParagraph"/>
        <w:numPr>
          <w:ilvl w:val="0"/>
          <w:numId w:val="8"/>
        </w:numPr>
      </w:pPr>
      <w:r>
        <w:t xml:space="preserve">The Minister of Posts, Telecommunications and Information Technology</w:t>
      </w:r>
    </w:p>
    <w:p>
      <w:pPr>
        <w:pStyle w:val="ListParagraph"/>
        <w:numPr>
          <w:ilvl w:val="0"/>
          <w:numId w:val="8"/>
        </w:numPr>
      </w:pPr>
      <w:r>
        <w:t xml:space="preserve">The Chief Justice</w:t>
      </w:r>
    </w:p>
    <w:p>
      <w:pPr>
        <w:pStyle w:val="ListParagraph"/>
        <w:numPr>
          <w:ilvl w:val="0"/>
          <w:numId w:val="8"/>
        </w:numPr>
      </w:pPr>
      <w:r>
        <w:t xml:space="preserve">The Director General of the Agency</w:t>
      </w:r>
    </w:p>
    <w:p>
      <w:pPr/>
      <w:r>
        <w:rPr>
          <w:b/>
        </w:rPr>
        <w:t xml:space="preserve">Q7.</w:t>
      </w:r>
      <w:r>
        <w:t xml:space="preserve"> What is the maximum imprisonment for unlawful access to Critical Information Infrastructure that also steals, destroys or alters data (section 17, second limb)?</w:t>
      </w:r>
    </w:p>
    <w:p>
      <w:pPr>
        <w:pStyle w:val="ListParagraph"/>
        <w:numPr>
          <w:ilvl w:val="0"/>
          <w:numId w:val="9"/>
        </w:numPr>
      </w:pPr>
      <w:r>
        <w:t xml:space="preserve">✔ 7 years</w:t>
      </w:r>
    </w:p>
    <w:p>
      <w:pPr>
        <w:pStyle w:val="ListParagraph"/>
        <w:numPr>
          <w:ilvl w:val="0"/>
          <w:numId w:val="9"/>
        </w:numPr>
      </w:pPr>
      <w:r>
        <w:t xml:space="preserve">5 years</w:t>
      </w:r>
    </w:p>
    <w:p>
      <w:pPr>
        <w:pStyle w:val="ListParagraph"/>
        <w:numPr>
          <w:ilvl w:val="0"/>
          <w:numId w:val="9"/>
        </w:numPr>
      </w:pPr>
      <w:r>
        <w:t xml:space="preserve">10 years</w:t>
      </w:r>
    </w:p>
    <w:p>
      <w:pPr>
        <w:pStyle w:val="ListParagraph"/>
        <w:numPr>
          <w:ilvl w:val="0"/>
          <w:numId w:val="9"/>
        </w:numPr>
      </w:pPr>
      <w:r>
        <w:t xml:space="preserve">2 years</w:t>
      </w:r>
    </w:p>
    <w:p>
      <w:pPr/>
      <w:r>
        <w:rPr>
          <w:b/>
        </w:rPr>
        <w:t xml:space="preserve">Q8.</w:t>
      </w:r>
      <w:r>
        <w:t xml:space="preserve"> If an offence under section 25 (blackmail, sexual harassment and similar) is committed against a woman or a child under 18, the maximum fine is:</w:t>
      </w:r>
    </w:p>
    <w:p>
      <w:pPr>
        <w:pStyle w:val="ListParagraph"/>
        <w:numPr>
          <w:ilvl w:val="0"/>
          <w:numId w:val="10"/>
        </w:numPr>
      </w:pPr>
      <w:r>
        <w:t xml:space="preserve">✔ BDT 20 lakh</w:t>
      </w:r>
    </w:p>
    <w:p>
      <w:pPr>
        <w:pStyle w:val="ListParagraph"/>
        <w:numPr>
          <w:ilvl w:val="0"/>
          <w:numId w:val="10"/>
        </w:numPr>
      </w:pPr>
      <w:r>
        <w:t xml:space="preserve">BDT 10 lakh</w:t>
      </w:r>
    </w:p>
    <w:p>
      <w:pPr>
        <w:pStyle w:val="ListParagraph"/>
        <w:numPr>
          <w:ilvl w:val="0"/>
          <w:numId w:val="10"/>
        </w:numPr>
      </w:pPr>
      <w:r>
        <w:t xml:space="preserve">BDT 50 lakh</w:t>
      </w:r>
    </w:p>
    <w:p>
      <w:pPr>
        <w:pStyle w:val="ListParagraph"/>
        <w:numPr>
          <w:ilvl w:val="0"/>
          <w:numId w:val="10"/>
        </w:numPr>
      </w:pPr>
      <w:r>
        <w:t xml:space="preserve">BDT 1 crore</w:t>
      </w:r>
    </w:p>
    <w:p>
      <w:pPr/>
      <w:r>
        <w:rPr>
          <w:b/>
        </w:rPr>
        <w:t xml:space="preserve">Q9.</w:t>
      </w:r>
      <w:r>
        <w:t xml:space="preserve"> A company with legal personality that commits an offence under the Act can be punished with:</w:t>
      </w:r>
    </w:p>
    <w:p>
      <w:pPr>
        <w:pStyle w:val="ListParagraph"/>
        <w:numPr>
          <w:ilvl w:val="0"/>
          <w:numId w:val="11"/>
        </w:numPr>
      </w:pPr>
      <w:r>
        <w:t xml:space="preserve">✔ A fine only</w:t>
      </w:r>
    </w:p>
    <w:p>
      <w:pPr>
        <w:pStyle w:val="ListParagraph"/>
        <w:numPr>
          <w:ilvl w:val="0"/>
          <w:numId w:val="11"/>
        </w:numPr>
      </w:pPr>
      <w:r>
        <w:t xml:space="preserve">Imprisonment only</w:t>
      </w:r>
    </w:p>
    <w:p>
      <w:pPr>
        <w:pStyle w:val="ListParagraph"/>
        <w:numPr>
          <w:ilvl w:val="0"/>
          <w:numId w:val="11"/>
        </w:numPr>
      </w:pPr>
      <w:r>
        <w:t xml:space="preserve">Both imprisonment and fine</w:t>
      </w:r>
    </w:p>
    <w:p>
      <w:pPr>
        <w:pStyle w:val="ListParagraph"/>
        <w:numPr>
          <w:ilvl w:val="0"/>
          <w:numId w:val="11"/>
        </w:numPr>
      </w:pPr>
      <w:r>
        <w:t xml:space="preserve">No punishment</w:t>
      </w:r>
    </w:p>
    <w:p>
      <w:pPr/>
      <w:r>
        <w:rPr>
          <w:b/>
        </w:rPr>
        <w:t xml:space="preserve">Q10.</w:t>
      </w:r>
      <w:r>
        <w:t xml:space="preserve"> For a case filed under section 21, 25 or 26, the case record must be produced before the Magistrate within:</w:t>
      </w:r>
    </w:p>
    <w:p>
      <w:pPr>
        <w:pStyle w:val="ListParagraph"/>
        <w:numPr>
          <w:ilvl w:val="0"/>
          <w:numId w:val="12"/>
        </w:numPr>
      </w:pPr>
      <w:r>
        <w:t xml:space="preserve">✔ 24 hours</w:t>
      </w:r>
    </w:p>
    <w:p>
      <w:pPr>
        <w:pStyle w:val="ListParagraph"/>
        <w:numPr>
          <w:ilvl w:val="0"/>
          <w:numId w:val="12"/>
        </w:numPr>
      </w:pPr>
      <w:r>
        <w:t xml:space="preserve">3 days</w:t>
      </w:r>
    </w:p>
    <w:p>
      <w:pPr>
        <w:pStyle w:val="ListParagraph"/>
        <w:numPr>
          <w:ilvl w:val="0"/>
          <w:numId w:val="12"/>
        </w:numPr>
      </w:pPr>
      <w:r>
        <w:t xml:space="preserve">7 days</w:t>
      </w:r>
    </w:p>
    <w:p>
      <w:pPr>
        <w:pStyle w:val="ListParagraph"/>
        <w:numPr>
          <w:ilvl w:val="0"/>
          <w:numId w:val="12"/>
        </w:numPr>
      </w:pPr>
      <w:r>
        <w:t xml:space="preserve">30 days</w:t>
      </w:r>
    </w:p>
    <w:p>
      <w:pPr/>
      <w:r>
        <w:rPr>
          <w:b/>
        </w:rPr>
        <w:t xml:space="preserve">Q11.</w:t>
      </w:r>
      <w:r>
        <w:t xml:space="preserve"> Police may search, seize and arrest without a warrant when:</w:t>
      </w:r>
    </w:p>
    <w:p>
      <w:pPr>
        <w:pStyle w:val="ListParagraph"/>
        <w:numPr>
          <w:ilvl w:val="0"/>
          <w:numId w:val="13"/>
        </w:numPr>
      </w:pPr>
      <w:r>
        <w:t xml:space="preserve">✔ There is a cyber attack on Critical Information Infrastructure, or unlawful access/hacking, and evidence is likely to be lost</w:t>
      </w:r>
    </w:p>
    <w:p>
      <w:pPr>
        <w:pStyle w:val="ListParagraph"/>
        <w:numPr>
          <w:ilvl w:val="0"/>
          <w:numId w:val="13"/>
        </w:numPr>
      </w:pPr>
      <w:r>
        <w:t xml:space="preserve">Any offence under the Act is suspected</w:t>
      </w:r>
    </w:p>
    <w:p>
      <w:pPr>
        <w:pStyle w:val="ListParagraph"/>
        <w:numPr>
          <w:ilvl w:val="0"/>
          <w:numId w:val="13"/>
        </w:numPr>
      </w:pPr>
      <w:r>
        <w:t xml:space="preserve">The Council sends a request</w:t>
      </w:r>
    </w:p>
    <w:p>
      <w:pPr>
        <w:pStyle w:val="ListParagraph"/>
        <w:numPr>
          <w:ilvl w:val="0"/>
          <w:numId w:val="13"/>
        </w:numPr>
      </w:pPr>
      <w:r>
        <w:t xml:space="preserve">The suspect is a foreign national</w:t>
      </w:r>
    </w:p>
    <w:p>
      <w:pPr/>
      <w:r>
        <w:rPr>
          <w:b/>
        </w:rPr>
        <w:t xml:space="preserve">Q12.</w:t>
      </w:r>
      <w:r>
        <w:t xml:space="preserve"> The Tribunal's judge must dispose of a case within what period from the date of framing of charge?</w:t>
      </w:r>
    </w:p>
    <w:p>
      <w:pPr>
        <w:pStyle w:val="ListParagraph"/>
        <w:numPr>
          <w:ilvl w:val="0"/>
          <w:numId w:val="14"/>
        </w:numPr>
      </w:pPr>
      <w:r>
        <w:t xml:space="preserve">✔ 180 working days</w:t>
      </w:r>
    </w:p>
    <w:p>
      <w:pPr>
        <w:pStyle w:val="ListParagraph"/>
        <w:numPr>
          <w:ilvl w:val="0"/>
          <w:numId w:val="14"/>
        </w:numPr>
      </w:pPr>
      <w:r>
        <w:t xml:space="preserve">30 days</w:t>
      </w:r>
    </w:p>
    <w:p>
      <w:pPr>
        <w:pStyle w:val="ListParagraph"/>
        <w:numPr>
          <w:ilvl w:val="0"/>
          <w:numId w:val="14"/>
        </w:numPr>
      </w:pPr>
      <w:r>
        <w:t xml:space="preserve">90 days</w:t>
      </w:r>
    </w:p>
    <w:p>
      <w:pPr>
        <w:pStyle w:val="ListParagraph"/>
        <w:numPr>
          <w:ilvl w:val="0"/>
          <w:numId w:val="14"/>
        </w:numPr>
      </w:pPr>
      <w:r>
        <w:t xml:space="preserve">365 days</w:t>
      </w:r>
    </w:p>
    <w:p>
      <w:pPr/>
      <w:r>
        <w:rPr>
          <w:b/>
        </w:rPr>
        <w:t xml:space="preserve">Q13.</w:t>
      </w:r>
      <w:r>
        <w:t xml:space="preserve"> Which group contains only non-bailable offences?</w:t>
      </w:r>
    </w:p>
    <w:p>
      <w:pPr>
        <w:pStyle w:val="ListParagraph"/>
        <w:numPr>
          <w:ilvl w:val="0"/>
          <w:numId w:val="15"/>
        </w:numPr>
      </w:pPr>
      <w:r>
        <w:t xml:space="preserve">✔ Sections 17, 19, 22 and 23</w:t>
      </w:r>
    </w:p>
    <w:p>
      <w:pPr>
        <w:pStyle w:val="ListParagraph"/>
        <w:numPr>
          <w:ilvl w:val="0"/>
          <w:numId w:val="15"/>
        </w:numPr>
      </w:pPr>
      <w:r>
        <w:t xml:space="preserve">Sections 21, 24, 25 and 26</w:t>
      </w:r>
    </w:p>
    <w:p>
      <w:pPr>
        <w:pStyle w:val="ListParagraph"/>
        <w:numPr>
          <w:ilvl w:val="0"/>
          <w:numId w:val="15"/>
        </w:numPr>
      </w:pPr>
      <w:r>
        <w:t xml:space="preserve">Sections 18(1)(ক), 21 and 24</w:t>
      </w:r>
    </w:p>
    <w:p>
      <w:pPr>
        <w:pStyle w:val="ListParagraph"/>
        <w:numPr>
          <w:ilvl w:val="0"/>
          <w:numId w:val="15"/>
        </w:numPr>
      </w:pPr>
      <w:r>
        <w:t xml:space="preserve">Sections 25 and 26</w:t>
      </w:r>
    </w:p>
    <w:p>
      <w:pPr/>
      <w:r>
        <w:rPr>
          <w:b/>
        </w:rPr>
        <w:t xml:space="preserve">Q14.</w:t>
      </w:r>
      <w:r>
        <w:t xml:space="preserve"> Cyber instruments of a public or statutory body that were used to commit an offence are:</w:t>
      </w:r>
    </w:p>
    <w:p>
      <w:pPr>
        <w:pStyle w:val="ListParagraph"/>
        <w:numPr>
          <w:ilvl w:val="0"/>
          <w:numId w:val="16"/>
        </w:numPr>
      </w:pPr>
      <w:r>
        <w:t xml:space="preserve">✔ Not liable to forfeiture</w:t>
      </w:r>
    </w:p>
    <w:p>
      <w:pPr>
        <w:pStyle w:val="ListParagraph"/>
        <w:numPr>
          <w:ilvl w:val="0"/>
          <w:numId w:val="16"/>
        </w:numPr>
      </w:pPr>
      <w:r>
        <w:t xml:space="preserve">Always forfeited</w:t>
      </w:r>
    </w:p>
    <w:p>
      <w:pPr>
        <w:pStyle w:val="ListParagraph"/>
        <w:numPr>
          <w:ilvl w:val="0"/>
          <w:numId w:val="16"/>
        </w:numPr>
      </w:pPr>
      <w:r>
        <w:t xml:space="preserve">Forfeited only by the Director General</w:t>
      </w:r>
    </w:p>
    <w:p>
      <w:pPr>
        <w:pStyle w:val="ListParagraph"/>
        <w:numPr>
          <w:ilvl w:val="0"/>
          <w:numId w:val="16"/>
        </w:numPr>
      </w:pPr>
      <w:r>
        <w:t xml:space="preserve">Forfeited after 90 days</w:t>
      </w:r>
    </w:p>
    <w:p>
      <w:pPr/>
      <w:r>
        <w:rPr>
          <w:b/>
        </w:rPr>
        <w:t xml:space="preserve">Q15.</w:t>
      </w:r>
      <w:r>
        <w:t xml:space="preserve"> A case pending under section 25 of the repealed 2023 Act:</w:t>
      </w:r>
    </w:p>
    <w:p>
      <w:pPr>
        <w:pStyle w:val="ListParagraph"/>
        <w:numPr>
          <w:ilvl w:val="0"/>
          <w:numId w:val="17"/>
        </w:numPr>
      </w:pPr>
      <w:r>
        <w:t xml:space="preserve">✔ Is cancelled and no further action can be taken</w:t>
      </w:r>
    </w:p>
    <w:p>
      <w:pPr>
        <w:pStyle w:val="ListParagraph"/>
        <w:numPr>
          <w:ilvl w:val="0"/>
          <w:numId w:val="17"/>
        </w:numPr>
      </w:pPr>
      <w:r>
        <w:t xml:space="preserve">Continues in the Tribunal</w:t>
      </w:r>
    </w:p>
    <w:p>
      <w:pPr>
        <w:pStyle w:val="ListParagraph"/>
        <w:numPr>
          <w:ilvl w:val="0"/>
          <w:numId w:val="17"/>
        </w:numPr>
      </w:pPr>
      <w:r>
        <w:t xml:space="preserve">Moves to the Agency</w:t>
      </w:r>
    </w:p>
    <w:p>
      <w:pPr>
        <w:pStyle w:val="ListParagraph"/>
        <w:numPr>
          <w:ilvl w:val="0"/>
          <w:numId w:val="17"/>
        </w:numPr>
      </w:pPr>
      <w:r>
        <w:t xml:space="preserve">Must be tried again</w:t>
      </w:r>
    </w:p>
    <w:p>
      <w:pPr/>
      <w:r>
        <w:rPr>
          <w:b/>
        </w:rPr>
        <w:t xml:space="preserve">Check before exporting:</w:t>
      </w:r>
      <w:r>
        <w:t xml:space="preserve"> in the Lumi editor, each question must have exactly one correct option, the one marked ✔ above. In this document the correct option is always listed first; Lumi will shuffle them for students.</w:t>
      </w:r>
    </w:p>
    <w:p>
      <w:pPr>
        <w:pStyle w:val="Heading2"/>
      </w:pPr>
      <w:r>
        <w:t xml:space="preserve">H5P 2 — Module 1: Foundations (sections 1–4)</w:t>
      </w:r>
    </w:p>
    <w:p>
      <w:pPr/>
      <w:r>
        <w:rPr>
          <w:b/>
        </w:rPr>
        <w:t xml:space="preserve">Type:</w:t>
      </w:r>
      <w:r>
        <w:t xml:space="preserve"> Course Presentation, 8 slides, title </w:t>
      </w:r>
      <w:r>
        <w:rPr>
          <w:rStyle w:val="CodeChar"/>
        </w:rPr>
        <w:t xml:space="preserve">Module 1: Foundations</w:t>
      </w:r>
      <w:r>
        <w:t xml:space="preserve">. Save as </w:t>
      </w:r>
      <w:r>
        <w:rPr>
          <w:rStyle w:val="CodeChar"/>
        </w:rPr>
        <w:t xml:space="preserve">module1</w:t>
      </w:r>
      <w:r>
        <w:t xml:space="preserve">. Paste the grey boxes exactly as they are.</w:t>
      </w:r>
    </w:p>
    <w:p>
      <w:pPr/>
      <w:r>
        <w:rPr>
          <w:b/>
        </w:rPr>
        <w:t xml:space="preserve">SLIDE 1 — Welcome.</w:t>
      </w:r>
      <w:r>
        <w:t xml:space="preserve"> Add a Text element:</w:t>
      </w:r>
    </w:p>
    <w:p>
      <w:pPr>
        <w:pStyle w:val="Code"/>
      </w:pPr>
      <w:bookmarkStart w:id="1" w:name="bongo_lang_text_1"/>
      <w:bookmarkEnd w:id="1"/>
      <w:r>
        <w:t xml:space="preserve">Module 1: Foundations (sections 1–4)</w:t>
        <w:br/>
        <w:br/>
        <w:t xml:space="preserve">After this module you can: name the Act and say when it took effect; explain what happens when it conflicts with another law; explain how far it reaches beyond Bangladesh; and use the key digital terms.</w:t>
        <w:br/>
        <w:br/>
        <w:t xml:space="preserve">About 12 minutes.</w:t>
      </w:r>
    </w:p>
    <w:p>
      <w:pPr/>
      <w:r>
        <w:rPr>
          <w:b/>
        </w:rPr>
        <w:t xml:space="preserve">SLIDE 2 — The Act and its start date (section 1).</w:t>
      </w:r>
      <w:r>
        <w:t xml:space="preserve"> Add a Text element:</w:t>
      </w:r>
    </w:p>
    <w:p>
      <w:pPr>
        <w:pStyle w:val="Code"/>
      </w:pPr>
      <w:bookmarkStart w:id="2" w:name="bongo_lang_text_2"/>
      <w:bookmarkEnd w:id="2"/>
      <w:r>
        <w:t xml:space="preserve">The Act is called the Cyber Security Act, 2026.</w:t>
        <w:br/>
        <w:br/>
        <w:t xml:space="preserve">It is deemed to have come into force on 21 May 2025.</w:t>
        <w:br/>
        <w:br/>
        <w:t xml:space="preserve">It repeals and replaces the Cyber Security Act, 2023 (section 50) and the two Cyber Security Ordinances of 2025 (section 51).</w:t>
      </w:r>
    </w:p>
    <w:p>
      <w:pPr/>
      <w:r>
        <w:t xml:space="preserve">Then add a </w:t>
      </w:r>
      <w:r>
        <w:rPr>
          <w:b/>
        </w:rPr>
        <w:t xml:space="preserve">Multiple Choice</w:t>
      </w:r>
      <w:r>
        <w:t xml:space="preserve"> element:</w:t>
      </w:r>
    </w:p>
    <w:p>
      <w:pPr>
        <w:pStyle w:val="Code"/>
      </w:pPr>
      <w:bookmarkStart w:id="3" w:name="bongo_lang_text_3"/>
      <w:bookmarkEnd w:id="3"/>
      <w:r>
        <w:t xml:space="preserve">Question: Which earlier law does the 2026 Act repeal and replace?</w:t>
      </w:r>
    </w:p>
    <w:p>
      <w:pPr>
        <w:pStyle w:val="ListParagraph"/>
        <w:numPr>
          <w:ilvl w:val="0"/>
          <w:numId w:val="18"/>
        </w:numPr>
      </w:pPr>
      <w:r>
        <w:t xml:space="preserve">✔ Cyber Security Act, 2023</w:t>
      </w:r>
    </w:p>
    <w:p>
      <w:pPr>
        <w:pStyle w:val="ListParagraph"/>
        <w:numPr>
          <w:ilvl w:val="0"/>
          <w:numId w:val="18"/>
        </w:numPr>
      </w:pPr>
      <w:r>
        <w:t xml:space="preserve">Evidence Act, 1872</w:t>
      </w:r>
    </w:p>
    <w:p>
      <w:pPr>
        <w:pStyle w:val="ListParagraph"/>
        <w:numPr>
          <w:ilvl w:val="0"/>
          <w:numId w:val="18"/>
        </w:numPr>
      </w:pPr>
      <w:r>
        <w:t xml:space="preserve">Right to Information Act, 2009</w:t>
      </w:r>
    </w:p>
    <w:p>
      <w:pPr>
        <w:pStyle w:val="ListParagraph"/>
        <w:numPr>
          <w:ilvl w:val="0"/>
          <w:numId w:val="18"/>
        </w:numPr>
      </w:pPr>
      <w:r>
        <w:t xml:space="preserve">Code of Criminal Procedure, 1898</w:t>
      </w:r>
    </w:p>
    <w:p>
      <w:pPr/>
      <w:r>
        <w:t xml:space="preserve">Feedback (correct): Correct. Section 50 repeals the Cyber Security Act, 2023.</w:t>
      </w:r>
    </w:p>
    <w:p>
      <w:pPr/>
      <w:r>
        <w:t xml:space="preserve">Feedback (wrong): Not quite. Section 50 repeals the Cyber Security Act, 2023.</w:t>
      </w:r>
    </w:p>
    <w:p>
      <w:pPr/>
      <w:r>
        <w:rPr>
          <w:b/>
        </w:rPr>
        <w:t xml:space="preserve">SLIDE 3 — Priority over other laws (section 3).</w:t>
      </w:r>
      <w:r>
        <w:t xml:space="preserve"> Add a Text element:</w:t>
      </w:r>
    </w:p>
    <w:p>
      <w:pPr>
        <w:pStyle w:val="Code"/>
      </w:pPr>
      <w:bookmarkStart w:id="4" w:name="bongo_lang_text_4"/>
      <w:bookmarkEnd w:id="4"/>
      <w:r>
        <w:t xml:space="preserve">If this Act conflicts with another law, this Act prevails to the extent of the conflict.</w:t>
        <w:br/>
        <w:br/>
        <w:t xml:space="preserve">One exception: on matters of the right to information, the Right to Information Act, 2009 remains effective.</w:t>
      </w:r>
    </w:p>
    <w:p>
      <w:pPr/>
      <w:r>
        <w:t xml:space="preserve">Then add a </w:t>
      </w:r>
      <w:r>
        <w:rPr>
          <w:b/>
        </w:rPr>
        <w:t xml:space="preserve">True/False</w:t>
      </w:r>
      <w:r>
        <w:t xml:space="preserve"> element:</w:t>
      </w:r>
    </w:p>
    <w:p>
      <w:pPr>
        <w:pStyle w:val="Code"/>
      </w:pPr>
      <w:bookmarkStart w:id="5" w:name="bongo_lang_text_5"/>
      <w:bookmarkEnd w:id="5"/>
      <w:r>
        <w:t xml:space="preserve">Statement: If this Act conflicts with any other law, the other law always prevails.</w:t>
      </w:r>
    </w:p>
    <w:p>
      <w:pPr/>
      <w:r>
        <w:t xml:space="preserve">Correct answer: </w:t>
      </w:r>
      <w:r>
        <w:rPr>
          <w:b/>
        </w:rPr>
        <w:t xml:space="preserve">False</w:t>
      </w:r>
      <w:r>
        <w:t xml:space="preserve">. Feedback: The Act prevails to the extent of the conflict, except that the Right to Information Act, 2009 stays effective on information rights.</w:t>
      </w:r>
    </w:p>
    <w:p>
      <w:pPr/>
      <w:r>
        <w:rPr>
          <w:b/>
        </w:rPr>
        <w:t xml:space="preserve">SLIDE 4 — How far the Act reaches (section 4).</w:t>
      </w:r>
      <w:r>
        <w:t xml:space="preserve"> Add a Text element:</w:t>
      </w:r>
    </w:p>
    <w:p>
      <w:pPr>
        <w:pStyle w:val="Code"/>
      </w:pPr>
      <w:bookmarkStart w:id="6" w:name="bongo_lang_text_6"/>
      <w:bookmarkEnd w:id="6"/>
      <w:r>
        <w:t xml:space="preserve">Section 4 extends the Act beyond Bangladesh in three situations.</w:t>
        <w:br/>
        <w:br/>
        <w:t xml:space="preserve">(1) A Bangladeshi citizen commits abroad an act that would be an offence under this Act if committed in Bangladesh: the Act applies as if it happened in Bangladesh.</w:t>
        <w:br/>
        <w:br/>
        <w:t xml:space="preserve">(2) A person outside Bangladesh commits an offence inside Bangladesh using a computer, system, network or digital device located in Bangladesh: the whole process is treated as happening in Bangladesh.</w:t>
        <w:br/>
        <w:br/>
        <w:t xml:space="preserve">(3) A person inside Bangladesh commits an offence outside Bangladesh: the whole process is treated as happening in Bangladesh.</w:t>
      </w:r>
    </w:p>
    <w:p>
      <w:pPr/>
      <w:r>
        <w:t xml:space="preserve">Then add a </w:t>
      </w:r>
      <w:r>
        <w:rPr>
          <w:b/>
        </w:rPr>
        <w:t xml:space="preserve">Multiple Choice</w:t>
      </w:r>
      <w:r>
        <w:t xml:space="preserve"> element:</w:t>
      </w:r>
    </w:p>
    <w:p>
      <w:pPr>
        <w:pStyle w:val="Code"/>
      </w:pPr>
      <w:bookmarkStart w:id="7" w:name="bongo_lang_text_7"/>
      <w:bookmarkEnd w:id="7"/>
      <w:r>
        <w:t xml:space="preserve">Question: A Bangladeshi citizen living in another country does something that would be an offence under the Act. Which provision applies the Act to this person?</w:t>
      </w:r>
    </w:p>
    <w:p>
      <w:pPr>
        <w:pStyle w:val="ListParagraph"/>
        <w:numPr>
          <w:ilvl w:val="0"/>
          <w:numId w:val="19"/>
        </w:numPr>
      </w:pPr>
      <w:r>
        <w:t xml:space="preserve">✔ Section 4(1)</w:t>
      </w:r>
    </w:p>
    <w:p>
      <w:pPr>
        <w:pStyle w:val="ListParagraph"/>
        <w:numPr>
          <w:ilvl w:val="0"/>
          <w:numId w:val="19"/>
        </w:numPr>
      </w:pPr>
      <w:r>
        <w:t xml:space="preserve">Section 4(2)</w:t>
      </w:r>
    </w:p>
    <w:p>
      <w:pPr>
        <w:pStyle w:val="ListParagraph"/>
        <w:numPr>
          <w:ilvl w:val="0"/>
          <w:numId w:val="19"/>
        </w:numPr>
      </w:pPr>
      <w:r>
        <w:t xml:space="preserve">Section 4(3)</w:t>
      </w:r>
    </w:p>
    <w:p>
      <w:pPr>
        <w:pStyle w:val="ListParagraph"/>
        <w:numPr>
          <w:ilvl w:val="0"/>
          <w:numId w:val="19"/>
        </w:numPr>
      </w:pPr>
      <w:r>
        <w:t xml:space="preserve">None; the Act stops at the border</w:t>
      </w:r>
    </w:p>
    <w:p>
      <w:pPr/>
      <w:r>
        <w:t xml:space="preserve">Feedback (correct): Correct. Section 4(1) covers citizens who act abroad.</w:t>
      </w:r>
    </w:p>
    <w:p>
      <w:pPr/>
      <w:r>
        <w:t xml:space="preserve">Feedback (wrong): Not quite. Section 4(1) covers a Bangladeshi citizen who commits the act abroad.</w:t>
      </w:r>
    </w:p>
    <w:p>
      <w:pPr/>
      <w:r>
        <w:rPr>
          <w:b/>
        </w:rPr>
        <w:t xml:space="preserve">SLIDE 5 — Key terms 1: data and systems (section 2).</w:t>
      </w:r>
      <w:r>
        <w:t xml:space="preserve"> Add a Text element:</w:t>
      </w:r>
    </w:p>
    <w:p>
      <w:pPr>
        <w:pStyle w:val="Code"/>
      </w:pPr>
      <w:bookmarkStart w:id="8" w:name="bongo_lang_text_8"/>
      <w:bookmarkEnd w:id="8"/>
      <w:r>
        <w:t xml:space="preserve">Computer system: interconnected computers or digital devices that can receive, send or store data.</w:t>
        <w:br/>
        <w:br/>
        <w:t xml:space="preserve">Computer data: information in a form suitable for processing in a computer system, including a program.</w:t>
        <w:br/>
        <w:br/>
        <w:t xml:space="preserve">Traffic data: data about a communication: its origin, destination, route, time, size, duration or type of service.</w:t>
        <w:br/>
        <w:br/>
        <w:t xml:space="preserve">Signalling data: information about setting up connections between devices, servers and networks.</w:t>
        <w:br/>
        <w:br/>
        <w:t xml:space="preserve">Program: instructions that let a digital device perform a task.</w:t>
        <w:br/>
        <w:br/>
        <w:t xml:space="preserve">Malware: an instruction, program or app that damages or alters a device or data, attaches itself to other devices and activates, or steals or distorts data.</w:t>
        <w:br/>
        <w:br/>
        <w:t xml:space="preserve">Unlawful access (hacking): entering a computer, device or network without permission or beyond its terms, including disrupting, changing or deleting data, and deleting logs or traces.</w:t>
        <w:br/>
        <w:br/>
        <w:t xml:space="preserve">Digital: includes AI technology, blockchain, large language models and machine vision, not only binary technology.</w:t>
      </w:r>
    </w:p>
    <w:p>
      <w:pPr/>
      <w:r>
        <w:rPr>
          <w:b/>
        </w:rPr>
        <w:t xml:space="preserve">SLIDE 6 — Key terms 2: broader terms (section 2).</w:t>
      </w:r>
      <w:r>
        <w:t xml:space="preserve"> Add a Text element:</w:t>
      </w:r>
    </w:p>
    <w:p>
      <w:pPr>
        <w:pStyle w:val="Code"/>
      </w:pPr>
      <w:bookmarkStart w:id="9" w:name="bongo_lang_text_9"/>
      <w:bookmarkEnd w:id="9"/>
      <w:r>
        <w:t xml:space="preserve">Cyberspace: the connected physical and virtual world of devices and networks, including the internet, cloud, Internet of Things, social media and AI networks.</w:t>
        <w:br/>
        <w:br/>
        <w:t xml:space="preserve">Cyber security: protection of devices, systems, data and infrastructure, ensuring access only by authorised persons or AI tools. It also includes the citizens' right to round-the-clock internet access.</w:t>
        <w:br/>
        <w:br/>
        <w:t xml:space="preserve">Person: includes institutions, companies, firms and artificial legal persons; for a digital device, its controller.</w:t>
        <w:br/>
        <w:br/>
        <w:t xml:space="preserve">Police officer: a police officer not below the rank of Sub-Inspector.</w:t>
        <w:br/>
        <w:br/>
        <w:t xml:space="preserve">Critical Information Infrastructure (CII): a physical or virtual information infrastructure declared as such by the Government, whose damage could harm both (i) public safety, economic security or public health, and (ii) national security, state integrity or sovereignty.</w:t>
        <w:br/>
        <w:br/>
        <w:t xml:space="preserve">Tribunal and Appellate Tribunal: the Cyber Tribunal and Cyber Appellate Tribunal formed under the Information and Communication Technology Act, 2006.</w:t>
        <w:br/>
        <w:br/>
        <w:t xml:space="preserve">Words the Act does not define have the meaning they have in the ICT Act, 2006.</w:t>
      </w:r>
    </w:p>
    <w:p>
      <w:pPr/>
      <w:r>
        <w:rPr>
          <w:b/>
        </w:rPr>
        <w:t xml:space="preserve">SLIDE 7 — Fill in the gaps.</w:t>
      </w:r>
      <w:r>
        <w:t xml:space="preserve"> Add a </w:t>
      </w:r>
      <w:r>
        <w:rPr>
          <w:b/>
        </w:rPr>
        <w:t xml:space="preserve">Drag the Words</w:t>
      </w:r>
      <w:r>
        <w:t xml:space="preserve"> element. The asterisks mark the answers; keep them:</w:t>
      </w:r>
    </w:p>
    <w:p>
      <w:pPr>
        <w:pStyle w:val="Code"/>
      </w:pPr>
      <w:bookmarkStart w:id="10" w:name="bongo_lang_text_10"/>
      <w:bookmarkEnd w:id="10"/>
      <w:r>
        <w:t xml:space="preserve">*Traffic data* shows the origin, destination and route of a communication. Information about setting up connections between devices is *signalling data*. Entering a system without permission is called *unlawful access*, also known as hacking. A police officer under the Act must be at least a *Sub-Inspector*. A system becomes critical information infrastructure only when the *Government* declares it.</w:t>
      </w:r>
    </w:p>
    <w:p>
      <w:pPr/>
      <w:r>
        <w:rPr>
          <w:b/>
        </w:rPr>
        <w:t xml:space="preserve">SLIDE 8 — Badge.</w:t>
      </w:r>
      <w:r>
        <w:t xml:space="preserve"> Add a Text element:</w:t>
      </w:r>
    </w:p>
    <w:p>
      <w:pPr>
        <w:pStyle w:val="Code"/>
      </w:pPr>
      <w:bookmarkStart w:id="11" w:name="bongo_lang_text_11"/>
      <w:bookmarkEnd w:id="11"/>
      <w:r>
        <w:t xml:space="preserve">Module 1 complete. Badge earned: Jurisdiction Scout.</w:t>
        <w:br/>
        <w:br/>
        <w:t xml:space="preserve">Remember: the Act is deemed in force from 21 May 2025; it prevails over other laws except on information rights; section 4 has three reach rules; the key terms are the vocabulary for everything that follows.</w:t>
        <w:br/>
        <w:br/>
        <w:t xml:space="preserve">Go back to the page and press Complete &amp; continue.</w:t>
      </w:r>
    </w:p>
    <w:p>
      <w:pPr>
        <w:pStyle w:val="Heading2"/>
      </w:pPr>
      <w:r>
        <w:t xml:space="preserve">H5P 3 — Module 2: Institutions (sections 5–16)</w:t>
      </w:r>
    </w:p>
    <w:p>
      <w:pPr/>
      <w:r>
        <w:rPr>
          <w:b/>
        </w:rPr>
        <w:t xml:space="preserve">Type:</w:t>
      </w:r>
      <w:r>
        <w:t xml:space="preserve"> Course Presentation, 7 slides, title </w:t>
      </w:r>
      <w:r>
        <w:rPr>
          <w:rStyle w:val="CodeChar"/>
        </w:rPr>
        <w:t xml:space="preserve">Module 2: Institutions</w:t>
      </w:r>
      <w:r>
        <w:t xml:space="preserve">. Save as </w:t>
      </w:r>
      <w:r>
        <w:rPr>
          <w:rStyle w:val="CodeChar"/>
        </w:rPr>
        <w:t xml:space="preserve">module2</w:t>
      </w:r>
      <w:r>
        <w:t xml:space="preserve">.</w:t>
      </w:r>
    </w:p>
    <w:p>
      <w:pPr/>
      <w:r>
        <w:rPr>
          <w:b/>
        </w:rPr>
        <w:t xml:space="preserve">SLIDE 1 — Welcome.</w:t>
      </w:r>
      <w:r>
        <w:t xml:space="preserve"> Add a Text element:</w:t>
      </w:r>
    </w:p>
    <w:p>
      <w:pPr>
        <w:pStyle w:val="Code"/>
      </w:pPr>
      <w:bookmarkStart w:id="12" w:name="bongo_lang_text_12"/>
      <w:bookmarkEnd w:id="12"/>
      <w:r>
        <w:t xml:space="preserve">Module 2: Institutions (sections 5–16)</w:t>
        <w:br/>
        <w:br/>
        <w:t xml:space="preserve">After this module you can: describe the National Cyber Security Agency; explain the power to block content and its 3-day safeguard; describe the response teams and forensic labs; describe the National Cyber Security Council; and explain Critical Information Infrastructure.</w:t>
        <w:br/>
        <w:br/>
        <w:t xml:space="preserve">About 15 minutes.</w:t>
      </w:r>
    </w:p>
    <w:p>
      <w:pPr/>
      <w:r>
        <w:rPr>
          <w:b/>
        </w:rPr>
        <w:t xml:space="preserve">SLIDE 2 — The Agency (sections 5–7).</w:t>
      </w:r>
      <w:r>
        <w:t xml:space="preserve"> Add a Text element:</w:t>
      </w:r>
    </w:p>
    <w:p>
      <w:pPr>
        <w:pStyle w:val="Code"/>
      </w:pPr>
      <w:bookmarkStart w:id="13" w:name="bongo_lang_text_13"/>
      <w:bookmarkEnd w:id="13"/>
      <w:r>
        <w:t xml:space="preserve">The Government forms the National Cyber Security Agency by Gazette notification (section 5). It has one Director General and a number of Directors set by rules.</w:t>
        <w:br/>
        <w:br/>
        <w:t xml:space="preserve">Its head office is in Dhaka, and the Government may open branch offices elsewhere.</w:t>
        <w:br/>
        <w:br/>
        <w:t xml:space="preserve">Administratively it is an attached office of the Information and Communication Technology (ICT) Division.</w:t>
        <w:br/>
        <w:br/>
        <w:t xml:space="preserve">The Director General and Directors are appointed by the Government from experts in computers, digital devices, information technology, or cyber security and related law, who hold internationally recognised cyber security certificates. They are full-time employees (section 6).</w:t>
        <w:br/>
        <w:br/>
        <w:t xml:space="preserve">The Agency's duties and functions, and its staff's terms of service, are set by rules (sections 5 and 7).</w:t>
      </w:r>
    </w:p>
    <w:p>
      <w:pPr/>
      <w:r>
        <w:t xml:space="preserve">Then add a </w:t>
      </w:r>
      <w:r>
        <w:rPr>
          <w:b/>
        </w:rPr>
        <w:t xml:space="preserve">Multiple Choice</w:t>
      </w:r>
      <w:r>
        <w:t xml:space="preserve"> element:</w:t>
      </w:r>
    </w:p>
    <w:p>
      <w:pPr>
        <w:pStyle w:val="Code"/>
      </w:pPr>
      <w:bookmarkStart w:id="14" w:name="bongo_lang_text_14"/>
      <w:bookmarkEnd w:id="14"/>
      <w:r>
        <w:t xml:space="preserve">Question: Who can be appointed Director General of the Agency?</w:t>
      </w:r>
    </w:p>
    <w:p>
      <w:pPr>
        <w:pStyle w:val="ListParagraph"/>
        <w:numPr>
          <w:ilvl w:val="0"/>
          <w:numId w:val="20"/>
        </w:numPr>
      </w:pPr>
      <w:r>
        <w:t xml:space="preserve">✔ An expert holding internationally recognised cyber security certificates, who works full-time</w:t>
      </w:r>
    </w:p>
    <w:p>
      <w:pPr>
        <w:pStyle w:val="ListParagraph"/>
        <w:numPr>
          <w:ilvl w:val="0"/>
          <w:numId w:val="20"/>
        </w:numPr>
      </w:pPr>
      <w:r>
        <w:t xml:space="preserve">A part-time adviser from the private sector</w:t>
      </w:r>
    </w:p>
    <w:p>
      <w:pPr>
        <w:pStyle w:val="ListParagraph"/>
        <w:numPr>
          <w:ilvl w:val="0"/>
          <w:numId w:val="20"/>
        </w:numPr>
      </w:pPr>
      <w:r>
        <w:t xml:space="preserve">Any serving police officer</w:t>
      </w:r>
    </w:p>
    <w:p>
      <w:pPr>
        <w:pStyle w:val="ListParagraph"/>
        <w:numPr>
          <w:ilvl w:val="0"/>
          <w:numId w:val="20"/>
        </w:numPr>
      </w:pPr>
      <w:r>
        <w:t xml:space="preserve">A member of the Council chosen by vote</w:t>
      </w:r>
    </w:p>
    <w:p>
      <w:pPr/>
      <w:r>
        <w:t xml:space="preserve">Feedback (correct): Correct. Section 6 requires expertise and internationally recognised certificates, and full-time service.</w:t>
      </w:r>
    </w:p>
    <w:p>
      <w:pPr/>
      <w:r>
        <w:t xml:space="preserve">Feedback (wrong): Not quite. Section 6 requires expertise and internationally recognised cyber security certificates, and full-time service.</w:t>
      </w:r>
    </w:p>
    <w:p>
      <w:pPr/>
      <w:r>
        <w:rPr>
          <w:b/>
        </w:rPr>
        <w:t xml:space="preserve">SLIDE 3 — Blocking and removal (section 8).</w:t>
      </w:r>
      <w:r>
        <w:t xml:space="preserve"> Add a Text element:</w:t>
      </w:r>
    </w:p>
    <w:p>
      <w:pPr>
        <w:pStyle w:val="Code"/>
      </w:pPr>
      <w:bookmarkStart w:id="15" w:name="bongo_lang_text_15"/>
      <w:bookmarkEnd w:id="15"/>
      <w:r>
        <w:t xml:space="preserve">Section 8 lets the authorities remove or block online data in two situations.</w:t>
        <w:br/>
        <w:br/>
        <w:t xml:space="preserve">(1) The Director General may remove, transfer or block data that threatens cyber security, or ask the Bangladesh Telecommunication Regulatory Commission (BTRC) to do so.</w:t>
        <w:br/>
        <w:br/>
        <w:t xml:space="preserve">(2) Law-enforcement agencies, after analysing the data, may act through the Director General (or ask BTRC) if the data harms the country's integrity, security, defence or public order; is religious, communal or ethnic hate speech that creates concern about violence; or directs disorder or criminal activity.</w:t>
        <w:br/>
        <w:br/>
        <w:t xml:space="preserve">On such a request, or a Tribunal order, BTRC or the relevant ICT Division agency asks the technology company to remove or block the data. The Government must publish information on all blocked content, in the interest of transparency.</w:t>
        <w:br/>
        <w:br/>
        <w:t xml:space="preserve">Safeguard: within 3 days of removing, transferring or blocking, the permission of the Tribunal must be obtained. If it is not obtained in that time, or the Tribunal does not grant it, the data must be released (restored).</w:t>
      </w:r>
    </w:p>
    <w:p>
      <w:pPr/>
      <w:r>
        <w:t xml:space="preserve">Then add a </w:t>
      </w:r>
      <w:r>
        <w:rPr>
          <w:b/>
        </w:rPr>
        <w:t xml:space="preserve">Multiple Choice</w:t>
      </w:r>
      <w:r>
        <w:t xml:space="preserve"> element:</w:t>
      </w:r>
    </w:p>
    <w:p>
      <w:pPr>
        <w:pStyle w:val="Code"/>
      </w:pPr>
      <w:bookmarkStart w:id="16" w:name="bongo_lang_text_16"/>
      <w:bookmarkEnd w:id="16"/>
      <w:r>
        <w:t xml:space="preserve">Question: A block was ordered, but the Tribunal's permission was never obtained within the time limit. What must happen?</w:t>
      </w:r>
    </w:p>
    <w:p>
      <w:pPr>
        <w:pStyle w:val="ListParagraph"/>
        <w:numPr>
          <w:ilvl w:val="0"/>
          <w:numId w:val="21"/>
        </w:numPr>
      </w:pPr>
      <w:r>
        <w:t xml:space="preserve">✔ The blocked data must be restored</w:t>
      </w:r>
    </w:p>
    <w:p>
      <w:pPr>
        <w:pStyle w:val="ListParagraph"/>
        <w:numPr>
          <w:ilvl w:val="0"/>
          <w:numId w:val="21"/>
        </w:numPr>
      </w:pPr>
      <w:r>
        <w:t xml:space="preserve">It stays blocked for another 30 days</w:t>
      </w:r>
    </w:p>
    <w:p>
      <w:pPr>
        <w:pStyle w:val="ListParagraph"/>
        <w:numPr>
          <w:ilvl w:val="0"/>
          <w:numId w:val="21"/>
        </w:numPr>
      </w:pPr>
      <w:r>
        <w:t xml:space="preserve">The Director General decides whether to restore it</w:t>
      </w:r>
    </w:p>
    <w:p>
      <w:pPr>
        <w:pStyle w:val="ListParagraph"/>
        <w:numPr>
          <w:ilvl w:val="0"/>
          <w:numId w:val="21"/>
        </w:numPr>
      </w:pPr>
      <w:r>
        <w:t xml:space="preserve">It is deleted permanently</w:t>
      </w:r>
    </w:p>
    <w:p>
      <w:pPr/>
      <w:r>
        <w:t xml:space="preserve">Feedback (correct): Correct. Under section 8(4) the data must mandatorily be released.</w:t>
      </w:r>
    </w:p>
    <w:p>
      <w:pPr/>
      <w:r>
        <w:t xml:space="preserve">Feedback (wrong): Not quite. Under section 8(4), if permission is not obtained in time, the data must be released.</w:t>
      </w:r>
    </w:p>
    <w:p>
      <w:pPr/>
      <w:r>
        <w:rPr>
          <w:b/>
        </w:rPr>
        <w:t xml:space="preserve">SLIDE 4 — Response teams and forensic labs (sections 9–11).</w:t>
      </w:r>
      <w:r>
        <w:t xml:space="preserve"> Add a Text element:</w:t>
      </w:r>
    </w:p>
    <w:p>
      <w:pPr>
        <w:pStyle w:val="Code"/>
      </w:pPr>
      <w:bookmarkStart w:id="17" w:name="bongo_lang_text_17"/>
      <w:bookmarkEnd w:id="17"/>
      <w:r>
        <w:t xml:space="preserve">The Agency has a National Computer Emergency Response Team (National CERT) and a National Security Operation Center (National SOC) (section 9). The National SOC protects nationally important systems and can coordinate and accredit public and private SOCs.</w:t>
        <w:br/>
        <w:br/>
        <w:t xml:space="preserve">Every Critical Information Infrastructure (CII) must have its own CERT (also called a CIRT) and its own SOC. A CERT or CIRT responds to cyber incidents. A SOC monitors an organisation's systems for threats such as phishing, malware, ransomware and data leaks.</w:t>
        <w:br/>
        <w:br/>
        <w:t xml:space="preserve">Every SOC must report its activities and performance to the National SOC every three months.</w:t>
        <w:br/>
        <w:br/>
        <w:t xml:space="preserve">If a cyber incident happens at any public, private or autonomous body, it must immediately notify the National CERT.</w:t>
        <w:br/>
        <w:br/>
        <w:t xml:space="preserve">CERTs work round the clock. Cooperation with foreign teams, and use of cloud-based security tools, need the Council's approval. CIRTs may scan open systems only to find weak or insecurely configured systems, and must not harm the service being scanned.</w:t>
        <w:br/>
        <w:br/>
        <w:t xml:space="preserve">Digital forensic labs work under the control and supervision of the Agency (section 10). Labs that already existed in public bodies are recognised if they meet the quality standard in section 11: qualified and trained people, proper infrastructure, protection of confidential information, quality tools and scientific methods.</w:t>
      </w:r>
    </w:p>
    <w:p>
      <w:pPr/>
      <w:r>
        <w:t xml:space="preserve">Then add a </w:t>
      </w:r>
      <w:r>
        <w:rPr>
          <w:b/>
        </w:rPr>
        <w:t xml:space="preserve">True/False</w:t>
      </w:r>
      <w:r>
        <w:t xml:space="preserve"> element:</w:t>
      </w:r>
    </w:p>
    <w:p>
      <w:pPr>
        <w:pStyle w:val="Code"/>
      </w:pPr>
      <w:bookmarkStart w:id="18" w:name="bongo_lang_text_18"/>
      <w:bookmarkEnd w:id="18"/>
      <w:r>
        <w:t xml:space="preserve">Statement: A CIRT may scan an organisation's open systems even if the scan slows down the organisation's service.</w:t>
      </w:r>
    </w:p>
    <w:p>
      <w:pPr/>
      <w:r>
        <w:t xml:space="preserve">Correct answer: </w:t>
      </w:r>
      <w:r>
        <w:rPr>
          <w:b/>
        </w:rPr>
        <w:t xml:space="preserve">False</w:t>
      </w:r>
      <w:r>
        <w:t xml:space="preserve">. Feedback: Scanning is allowed only to find weak or insecurely configured systems and must not adversely affect the service (section 9).</w:t>
      </w:r>
    </w:p>
    <w:p>
      <w:pPr/>
      <w:r>
        <w:rPr>
          <w:b/>
        </w:rPr>
        <w:t xml:space="preserve">SLIDE 5 — The Council (sections 12–14).</w:t>
      </w:r>
      <w:r>
        <w:t xml:space="preserve"> Add a Text element:</w:t>
      </w:r>
    </w:p>
    <w:p>
      <w:pPr>
        <w:pStyle w:val="Code"/>
      </w:pPr>
      <w:bookmarkStart w:id="19" w:name="bongo_lang_text_19"/>
      <w:bookmarkEnd w:id="19"/>
      <w:r>
        <w:t xml:space="preserve">The National Cyber Security Council is chaired by the Prime Minister (section 12).</w:t>
        <w:br/>
        <w:br/>
        <w:t xml:space="preserve">Its members include: the ministers responsible for posts, telecommunications and IT, and for law; the Principal Secretary to the Prime Minister; the Governor of Bangladesh Bank; several secretaries; the Inspector General of Police; the chairs of the National Board of Revenue and BTRC; heads of intelligence and monitoring bodies; the Director General of the Agency; a retired Supreme Court judge nominated by the Chief Justice; the Chairman of the National Human Rights Commission; the Secretary of the Information Commission; the head of the Bangladesh Financial Intelligence Unit; and two private-sector experts in IT or human rights.</w:t>
        <w:br/>
        <w:br/>
        <w:t xml:space="preserve">The Director General of the Agency provides secretarial support.</w:t>
        <w:br/>
        <w:br/>
        <w:t xml:space="preserve">The Council gives the Agency directions and advice, guides action against threats, advises on infrastructure and manpower, sets inter-institutional policy, and makes sure the Act is implemented (section 13).</w:t>
        <w:br/>
        <w:br/>
        <w:t xml:space="preserve">The Council meets at least once every three months, and at any time in an emergency. Every three months it has the cyber risks of all ministries, divisions, public and private bodies and each CII audited. It announces public-interest decisions by press release and publishes analytical reports on the cyber security of relevant websites (section 14).</w:t>
        <w:br/>
        <w:br/>
        <w:t xml:space="preserve">If the Chairman is absent, the Minister in charge of the Posts, Telecommunications and Information Technology Ministry presides. A vacancy in membership, or a defect in forming the Council, does not invalidate its acts.</w:t>
      </w:r>
    </w:p>
    <w:p>
      <w:pPr/>
      <w:r>
        <w:t xml:space="preserve">Then add a </w:t>
      </w:r>
      <w:r>
        <w:rPr>
          <w:b/>
        </w:rPr>
        <w:t xml:space="preserve">Multiple Choice</w:t>
      </w:r>
      <w:r>
        <w:t xml:space="preserve"> element:</w:t>
      </w:r>
    </w:p>
    <w:p>
      <w:pPr>
        <w:pStyle w:val="Code"/>
      </w:pPr>
      <w:bookmarkStart w:id="20" w:name="bongo_lang_text_20"/>
      <w:bookmarkEnd w:id="20"/>
      <w:r>
        <w:t xml:space="preserve">Question: At a minimum, how often must the Council meet?</w:t>
      </w:r>
    </w:p>
    <w:p>
      <w:pPr>
        <w:pStyle w:val="ListParagraph"/>
        <w:numPr>
          <w:ilvl w:val="0"/>
          <w:numId w:val="22"/>
        </w:numPr>
      </w:pPr>
      <w:r>
        <w:t xml:space="preserve">✔ Once every three months</w:t>
      </w:r>
    </w:p>
    <w:p>
      <w:pPr>
        <w:pStyle w:val="ListParagraph"/>
        <w:numPr>
          <w:ilvl w:val="0"/>
          <w:numId w:val="22"/>
        </w:numPr>
      </w:pPr>
      <w:r>
        <w:t xml:space="preserve">Once a month</w:t>
      </w:r>
    </w:p>
    <w:p>
      <w:pPr>
        <w:pStyle w:val="ListParagraph"/>
        <w:numPr>
          <w:ilvl w:val="0"/>
          <w:numId w:val="22"/>
        </w:numPr>
      </w:pPr>
      <w:r>
        <w:t xml:space="preserve">Once a year</w:t>
      </w:r>
    </w:p>
    <w:p>
      <w:pPr>
        <w:pStyle w:val="ListParagraph"/>
        <w:numPr>
          <w:ilvl w:val="0"/>
          <w:numId w:val="22"/>
        </w:numPr>
      </w:pPr>
      <w:r>
        <w:t xml:space="preserve">Only when the Prime Minister decides</w:t>
      </w:r>
    </w:p>
    <w:p>
      <w:pPr/>
      <w:r>
        <w:t xml:space="preserve">Feedback (correct): Correct. Section 14(2) requires a meeting at least every three months, and any time in an emergency.</w:t>
      </w:r>
    </w:p>
    <w:p>
      <w:pPr/>
      <w:r>
        <w:t xml:space="preserve">Feedback (wrong): Not quite. Section 14(2) requires a meeting at least every three months.</w:t>
      </w:r>
    </w:p>
    <w:p>
      <w:pPr/>
      <w:r>
        <w:rPr>
          <w:b/>
        </w:rPr>
        <w:t xml:space="preserve">SLIDE 6 — Critical Information Infrastructure (sections 15–16).</w:t>
      </w:r>
      <w:r>
        <w:t xml:space="preserve"> Add a Text element:</w:t>
      </w:r>
    </w:p>
    <w:p>
      <w:pPr>
        <w:pStyle w:val="Code"/>
      </w:pPr>
      <w:bookmarkStart w:id="21" w:name="bongo_lang_text_21"/>
      <w:bookmarkEnd w:id="21"/>
      <w:r>
        <w:t xml:space="preserve">Only the Government can declare a computer system, network or information infrastructure to be Critical Information Infrastructure (CII), by Gazette notification. The list must be updated at least once a year (section 15).</w:t>
        <w:br/>
        <w:br/>
        <w:t xml:space="preserve">The Director General monitors and inspects CII from time to time and reports to the Council. Each CII must audit its internal and external infrastructure every year, send the audit report to the Council, and tell the Director General what it contains (section 16).</w:t>
        <w:br/>
        <w:br/>
        <w:t xml:space="preserve">If the Director General, after analysing data, believes a person's activity is a threat to CII, the Director General may inquire into it on their own motion or on anyone's complaint.</w:t>
        <w:br/>
        <w:br/>
        <w:t xml:space="preserve">Monitoring, inspection and audit must be done by people expert in cyber security, including recognised ICT laboratories or certified institutions.</w:t>
      </w:r>
    </w:p>
    <w:p>
      <w:pPr/>
      <w:r>
        <w:t xml:space="preserve">Then add a </w:t>
      </w:r>
      <w:r>
        <w:rPr>
          <w:b/>
        </w:rPr>
        <w:t xml:space="preserve">Drag the Words</w:t>
      </w:r>
      <w:r>
        <w:t xml:space="preserve"> element. Keep the asterisks:</w:t>
      </w:r>
    </w:p>
    <w:p>
      <w:pPr>
        <w:pStyle w:val="Code"/>
      </w:pPr>
      <w:bookmarkStart w:id="22" w:name="bongo_lang_text_22"/>
      <w:bookmarkEnd w:id="22"/>
      <w:r>
        <w:t xml:space="preserve">Only the *Government* can declare critical information infrastructure. The CII list must be updated at least once a *year*. Each CII must send its audit report to the *Council*. The Director General may inquire into a threat to CII on their own motion or on a *complaint*.</w:t>
      </w:r>
    </w:p>
    <w:p>
      <w:pPr/>
      <w:r>
        <w:rPr>
          <w:b/>
        </w:rPr>
        <w:t xml:space="preserve">SLIDE 7 — Badge.</w:t>
      </w:r>
      <w:r>
        <w:t xml:space="preserve"> Add a Text element:</w:t>
      </w:r>
    </w:p>
    <w:p>
      <w:pPr>
        <w:pStyle w:val="Code"/>
      </w:pPr>
      <w:bookmarkStart w:id="23" w:name="bongo_lang_text_23"/>
      <w:bookmarkEnd w:id="23"/>
      <w:r>
        <w:t xml:space="preserve">Module 2 complete. Badge earned: Agency Insider.</w:t>
        <w:br/>
        <w:br/>
        <w:t xml:space="preserve">Remember: the Agency is an attached office of the ICT Division; blocked content needs Tribunal permission within 3 days or must be restored; SOCs report every three months; the Council is chaired by the Prime Minister and meets at least every three months; only the Government can declare CII.</w:t>
        <w:br/>
        <w:br/>
        <w:t xml:space="preserve">Go back to the page and press Complete &amp; continue.</w:t>
      </w:r>
    </w:p>
    <w:p>
      <w:pPr>
        <w:pStyle w:val="Heading2"/>
      </w:pPr>
      <w:r>
        <w:t xml:space="preserve">H5P 4 — Module 3: Offences and liability (sections 17–30)</w:t>
      </w:r>
    </w:p>
    <w:p>
      <w:pPr/>
      <w:r>
        <w:rPr>
          <w:b/>
        </w:rPr>
        <w:t xml:space="preserve">Type:</w:t>
      </w:r>
      <w:r>
        <w:t xml:space="preserve"> Course Presentation, 9 slides, title </w:t>
      </w:r>
      <w:r>
        <w:rPr>
          <w:rStyle w:val="CodeChar"/>
        </w:rPr>
        <w:t xml:space="preserve">Module 3: Offences and liability</w:t>
      </w:r>
      <w:r>
        <w:t xml:space="preserve">. Save as </w:t>
      </w:r>
      <w:r>
        <w:rPr>
          <w:rStyle w:val="CodeChar"/>
        </w:rPr>
        <w:t xml:space="preserve">module3</w:t>
      </w:r>
      <w:r>
        <w:t xml:space="preserve">. All penalties are maximums; "or both" means imprisonment, fine, or both.</w:t>
      </w:r>
    </w:p>
    <w:p>
      <w:pPr/>
      <w:r>
        <w:rPr>
          <w:b/>
        </w:rPr>
        <w:t xml:space="preserve">SLIDE 1 — Welcome.</w:t>
      </w:r>
      <w:r>
        <w:t xml:space="preserve"> Add a Text element:</w:t>
      </w:r>
    </w:p>
    <w:p>
      <w:pPr>
        <w:pStyle w:val="Code"/>
      </w:pPr>
      <w:bookmarkStart w:id="24" w:name="bongo_lang_text_24"/>
      <w:bookmarkEnd w:id="24"/>
      <w:r>
        <w:t xml:space="preserve">Module 3: Offences and liability (sections 17–30)</w:t>
        <w:br/>
        <w:br/>
        <w:t xml:space="preserve">After this module you can: tell the main offences apart; state each maximum penalty; explain who else can be liable (abettors, officers of companies, people who file malicious cases); and describe the Tribunal's power to order compensation.</w:t>
        <w:br/>
        <w:br/>
        <w:t xml:space="preserve">About 25 minutes. 1 lakh = BDT 100,000. 1 crore = BDT 10,000,000.</w:t>
      </w:r>
    </w:p>
    <w:p>
      <w:pPr/>
      <w:r>
        <w:rPr>
          <w:b/>
        </w:rPr>
        <w:t xml:space="preserve">SLIDE 2 — Attacks on systems (sections 17–19).</w:t>
      </w:r>
      <w:r>
        <w:t xml:space="preserve"> Add a Text element:</w:t>
      </w:r>
    </w:p>
    <w:p>
      <w:pPr>
        <w:pStyle w:val="Code"/>
      </w:pPr>
      <w:bookmarkStart w:id="25" w:name="bongo_lang_text_25"/>
      <w:bookmarkEnd w:id="25"/>
      <w:r>
        <w:t xml:space="preserve">Section 17 — unlawful access to Critical Information Infrastructure (CII): up to 5 years, or a fine up to BDT 50 lakh, or both.</w:t>
        <w:br/>
        <w:t xml:space="preserve">If the access is used to steal, destroy, cancel, alter or reduce the value of data, to generate new data through an AI agent, to hide, destroy or alter source code, or to assist such acts: up to 7 years, or a fine up to BDT 1 crore, or both. It applies to persons, software developers and users of AI tools.</w:t>
        <w:br/>
        <w:br/>
        <w:t xml:space="preserve">Section 18 — unlawful access to computers and systems:</w:t>
        <w:br/>
        <w:t xml:space="preserve">- unlawful access, or helping with it: up to 1 year, or a fine up to BDT 10 lakh, or both;</w:t>
        <w:br/>
        <w:t xml:space="preserve">- with intent to commit an offence: up to 2 years, or a fine up to BDT 20 lakh, or both;</w:t>
        <w:br/>
        <w:t xml:space="preserve">- hacking that steals, destroys, cancels, alters or reduces the value of data: up to 5 years, or a fine up to BDT 50 lakh, or both.</w:t>
        <w:br/>
        <w:br/>
        <w:t xml:space="preserve">Section 19 — damage to computers and the infrastructure of cyberspace: collecting data without authority and with intent to harm; introducing or trying to introduce a virus or malware; damaging or trying to damage systems, data or physical infrastructure; blocking an authorised person's access; sending unsolicited phishing or ransomware mail with intent to harm; or manipulating a system so that a service used or a charge levied is credited to another person's account. Penalty: up to 5 years, or a fine up to BDT 50 lakh, or both.</w:t>
        <w:br/>
        <w:br/>
        <w:t xml:space="preserve">Note: section 20 is not part of the source text used in this course.</w:t>
      </w:r>
    </w:p>
    <w:p>
      <w:pPr/>
      <w:r>
        <w:t xml:space="preserve">Then add a </w:t>
      </w:r>
      <w:r>
        <w:rPr>
          <w:b/>
        </w:rPr>
        <w:t xml:space="preserve">Multiple Choice</w:t>
      </w:r>
      <w:r>
        <w:t xml:space="preserve"> element:</w:t>
      </w:r>
    </w:p>
    <w:p>
      <w:pPr>
        <w:pStyle w:val="Code"/>
      </w:pPr>
      <w:bookmarkStart w:id="26" w:name="bongo_lang_text_26"/>
      <w:bookmarkEnd w:id="26"/>
      <w:r>
        <w:t xml:space="preserve">Question: Someone sends ransomware emails to subscribers without permission, intending to cause harm. Which section applies?</w:t>
      </w:r>
    </w:p>
    <w:p>
      <w:pPr>
        <w:pStyle w:val="ListParagraph"/>
        <w:numPr>
          <w:ilvl w:val="0"/>
          <w:numId w:val="23"/>
        </w:numPr>
      </w:pPr>
      <w:r>
        <w:t xml:space="preserve">✔ Section 19</w:t>
      </w:r>
    </w:p>
    <w:p>
      <w:pPr>
        <w:pStyle w:val="ListParagraph"/>
        <w:numPr>
          <w:ilvl w:val="0"/>
          <w:numId w:val="23"/>
        </w:numPr>
      </w:pPr>
      <w:r>
        <w:t xml:space="preserve">Section 17</w:t>
      </w:r>
    </w:p>
    <w:p>
      <w:pPr>
        <w:pStyle w:val="ListParagraph"/>
        <w:numPr>
          <w:ilvl w:val="0"/>
          <w:numId w:val="23"/>
        </w:numPr>
      </w:pPr>
      <w:r>
        <w:t xml:space="preserve">Section 24</w:t>
      </w:r>
    </w:p>
    <w:p>
      <w:pPr>
        <w:pStyle w:val="ListParagraph"/>
        <w:numPr>
          <w:ilvl w:val="0"/>
          <w:numId w:val="23"/>
        </w:numPr>
      </w:pPr>
      <w:r>
        <w:t xml:space="preserve">Section 26</w:t>
      </w:r>
    </w:p>
    <w:p>
      <w:pPr/>
      <w:r>
        <w:t xml:space="preserve">Feedback (correct): Correct. Section 19 covers phishing and ransomware mail sent with intent to harm.</w:t>
      </w:r>
    </w:p>
    <w:p>
      <w:pPr/>
      <w:r>
        <w:t xml:space="preserve">Feedback (wrong): Not quite. Section 19 covers phishing and ransomware mail sent with intent to harm.</w:t>
      </w:r>
    </w:p>
    <w:p>
      <w:pPr/>
      <w:r>
        <w:t xml:space="preserve">Add a second </w:t>
      </w:r>
      <w:r>
        <w:rPr>
          <w:b/>
        </w:rPr>
        <w:t xml:space="preserve">Multiple Choice</w:t>
      </w:r>
      <w:r>
        <w:t xml:space="preserve"> element:</w:t>
      </w:r>
    </w:p>
    <w:p>
      <w:pPr>
        <w:pStyle w:val="Code"/>
      </w:pPr>
      <w:bookmarkStart w:id="27" w:name="bongo_lang_text_27"/>
      <w:bookmarkEnd w:id="27"/>
      <w:r>
        <w:t xml:space="preserve">Question: Unlawful access made with intent to commit another offence (section 18, second limb) carries up to:</w:t>
      </w:r>
    </w:p>
    <w:p>
      <w:pPr>
        <w:pStyle w:val="ListParagraph"/>
        <w:numPr>
          <w:ilvl w:val="0"/>
          <w:numId w:val="24"/>
        </w:numPr>
      </w:pPr>
      <w:r>
        <w:t xml:space="preserve">✔ 2 years, or a fine up to BDT 20 lakh, or both</w:t>
      </w:r>
    </w:p>
    <w:p>
      <w:pPr>
        <w:pStyle w:val="ListParagraph"/>
        <w:numPr>
          <w:ilvl w:val="0"/>
          <w:numId w:val="24"/>
        </w:numPr>
      </w:pPr>
      <w:r>
        <w:t xml:space="preserve">1 year, or a fine up to BDT 10 lakh, or both</w:t>
      </w:r>
    </w:p>
    <w:p>
      <w:pPr>
        <w:pStyle w:val="ListParagraph"/>
        <w:numPr>
          <w:ilvl w:val="0"/>
          <w:numId w:val="24"/>
        </w:numPr>
      </w:pPr>
      <w:r>
        <w:t xml:space="preserve">5 years, or a fine up to BDT 50 lakh, or both</w:t>
      </w:r>
    </w:p>
    <w:p>
      <w:pPr>
        <w:pStyle w:val="ListParagraph"/>
        <w:numPr>
          <w:ilvl w:val="0"/>
          <w:numId w:val="24"/>
        </w:numPr>
      </w:pPr>
      <w:r>
        <w:t xml:space="preserve">10 years, or a fine up to BDT 1 crore, or both</w:t>
      </w:r>
    </w:p>
    <w:p>
      <w:pPr/>
      <w:r>
        <w:t xml:space="preserve">Feedback (correct): Correct. That is the middle tier of section 18.</w:t>
      </w:r>
    </w:p>
    <w:p>
      <w:pPr/>
      <w:r>
        <w:t xml:space="preserve">Feedback (wrong): Not quite. The middle tier of section 18 is up to 2 years or BDT 20 lakh.</w:t>
      </w:r>
    </w:p>
    <w:p>
      <w:pPr/>
      <w:r>
        <w:rPr>
          <w:b/>
        </w:rPr>
        <w:t xml:space="preserve">SLIDE 3 — Cyber terrorism (section 23).</w:t>
      </w:r>
      <w:r>
        <w:t xml:space="preserve"> Add a Text element:</w:t>
      </w:r>
    </w:p>
    <w:p>
      <w:pPr>
        <w:pStyle w:val="Code"/>
      </w:pPr>
      <w:bookmarkStart w:id="28" w:name="bongo_lang_text_28"/>
      <w:bookmarkEnd w:id="28"/>
      <w:r>
        <w:t xml:space="preserve">Cyber terrorism is punished with up to 10 years, or a fine up to BDT 1 crore, or both.</w:t>
        <w:br/>
        <w:br/>
        <w:t xml:space="preserve">It includes: endangering the integrity, security or sovereignty of the State and, with intent to instil fear, blocking or gaining unlawful access to a computer, network or the internet; making harmful changes or introducing malware that cause, or are likely to cause, death or serious injury; attacking a computer system or server so that the supply of essential goods or services is disrupted or damaged, or damaging Critical Information Infrastructure; entering stored data or databases that could be used against friendly relations with a foreign State or public order, or for the benefit of a foreign State or any person or group; and hiding one's identity, assuming another's identity or distorting a national ID card in order to do any of these.</w:t>
        <w:br/>
        <w:br/>
        <w:t xml:space="preserve">A whistleblower who acts in the greater public interest in the stored-data limb is not covered.</w:t>
      </w:r>
    </w:p>
    <w:p>
      <w:pPr/>
      <w:r>
        <w:t xml:space="preserve">Then add a </w:t>
      </w:r>
      <w:r>
        <w:rPr>
          <w:b/>
        </w:rPr>
        <w:t xml:space="preserve">Multiple Choice</w:t>
      </w:r>
      <w:r>
        <w:t xml:space="preserve"> element:</w:t>
      </w:r>
    </w:p>
    <w:p>
      <w:pPr>
        <w:pStyle w:val="Code"/>
      </w:pPr>
      <w:bookmarkStart w:id="29" w:name="bongo_lang_text_29"/>
      <w:bookmarkEnd w:id="29"/>
      <w:r>
        <w:t xml:space="preserve">Question: What is the maximum penalty for cyber terrorism?</w:t>
      </w:r>
    </w:p>
    <w:p>
      <w:pPr>
        <w:pStyle w:val="ListParagraph"/>
        <w:numPr>
          <w:ilvl w:val="0"/>
          <w:numId w:val="25"/>
        </w:numPr>
      </w:pPr>
      <w:r>
        <w:t xml:space="preserve">✔ Up to 10 years, or a fine up to BDT 1 crore, or both</w:t>
      </w:r>
    </w:p>
    <w:p>
      <w:pPr>
        <w:pStyle w:val="ListParagraph"/>
        <w:numPr>
          <w:ilvl w:val="0"/>
          <w:numId w:val="25"/>
        </w:numPr>
      </w:pPr>
      <w:r>
        <w:t xml:space="preserve">Up to 5 years, or a fine up to BDT 50 lakh, or both</w:t>
      </w:r>
    </w:p>
    <w:p>
      <w:pPr>
        <w:pStyle w:val="ListParagraph"/>
        <w:numPr>
          <w:ilvl w:val="0"/>
          <w:numId w:val="25"/>
        </w:numPr>
      </w:pPr>
      <w:r>
        <w:t xml:space="preserve">Up to 2 years, or a fine up to BDT 10 lakh, or both</w:t>
      </w:r>
    </w:p>
    <w:p>
      <w:pPr>
        <w:pStyle w:val="ListParagraph"/>
        <w:numPr>
          <w:ilvl w:val="0"/>
          <w:numId w:val="25"/>
        </w:numPr>
      </w:pPr>
      <w:r>
        <w:t xml:space="preserve">Up to 7 years, or a fine up to BDT 1 crore, or both</w:t>
      </w:r>
    </w:p>
    <w:p>
      <w:pPr/>
      <w:r>
        <w:t xml:space="preserve">Feedback (correct): Correct. Cyber terrorism has the highest penalty in the Act.</w:t>
      </w:r>
    </w:p>
    <w:p>
      <w:pPr/>
      <w:r>
        <w:t xml:space="preserve">Feedback (wrong): Not quite. Cyber terrorism carries up to 10 years or BDT 1 crore.</w:t>
      </w:r>
    </w:p>
    <w:p>
      <w:pPr/>
      <w:r>
        <w:rPr>
          <w:b/>
        </w:rPr>
        <w:t xml:space="preserve">SLIDE 4 — Forgery, fraud and e-transactions (sections 21, 22, 24).</w:t>
      </w:r>
      <w:r>
        <w:t xml:space="preserve"> Add a Text element:</w:t>
      </w:r>
    </w:p>
    <w:p>
      <w:pPr>
        <w:pStyle w:val="Code"/>
      </w:pPr>
      <w:bookmarkStart w:id="30" w:name="bongo_lang_text_30"/>
      <w:bookmarkEnd w:id="30"/>
      <w:r>
        <w:t xml:space="preserve">Section 21 — forgery in cyberspace: up to 2 years, or a fine up to BDT 20 lakh, or both.</w:t>
        <w:br/>
        <w:t xml:space="preserve">It means using cyberspace, without right, beyond a right given, or by abusing authority, to do things such as: prepare, alter, delete or hide the inputs or outputs of a computer or digital device; produce digital documents or electronic files, or alter existing ones; produce digital money, electronic currency or cryptocurrency; operate mobile banking using a SIM registered under someone else's national ID card; engage in hundi activities; or run a gambling portal. It also covers AI agents.</w:t>
        <w:br/>
        <w:br/>
        <w:t xml:space="preserve">Section 22 — fraud in cyberspace: up to 5 years, or a fine up to BDT 50 lakh, or both.</w:t>
        <w:br/>
        <w:t xml:space="preserve">It means intentionally, knowingly or without permission altering, deleting, adding or distorting information in a computer program, system, network, digital device, e-commerce or social media, so that its value or usefulness falls, in order to gain a benefit for oneself or another, to cause harm, or to deceive.</w:t>
        <w:br/>
        <w:br/>
        <w:t xml:space="preserve">Section 24 — e-transactions without lawful authority: making an electronic transaction from a bank, insurance company, financial institution or mobile financial service without lawful authority, or despite the Government or Bangladesh Bank having declared it illegal. The Bengali text states the penalty as imprisonment up to 1 year and a fine up to BDT 10 lakh.</w:t>
      </w:r>
    </w:p>
    <w:p>
      <w:pPr/>
      <w:r>
        <w:t xml:space="preserve">Then add a </w:t>
      </w:r>
      <w:r>
        <w:rPr>
          <w:b/>
        </w:rPr>
        <w:t xml:space="preserve">Multiple Choice</w:t>
      </w:r>
      <w:r>
        <w:t xml:space="preserve"> element:</w:t>
      </w:r>
    </w:p>
    <w:p>
      <w:pPr>
        <w:pStyle w:val="Code"/>
      </w:pPr>
      <w:bookmarkStart w:id="31" w:name="bongo_lang_text_31"/>
      <w:bookmarkEnd w:id="31"/>
      <w:r>
        <w:t xml:space="preserve">Question: Running mobile banking with a SIM registered under someone else's national ID card is listed under which offence?</w:t>
      </w:r>
    </w:p>
    <w:p>
      <w:pPr>
        <w:pStyle w:val="ListParagraph"/>
        <w:numPr>
          <w:ilvl w:val="0"/>
          <w:numId w:val="26"/>
        </w:numPr>
      </w:pPr>
      <w:r>
        <w:t xml:space="preserve">✔ Forgery in cyberspace (section 21)</w:t>
      </w:r>
    </w:p>
    <w:p>
      <w:pPr>
        <w:pStyle w:val="ListParagraph"/>
        <w:numPr>
          <w:ilvl w:val="0"/>
          <w:numId w:val="26"/>
        </w:numPr>
      </w:pPr>
      <w:r>
        <w:t xml:space="preserve">Fraud in cyberspace (section 22)</w:t>
      </w:r>
    </w:p>
    <w:p>
      <w:pPr>
        <w:pStyle w:val="ListParagraph"/>
        <w:numPr>
          <w:ilvl w:val="0"/>
          <w:numId w:val="26"/>
        </w:numPr>
      </w:pPr>
      <w:r>
        <w:t xml:space="preserve">Cyber terrorism (section 23)</w:t>
      </w:r>
    </w:p>
    <w:p>
      <w:pPr>
        <w:pStyle w:val="ListParagraph"/>
        <w:numPr>
          <w:ilvl w:val="0"/>
          <w:numId w:val="26"/>
        </w:numPr>
      </w:pPr>
      <w:r>
        <w:t xml:space="preserve">Hate content (section 26)</w:t>
      </w:r>
    </w:p>
    <w:p>
      <w:pPr/>
      <w:r>
        <w:t xml:space="preserve">Feedback (correct): Correct. The explanation to section 21 lists this conduct.</w:t>
      </w:r>
    </w:p>
    <w:p>
      <w:pPr/>
      <w:r>
        <w:t xml:space="preserve">Feedback (wrong): Not quite. The explanation to section 21 lists this conduct.</w:t>
      </w:r>
    </w:p>
    <w:p>
      <w:pPr/>
      <w:r>
        <w:rPr>
          <w:b/>
        </w:rPr>
        <w:t xml:space="preserve">SLIDE 5 — Harms to people: section 25.</w:t>
      </w:r>
      <w:r>
        <w:t xml:space="preserve"> Add a Text element:</w:t>
      </w:r>
    </w:p>
    <w:p>
      <w:pPr>
        <w:pStyle w:val="Code"/>
      </w:pPr>
      <w:bookmarkStart w:id="32" w:name="bongo_lang_text_32"/>
      <w:bookmarkEnd w:id="32"/>
      <w:r>
        <w:t xml:space="preserve">Content note: this slide and the next explain the law on online sexual abuse and hate content. They do not give examples.</w:t>
        <w:br/>
        <w:br/>
        <w:t xml:space="preserve">Section 25 makes it an offence to send, publish or spread, or to threaten to send, publish or spread, any information, video, image, audio-visual material, graphics or other data (including AI-created or AI-edited material) with the intent of blackmail, sexual harassment, "revenge porn", digital child sexual abuse material, or sextortion, where the material is harmful or intimidating.</w:t>
        <w:br/>
        <w:br/>
        <w:t xml:space="preserve">Penalty: up to 2 years, or a fine up to BDT 10 lakh, or both.</w:t>
        <w:br/>
        <w:br/>
        <w:t xml:space="preserve">If the offence is against a woman or a child under 18: up to 5 years, or a fine up to BDT 20 lakh, or both.</w:t>
      </w:r>
    </w:p>
    <w:p>
      <w:pPr/>
      <w:r>
        <w:t xml:space="preserve">Then add a </w:t>
      </w:r>
      <w:r>
        <w:rPr>
          <w:b/>
        </w:rPr>
        <w:t xml:space="preserve">True/False</w:t>
      </w:r>
      <w:r>
        <w:t xml:space="preserve"> element:</w:t>
      </w:r>
    </w:p>
    <w:p>
      <w:pPr>
        <w:pStyle w:val="Code"/>
      </w:pPr>
      <w:bookmarkStart w:id="33" w:name="bongo_lang_text_33"/>
      <w:bookmarkEnd w:id="33"/>
      <w:r>
        <w:t xml:space="preserve">Statement: Threatening to publish such material is an offence only after the material has actually been published.</w:t>
      </w:r>
    </w:p>
    <w:p>
      <w:pPr/>
      <w:r>
        <w:t xml:space="preserve">Correct answer: </w:t>
      </w:r>
      <w:r>
        <w:rPr>
          <w:b/>
        </w:rPr>
        <w:t xml:space="preserve">False</w:t>
      </w:r>
      <w:r>
        <w:t xml:space="preserve">. Feedback: Section 25 covers threats to send, publish or spread the material as well as the act itself.</w:t>
      </w:r>
    </w:p>
    <w:p>
      <w:pPr/>
      <w:r>
        <w:rPr>
          <w:b/>
        </w:rPr>
        <w:t xml:space="preserve">SLIDE 6 — Definitions behind section 25, and section 26.</w:t>
      </w:r>
      <w:r>
        <w:t xml:space="preserve"> Add a Text element:</w:t>
      </w:r>
    </w:p>
    <w:p>
      <w:pPr>
        <w:pStyle w:val="Code"/>
      </w:pPr>
      <w:bookmarkStart w:id="34" w:name="bongo_lang_text_34"/>
      <w:bookmarkEnd w:id="34"/>
      <w:r>
        <w:t xml:space="preserve">Sexual harassment includes: repeatedly asking for nude images; abusing administrative or professional power to propose an unlawful physical relationship; sending unwanted sexual content; using technology without permission to turn someone's picture into pornographic material; and threatening, luring or pressuring someone because they did not respond to a relationship proposal.</w:t>
        <w:br/>
        <w:br/>
        <w:t xml:space="preserve">Revenge porn: spreading someone's intimate or private photos, videos or similar data, without permission and with intent to harm them.</w:t>
        <w:br/>
        <w:br/>
        <w:t xml:space="preserve">Sextortion: claiming to hold, or holding, someone's intimate or private photos or videos and threatening to publish them to get money, benefits or a physical relationship.</w:t>
        <w:br/>
        <w:br/>
        <w:t xml:space="preserve">Blackmailing: forcing someone, by threatening to disclose confidential information or to cause harm, to give an unlawful benefit or service or to do a demanded act.</w:t>
        <w:br/>
        <w:br/>
        <w:t xml:space="preserve">Digital child sexual abuse material is defined with reference to the Children Act, 2013. Material made only for legitimate purposes, such as law enforcement, investigation, medical care, authorised research, education or media reporting, is outside the definition.</w:t>
        <w:br/>
        <w:br/>
        <w:t xml:space="preserve">Section 26 — hate content: it is an offence to publish or spread in cyberspace, knowingly, or under a false identity, or through unlawful access to an ID, religious or communal hate speech or ethnic hostility that creates concern about violence or directs disorder or criminal activity. Penalty: up to 2 years, or a fine up to BDT 10 lakh, or both.</w:t>
      </w:r>
    </w:p>
    <w:p>
      <w:pPr/>
      <w:r>
        <w:rPr>
          <w:b/>
        </w:rPr>
        <w:t xml:space="preserve">SLIDE 7 — Who else is liable (sections 27–30).</w:t>
      </w:r>
      <w:r>
        <w:t xml:space="preserve"> Add a Text element:</w:t>
      </w:r>
    </w:p>
    <w:p>
      <w:pPr>
        <w:pStyle w:val="Code"/>
      </w:pPr>
      <w:bookmarkStart w:id="35" w:name="bongo_lang_text_35"/>
      <w:bookmarkEnd w:id="35"/>
      <w:r>
        <w:t xml:space="preserve">Section 27 — abetment: anyone who abets an offence under the Act commits an offence and is punished with the same punishment as the principal offence.</w:t>
        <w:br/>
        <w:br/>
        <w:t xml:space="preserve">Section 28 — false cases: if a person, intending to harm another, files or causes to be filed a case or complaint under the Act, knowing there is no just or lawful ground, both the person who filed it and the person who caused it to be filed are punished with the punishment for the principal offence. If false complaints are filed under more than one section, the higher punishment may be fixed. The Tribunal may take up this offence on a written complaint of the aggrieved person or an authorised person, or on its own motion.</w:t>
        <w:br/>
        <w:br/>
        <w:t xml:space="preserve">Section 29 — companies: when a company commits an offence, every owner, chief executive, director, manager, secretary, partner or other officer, employee or representative who is directly involved is deemed to have committed it, unless they prove it happened without their knowledge or that they made all possible efforts to prevent it. A company with legal personality may also be prosecuted separately in the same proceeding, but only a fine can be imposed on it.</w:t>
        <w:br/>
        <w:br/>
        <w:t xml:space="preserve">Section 30 — compensation: the Tribunal may order compensation equal to the loss caused, or another appropriate amount, to the affected person or institution, either out of the fine or in addition to the fine.</w:t>
      </w:r>
    </w:p>
    <w:p>
      <w:pPr/>
      <w:r>
        <w:t xml:space="preserve">Then add a </w:t>
      </w:r>
      <w:r>
        <w:rPr>
          <w:b/>
        </w:rPr>
        <w:t xml:space="preserve">Multiple Choice</w:t>
      </w:r>
      <w:r>
        <w:t xml:space="preserve"> element:</w:t>
      </w:r>
    </w:p>
    <w:p>
      <w:pPr>
        <w:pStyle w:val="Code"/>
      </w:pPr>
      <w:bookmarkStart w:id="36" w:name="bongo_lang_text_36"/>
      <w:bookmarkEnd w:id="36"/>
      <w:r>
        <w:t xml:space="preserve">Question: A person knowingly helps another to commit an offence under the Act. What is the helper's position?</w:t>
      </w:r>
    </w:p>
    <w:p>
      <w:pPr>
        <w:pStyle w:val="ListParagraph"/>
        <w:numPr>
          <w:ilvl w:val="0"/>
          <w:numId w:val="27"/>
        </w:numPr>
      </w:pPr>
      <w:r>
        <w:t xml:space="preserve">✔ Liable for abetment, with the same punishment as the principal offence</w:t>
      </w:r>
    </w:p>
    <w:p>
      <w:pPr>
        <w:pStyle w:val="ListParagraph"/>
        <w:numPr>
          <w:ilvl w:val="0"/>
          <w:numId w:val="27"/>
        </w:numPr>
      </w:pPr>
      <w:r>
        <w:t xml:space="preserve">Not liable, because someone else committed the offence</w:t>
      </w:r>
    </w:p>
    <w:p>
      <w:pPr>
        <w:pStyle w:val="ListParagraph"/>
        <w:numPr>
          <w:ilvl w:val="0"/>
          <w:numId w:val="27"/>
        </w:numPr>
      </w:pPr>
      <w:r>
        <w:t xml:space="preserve">Liable only to pay compensation</w:t>
      </w:r>
    </w:p>
    <w:p>
      <w:pPr>
        <w:pStyle w:val="ListParagraph"/>
        <w:numPr>
          <w:ilvl w:val="0"/>
          <w:numId w:val="27"/>
        </w:numPr>
      </w:pPr>
      <w:r>
        <w:t xml:space="preserve">Liable only if the helper is a company</w:t>
      </w:r>
    </w:p>
    <w:p>
      <w:pPr/>
      <w:r>
        <w:t xml:space="preserve">Feedback (correct): Correct. Section 27 punishes an abettor like the principal offender.</w:t>
      </w:r>
    </w:p>
    <w:p>
      <w:pPr/>
      <w:r>
        <w:t xml:space="preserve">Feedback (wrong): Not quite. Section 27 punishes an abettor with the same punishment as the principal offence.</w:t>
      </w:r>
    </w:p>
    <w:p>
      <w:pPr/>
      <w:r>
        <w:rPr>
          <w:b/>
        </w:rPr>
        <w:t xml:space="preserve">SLIDE 8 — Fill in the gaps.</w:t>
      </w:r>
      <w:r>
        <w:t xml:space="preserve"> Add a </w:t>
      </w:r>
      <w:r>
        <w:rPr>
          <w:b/>
        </w:rPr>
        <w:t xml:space="preserve">Drag the Words</w:t>
      </w:r>
      <w:r>
        <w:t xml:space="preserve"> element. Keep the asterisks:</w:t>
      </w:r>
    </w:p>
    <w:p>
      <w:pPr>
        <w:pStyle w:val="Code"/>
      </w:pPr>
      <w:bookmarkStart w:id="37" w:name="bongo_lang_text_37"/>
      <w:bookmarkEnd w:id="37"/>
      <w:r>
        <w:t xml:space="preserve">Hacking that steals or alters data on an ordinary system (section 18) carries up to *5 years*. Forgery in cyberspace carries up to *2 years*. Cyber terrorism carries up to *10 years*. An abettor receives the *same* punishment as the principal offender. The Tribunal may order *compensation* equal to the loss caused.</w:t>
      </w:r>
    </w:p>
    <w:p>
      <w:pPr/>
      <w:r>
        <w:rPr>
          <w:b/>
        </w:rPr>
        <w:t xml:space="preserve">SLIDE 9 — Badge.</w:t>
      </w:r>
      <w:r>
        <w:t xml:space="preserve"> Add a Text element:</w:t>
      </w:r>
    </w:p>
    <w:p>
      <w:pPr>
        <w:pStyle w:val="Code"/>
      </w:pPr>
      <w:bookmarkStart w:id="38" w:name="bongo_lang_text_38"/>
      <w:bookmarkEnd w:id="38"/>
      <w:r>
        <w:t xml:space="preserve">Module 3 complete. Badge earned: Offence Expert.</w:t>
        <w:br/>
        <w:br/>
        <w:t xml:space="preserve">Remember the ladder: 1 year (basic access) → 2 years (forgery; access with intent) → 5 years (fraud, hacking, damage) → 7 years (CII access with theft or alteration) → 10 years (cyber terrorism). Women and children get a higher tier under section 25. Abettors, company officers and malicious complainants can be liable too.</w:t>
        <w:br/>
        <w:br/>
        <w:t xml:space="preserve">Go back to the page and press Complete &amp; continue.</w:t>
      </w:r>
    </w:p>
    <w:p>
      <w:pPr>
        <w:pStyle w:val="Heading2"/>
      </w:pPr>
      <w:r>
        <w:t xml:space="preserve">H5P 5 — Module 4: Investigation and trial (sections 31–45)</w:t>
      </w:r>
    </w:p>
    <w:p>
      <w:pPr/>
      <w:r>
        <w:rPr>
          <w:b/>
        </w:rPr>
        <w:t xml:space="preserve">Type:</w:t>
      </w:r>
      <w:r>
        <w:t xml:space="preserve"> Course Presentation, 8 slides, title </w:t>
      </w:r>
      <w:r>
        <w:rPr>
          <w:rStyle w:val="CodeChar"/>
        </w:rPr>
        <w:t xml:space="preserve">Module 4: Investigation and trial</w:t>
      </w:r>
      <w:r>
        <w:t xml:space="preserve">. Save as </w:t>
      </w:r>
      <w:r>
        <w:rPr>
          <w:rStyle w:val="CodeChar"/>
        </w:rPr>
        <w:t xml:space="preserve">module4</w:t>
      </w:r>
      <w:r>
        <w:t xml:space="preserve">.</w:t>
      </w:r>
    </w:p>
    <w:p>
      <w:pPr/>
      <w:r>
        <w:rPr>
          <w:b/>
        </w:rPr>
        <w:t xml:space="preserve">SLIDE 1 — Welcome.</w:t>
      </w:r>
      <w:r>
        <w:t xml:space="preserve"> Add a Text element:</w:t>
      </w:r>
    </w:p>
    <w:p>
      <w:pPr>
        <w:pStyle w:val="Code"/>
      </w:pPr>
      <w:bookmarkStart w:id="39" w:name="bongo_lang_text_39"/>
      <w:bookmarkEnd w:id="39"/>
      <w:r>
        <w:t xml:space="preserve">Module 4: Investigation and trial (sections 31–45)</w:t>
        <w:br/>
        <w:br/>
        <w:t xml:space="preserve">After this module you can: follow a case from complaint to judgment; state the investigation and trial time limits; explain when search and arrest without a warrant are allowed; and describe how evidence, experts and appeals work.</w:t>
        <w:br/>
        <w:br/>
        <w:t xml:space="preserve">About 20 minutes.</w:t>
      </w:r>
    </w:p>
    <w:p>
      <w:pPr/>
      <w:r>
        <w:rPr>
          <w:b/>
        </w:rPr>
        <w:t xml:space="preserve">SLIDE 2 — Investigation and time limits (sections 31–32).</w:t>
      </w:r>
      <w:r>
        <w:t xml:space="preserve"> Add a Text element:</w:t>
      </w:r>
    </w:p>
    <w:p>
      <w:pPr>
        <w:pStyle w:val="Code"/>
      </w:pPr>
      <w:bookmarkStart w:id="40" w:name="bongo_lang_text_40"/>
      <w:bookmarkEnd w:id="40"/>
      <w:r>
        <w:t xml:space="preserve">Offences under the Act are investigated by a police officer (not below the rank of Sub-Inspector) or another investigating officer mentioned in the Chapter (section 31). The Tribunal may form a joint investigation team of the investigating agency, law-enforcement agencies and the Agency.</w:t>
        <w:br/>
        <w:br/>
        <w:t xml:space="preserve">Cases under sections 21, 25 and 26: within 24 hours of filing, the case record, and any detained person, must be produced before the Magistrate. Within 24 hours of receiving it, the Magistrate, after hearing the aggrieved person or their lawyer, either directs an investigation (if the allegation has a basis) or records reasons, dismisses the allegation and orders the immediate release of any detained person.</w:t>
        <w:br/>
        <w:br/>
        <w:t xml:space="preserve">Time limit (section 32): the investigating officer must finish within 90 days. With the controlling officer's approval, 15 more days. After that, the officer must record reasons, report to the Tribunal and, with its permission, may take 30 more days. If technical limits stop some work being finished, the Tribunal may extend the time by a reasonable period.</w:t>
      </w:r>
    </w:p>
    <w:p>
      <w:pPr/>
      <w:r>
        <w:t xml:space="preserve">Then add a </w:t>
      </w:r>
      <w:r>
        <w:rPr>
          <w:b/>
        </w:rPr>
        <w:t xml:space="preserve">Multiple Choice</w:t>
      </w:r>
      <w:r>
        <w:t xml:space="preserve"> element:</w:t>
      </w:r>
    </w:p>
    <w:p>
      <w:pPr>
        <w:pStyle w:val="Code"/>
      </w:pPr>
      <w:bookmarkStart w:id="41" w:name="bongo_lang_text_41"/>
      <w:bookmarkEnd w:id="41"/>
      <w:r>
        <w:t xml:space="preserve">Question: After the first 90 days of an investigation, what extension is available, and who approves it?</w:t>
      </w:r>
    </w:p>
    <w:p>
      <w:pPr>
        <w:pStyle w:val="ListParagraph"/>
        <w:numPr>
          <w:ilvl w:val="0"/>
          <w:numId w:val="28"/>
        </w:numPr>
      </w:pPr>
      <w:r>
        <w:t xml:space="preserve">✔ 15 more days, approved by the controlling officer</w:t>
      </w:r>
    </w:p>
    <w:p>
      <w:pPr>
        <w:pStyle w:val="ListParagraph"/>
        <w:numPr>
          <w:ilvl w:val="0"/>
          <w:numId w:val="28"/>
        </w:numPr>
      </w:pPr>
      <w:r>
        <w:t xml:space="preserve">30 more days, approved by the controlling officer</w:t>
      </w:r>
    </w:p>
    <w:p>
      <w:pPr>
        <w:pStyle w:val="ListParagraph"/>
        <w:numPr>
          <w:ilvl w:val="0"/>
          <w:numId w:val="28"/>
        </w:numPr>
      </w:pPr>
      <w:r>
        <w:t xml:space="preserve">15 more days, approved by the Tribunal</w:t>
      </w:r>
    </w:p>
    <w:p>
      <w:pPr>
        <w:pStyle w:val="ListParagraph"/>
        <w:numPr>
          <w:ilvl w:val="0"/>
          <w:numId w:val="28"/>
        </w:numPr>
      </w:pPr>
      <w:r>
        <w:t xml:space="preserve">7 more days, approved by the Director General</w:t>
      </w:r>
    </w:p>
    <w:p>
      <w:pPr/>
      <w:r>
        <w:t xml:space="preserve">Feedback (correct): Correct. The 15 days need the controlling officer's approval; a further 30 days need the Tribunal's permission.</w:t>
      </w:r>
    </w:p>
    <w:p>
      <w:pPr/>
      <w:r>
        <w:t xml:space="preserve">Feedback (wrong): Not quite. The first extension is 15 days with the controlling officer's approval; then 30 days with the Tribunal's permission.</w:t>
      </w:r>
    </w:p>
    <w:p>
      <w:pPr/>
      <w:r>
        <w:rPr>
          <w:b/>
        </w:rPr>
        <w:t xml:space="preserve">SLIDE 3 — Evidence and duties during investigation (sections 36–39).</w:t>
      </w:r>
      <w:r>
        <w:t xml:space="preserve"> Add a Text element:</w:t>
      </w:r>
    </w:p>
    <w:p>
      <w:pPr>
        <w:pStyle w:val="Code"/>
      </w:pPr>
      <w:bookmarkStart w:id="42" w:name="bongo_lang_text_42"/>
      <w:bookmarkEnd w:id="42"/>
      <w:r>
        <w:t xml:space="preserve">Preserving data (section 36): if the Director General believes data stored in a computer or system must be preserved for an investigation and could be destroyed, altered or made unavailable, the Director General may direct the person in charge to preserve it for up to 90 days. On application, the Tribunal may extend this, but never beyond 180 days in total.</w:t>
        <w:br/>
        <w:br/>
        <w:t xml:space="preserve">Not disrupting use (section 37): investigators must not disrupt the lawful use of a computer or network. A computer, system or network may be seized only if it cannot be accessed, or if not seizing it would probably lead to data being destroyed, altered or made unavailable, in order to prevent or stop an offence.</w:t>
        <w:br/>
        <w:br/>
        <w:t xml:space="preserve">Assistance (section 38): an investigating officer may ask any person, entity or service provider for information or help, and they must provide it.</w:t>
        <w:br/>
        <w:br/>
        <w:t xml:space="preserve">Confidentiality (section 39): no civil or criminal complaint may be filed against a person, entity or service provider for providing or disclosing information for an investigation. Everyone connected with an investigation must keep the information confidential. Breaking confidentiality is punished with up to 2 years, or a fine up to BDT 1 lakh, or both. A list of information disclosed for investigations must be sent to the Council every six months.</w:t>
      </w:r>
    </w:p>
    <w:p>
      <w:pPr/>
      <w:r>
        <w:t xml:space="preserve">Then add a </w:t>
      </w:r>
      <w:r>
        <w:rPr>
          <w:b/>
        </w:rPr>
        <w:t xml:space="preserve">True/False</w:t>
      </w:r>
      <w:r>
        <w:t xml:space="preserve"> element:</w:t>
      </w:r>
    </w:p>
    <w:p>
      <w:pPr>
        <w:pStyle w:val="Code"/>
      </w:pPr>
      <w:bookmarkStart w:id="43" w:name="bongo_lang_text_43"/>
      <w:bookmarkEnd w:id="43"/>
      <w:r>
        <w:t xml:space="preserve">Statement: A service provider that gives information to an investigating officer can later be sued for doing so.</w:t>
      </w:r>
    </w:p>
    <w:p>
      <w:pPr/>
      <w:r>
        <w:t xml:space="preserve">Correct answer: </w:t>
      </w:r>
      <w:r>
        <w:rPr>
          <w:b/>
        </w:rPr>
        <w:t xml:space="preserve">False</w:t>
      </w:r>
      <w:r>
        <w:t xml:space="preserve">. Feedback: Section 39 protects those who disclose information for an investigation from civil and criminal complaints.</w:t>
      </w:r>
    </w:p>
    <w:p>
      <w:pPr/>
      <w:r>
        <w:rPr>
          <w:b/>
        </w:rPr>
        <w:t xml:space="preserve">SLIDE 4 — Search and seizure (sections 34–35).</w:t>
      </w:r>
      <w:r>
        <w:t xml:space="preserve"> Add a Text element:</w:t>
      </w:r>
    </w:p>
    <w:p>
      <w:pPr>
        <w:pStyle w:val="Code"/>
      </w:pPr>
      <w:bookmarkStart w:id="44" w:name="bongo_lang_text_44"/>
      <w:bookmarkEnd w:id="44"/>
      <w:r>
        <w:t xml:space="preserve">With a warrant (section 34): if a police officer has reason to believe an offence has been or is likely to be committed, or that a computer, system, network, data or other evidence is kept somewhere, the officer records the reasons and applies to the Tribunal, or to the Chief Judicial Magistrate or Chief Metropolitan Magistrate, for a search warrant. The officer may then obtain data of any data flow held by a service provider, and intercept or obstruct electronic communication, including subscriber information and traffic data, at any stage of communication.</w:t>
        <w:br/>
        <w:br/>
        <w:t xml:space="preserve">Without a warrant (section 35): only where there is a cyber attack on Critical Information Infrastructure, or unlawful access, intrusion or hacking, and evidence is likely to be deleted, altered, destroyed, lost or made unavailable. After recording reasons, the officer may enter and search the place, seize equipment and documents, search people present, and arrest anyone present who is suspected of the offence.</w:t>
        <w:br/>
        <w:br/>
        <w:t xml:space="preserve">Afterwards: the officer must immediately report the search to the Tribunal, and must produce an arrested person before the nearest Magistrate or the Tribunal without delay, and within 24 hours excluding travel time (Article 33 of the Constitution).</w:t>
        <w:br/>
        <w:br/>
        <w:t xml:space="preserve">Note: section 33 is not part of the source text used in this course.</w:t>
      </w:r>
    </w:p>
    <w:p>
      <w:pPr/>
      <w:r>
        <w:t xml:space="preserve">Then add a </w:t>
      </w:r>
      <w:r>
        <w:rPr>
          <w:b/>
        </w:rPr>
        <w:t xml:space="preserve">Multiple Choice</w:t>
      </w:r>
      <w:r>
        <w:t xml:space="preserve"> element:</w:t>
      </w:r>
    </w:p>
    <w:p>
      <w:pPr>
        <w:pStyle w:val="Code"/>
      </w:pPr>
      <w:bookmarkStart w:id="45" w:name="bongo_lang_text_45"/>
      <w:bookmarkEnd w:id="45"/>
      <w:r>
        <w:t xml:space="preserve">Question: From whom does a police officer obtain a search warrant under section 34?</w:t>
      </w:r>
    </w:p>
    <w:p>
      <w:pPr>
        <w:pStyle w:val="ListParagraph"/>
        <w:numPr>
          <w:ilvl w:val="0"/>
          <w:numId w:val="29"/>
        </w:numPr>
      </w:pPr>
      <w:r>
        <w:t xml:space="preserve">✔ The Tribunal, or the Chief Judicial Magistrate or Chief Metropolitan Magistrate</w:t>
      </w:r>
    </w:p>
    <w:p>
      <w:pPr>
        <w:pStyle w:val="ListParagraph"/>
        <w:numPr>
          <w:ilvl w:val="0"/>
          <w:numId w:val="29"/>
        </w:numPr>
      </w:pPr>
      <w:r>
        <w:t xml:space="preserve">The Director General of the Agency</w:t>
      </w:r>
    </w:p>
    <w:p>
      <w:pPr>
        <w:pStyle w:val="ListParagraph"/>
        <w:numPr>
          <w:ilvl w:val="0"/>
          <w:numId w:val="29"/>
        </w:numPr>
      </w:pPr>
      <w:r>
        <w:t xml:space="preserve">The Council</w:t>
      </w:r>
    </w:p>
    <w:p>
      <w:pPr>
        <w:pStyle w:val="ListParagraph"/>
        <w:numPr>
          <w:ilvl w:val="0"/>
          <w:numId w:val="29"/>
        </w:numPr>
      </w:pPr>
      <w:r>
        <w:t xml:space="preserve">BTRC</w:t>
      </w:r>
    </w:p>
    <w:p>
      <w:pPr/>
      <w:r>
        <w:t xml:space="preserve">Feedback (correct): Correct. Section 34 names the Tribunal and the Chief Judicial or Metropolitan Magistrate.</w:t>
      </w:r>
    </w:p>
    <w:p>
      <w:pPr/>
      <w:r>
        <w:t xml:space="preserve">Feedback (wrong): Not quite. Section 34 names the Tribunal, or the Chief Judicial Magistrate or Chief Metropolitan Magistrate.</w:t>
      </w:r>
    </w:p>
    <w:p>
      <w:pPr/>
      <w:r>
        <w:rPr>
          <w:b/>
        </w:rPr>
        <w:t xml:space="preserve">SLIDE 5 — Filing and jurisdiction (sections 40–42).</w:t>
      </w:r>
      <w:r>
        <w:t xml:space="preserve"> Add a Text element:</w:t>
      </w:r>
    </w:p>
    <w:p>
      <w:pPr>
        <w:pStyle w:val="Code"/>
      </w:pPr>
      <w:bookmarkStart w:id="46" w:name="bongo_lang_text_46"/>
      <w:bookmarkEnd w:id="46"/>
      <w:r>
        <w:t xml:space="preserve">Who may file a case (section 40): only the aggrieved person, a person they authorise in writing, or a member of a law-enforcement agency.</w:t>
        <w:br/>
        <w:br/>
        <w:t xml:space="preserve">If the police refuse to accept a complaint, the aggrieved person (or their authorised person) can file a written complaint, with an affidavit, to the Tribunal. The Tribunal examines the complainant; if satisfied, it directs a police officer to investigate, and if not satisfied, it dismisses the complaint.</w:t>
        <w:br/>
        <w:br/>
        <w:t xml:space="preserve">The Tribunal cannot take cognisance of an offence without a written report from the police officer or the joint investigation team. It follows the trial procedure of a Court of Session in Chapter 23 of the Code of Criminal Procedure, so far as this is consistent with the Act.</w:t>
        <w:br/>
        <w:br/>
        <w:t xml:space="preserve">Trial and appeal (section 41): offences under the Act are tried only by the Tribunal. Appeals go to the Appellate Tribunal.</w:t>
        <w:br/>
        <w:br/>
        <w:t xml:space="preserve">Other laws (section 42): unless this Act says otherwise, the Code of Criminal Procedure, 1898, the Evidence Act, 1872 and the ICT Act, 2006 apply. The Tribunal has the powers of a Court of Session exercising original jurisdiction.</w:t>
      </w:r>
    </w:p>
    <w:p>
      <w:pPr/>
      <w:r>
        <w:t xml:space="preserve">Then add a </w:t>
      </w:r>
      <w:r>
        <w:rPr>
          <w:b/>
        </w:rPr>
        <w:t xml:space="preserve">Multiple Choice</w:t>
      </w:r>
      <w:r>
        <w:t xml:space="preserve"> element:</w:t>
      </w:r>
    </w:p>
    <w:p>
      <w:pPr>
        <w:pStyle w:val="Code"/>
      </w:pPr>
      <w:bookmarkStart w:id="47" w:name="bongo_lang_text_47"/>
      <w:bookmarkEnd w:id="47"/>
      <w:r>
        <w:t xml:space="preserve">Question: Who may file a case under the Act?</w:t>
      </w:r>
    </w:p>
    <w:p>
      <w:pPr>
        <w:pStyle w:val="ListParagraph"/>
        <w:numPr>
          <w:ilvl w:val="0"/>
          <w:numId w:val="30"/>
        </w:numPr>
      </w:pPr>
      <w:r>
        <w:t xml:space="preserve">✔ The aggrieved person, a person they authorise in writing, or a member of a law-enforcement agency</w:t>
      </w:r>
    </w:p>
    <w:p>
      <w:pPr>
        <w:pStyle w:val="ListParagraph"/>
        <w:numPr>
          <w:ilvl w:val="0"/>
          <w:numId w:val="30"/>
        </w:numPr>
      </w:pPr>
      <w:r>
        <w:t xml:space="preserve">Any member of the public</w:t>
      </w:r>
    </w:p>
    <w:p>
      <w:pPr>
        <w:pStyle w:val="ListParagraph"/>
        <w:numPr>
          <w:ilvl w:val="0"/>
          <w:numId w:val="30"/>
        </w:numPr>
      </w:pPr>
      <w:r>
        <w:t xml:space="preserve">Only the Director General</w:t>
      </w:r>
    </w:p>
    <w:p>
      <w:pPr>
        <w:pStyle w:val="ListParagraph"/>
        <w:numPr>
          <w:ilvl w:val="0"/>
          <w:numId w:val="30"/>
        </w:numPr>
      </w:pPr>
      <w:r>
        <w:t xml:space="preserve">Only the Council</w:t>
      </w:r>
    </w:p>
    <w:p>
      <w:pPr/>
      <w:r>
        <w:t xml:space="preserve">Feedback (correct): Correct. Section 40(1) limits who can file.</w:t>
      </w:r>
    </w:p>
    <w:p>
      <w:pPr/>
      <w:r>
        <w:t xml:space="preserve">Feedback (wrong): Not quite. Section 40(1) allows only the aggrieved person, their written authorised person, or a law-enforcement member.</w:t>
      </w:r>
    </w:p>
    <w:p>
      <w:pPr/>
      <w:r>
        <w:rPr>
          <w:b/>
        </w:rPr>
        <w:t xml:space="preserve">SLIDE 6 — Evidence, experts and the trial time limit (sections 43–45).</w:t>
      </w:r>
      <w:r>
        <w:t xml:space="preserve"> Add a Text element:</w:t>
      </w:r>
    </w:p>
    <w:p>
      <w:pPr>
        <w:pStyle w:val="Code"/>
      </w:pPr>
      <w:bookmarkStart w:id="48" w:name="bongo_lang_text_48"/>
      <w:bookmarkEnd w:id="48"/>
      <w:r>
        <w:t xml:space="preserve">Evidence (section 43): forensic evidence obtained or collected under the Act is admissible in trial, and digital forensic evidence prepared in a digital forensic lab must be preserved.</w:t>
        <w:br/>
        <w:br/>
        <w:t xml:space="preserve">Experts and training (section 44): the Tribunal and the Appellate Tribunal may take the opinion of experts in computer science, digital forensics, electronic communication and data security. The Government or the Agency may train everyone involved in implementing the Act.</w:t>
        <w:br/>
        <w:br/>
        <w:t xml:space="preserve">Time limit (section 45): the judge must dispose of a case within 180 working days from the date of framing the charge. If this is not possible, the judge may record reasons and extend the time by up to 90 working days. If the case is still not finished, the judge may record reasons, report the matter to the High Court Division and continue the proceedings.</w:t>
      </w:r>
    </w:p>
    <w:p>
      <w:pPr/>
      <w:r>
        <w:t xml:space="preserve">Then add a </w:t>
      </w:r>
      <w:r>
        <w:rPr>
          <w:b/>
        </w:rPr>
        <w:t xml:space="preserve">Multiple Choice</w:t>
      </w:r>
      <w:r>
        <w:t xml:space="preserve"> element:</w:t>
      </w:r>
    </w:p>
    <w:p>
      <w:pPr>
        <w:pStyle w:val="Code"/>
      </w:pPr>
      <w:bookmarkStart w:id="49" w:name="bongo_lang_text_49"/>
      <w:bookmarkEnd w:id="49"/>
      <w:r>
        <w:t xml:space="preserve">Question: The extended trial period has also run out. What may the judge do?</w:t>
      </w:r>
    </w:p>
    <w:p>
      <w:pPr>
        <w:pStyle w:val="ListParagraph"/>
        <w:numPr>
          <w:ilvl w:val="0"/>
          <w:numId w:val="31"/>
        </w:numPr>
      </w:pPr>
      <w:r>
        <w:t xml:space="preserve">✔ Record reasons, report to the High Court Division and continue the proceedings</w:t>
      </w:r>
    </w:p>
    <w:p>
      <w:pPr>
        <w:pStyle w:val="ListParagraph"/>
        <w:numPr>
          <w:ilvl w:val="0"/>
          <w:numId w:val="31"/>
        </w:numPr>
      </w:pPr>
      <w:r>
        <w:t xml:space="preserve">Close the case automatically</w:t>
      </w:r>
    </w:p>
    <w:p>
      <w:pPr>
        <w:pStyle w:val="ListParagraph"/>
        <w:numPr>
          <w:ilvl w:val="0"/>
          <w:numId w:val="31"/>
        </w:numPr>
      </w:pPr>
      <w:r>
        <w:t xml:space="preserve">Transfer the case to the Agency</w:t>
      </w:r>
    </w:p>
    <w:p>
      <w:pPr>
        <w:pStyle w:val="ListParagraph"/>
        <w:numPr>
          <w:ilvl w:val="0"/>
          <w:numId w:val="31"/>
        </w:numPr>
      </w:pPr>
      <w:r>
        <w:t xml:space="preserve">Wait for the Council to give new time</w:t>
      </w:r>
    </w:p>
    <w:p>
      <w:pPr/>
      <w:r>
        <w:t xml:space="preserve">Feedback (correct): Correct. Section 45(3) allows the case to continue after reasons are recorded and the High Court Division is informed.</w:t>
      </w:r>
    </w:p>
    <w:p>
      <w:pPr/>
      <w:r>
        <w:t xml:space="preserve">Feedback (wrong): Not quite. Section 45(3) lets the judge continue after recording reasons and reporting to the High Court Division.</w:t>
      </w:r>
    </w:p>
    <w:p>
      <w:pPr/>
      <w:r>
        <w:rPr>
          <w:b/>
        </w:rPr>
        <w:t xml:space="preserve">SLIDE 7 — Fill in the gaps.</w:t>
      </w:r>
      <w:r>
        <w:t xml:space="preserve"> Add a </w:t>
      </w:r>
      <w:r>
        <w:rPr>
          <w:b/>
        </w:rPr>
        <w:t xml:space="preserve">Drag the Words</w:t>
      </w:r>
      <w:r>
        <w:t xml:space="preserve"> element. Keep the asterisks:</w:t>
      </w:r>
    </w:p>
    <w:p>
      <w:pPr>
        <w:pStyle w:val="Code"/>
      </w:pPr>
      <w:bookmarkStart w:id="50" w:name="bongo_lang_text_50"/>
      <w:bookmarkEnd w:id="50"/>
      <w:r>
        <w:t xml:space="preserve">Offences under the Act are tried only by the *Tribunal*. Appeals go to the *Appellate Tribunal*. The Tribunal cannot take cognisance without a written *police* report. An investigation first runs for *90* days. Data may be preserved for up to *180* days in total.</w:t>
      </w:r>
    </w:p>
    <w:p>
      <w:pPr/>
      <w:r>
        <w:rPr>
          <w:b/>
        </w:rPr>
        <w:t xml:space="preserve">SLIDE 8 — Badge.</w:t>
      </w:r>
      <w:r>
        <w:t xml:space="preserve"> Add a Text element:</w:t>
      </w:r>
    </w:p>
    <w:p>
      <w:pPr>
        <w:pStyle w:val="Code"/>
      </w:pPr>
      <w:bookmarkStart w:id="51" w:name="bongo_lang_text_51"/>
      <w:bookmarkEnd w:id="51"/>
      <w:r>
        <w:t xml:space="preserve">Module 4 complete. Badge earned: Chief Investigator.</w:t>
        <w:br/>
        <w:br/>
        <w:t xml:space="preserve">Remember the clocks: 24 hours (record to Magistrate; arrested person produced) → 90 + 15 + 30 days (investigation) → 90 days, up to 180 in total (data preservation) → 180 + 90 working days (trial).</w:t>
        <w:br/>
        <w:br/>
        <w:t xml:space="preserve">Go back to the page and press Complete &amp; continue.</w:t>
      </w:r>
    </w:p>
    <w:p>
      <w:pPr>
        <w:pStyle w:val="Heading2"/>
      </w:pPr>
      <w:r>
        <w:t xml:space="preserve">H5P 6 — Module 5: Classification, forfeiture and transition (sections 46–52)</w:t>
      </w:r>
    </w:p>
    <w:p>
      <w:pPr/>
      <w:r>
        <w:rPr>
          <w:b/>
        </w:rPr>
        <w:t xml:space="preserve">Type:</w:t>
      </w:r>
      <w:r>
        <w:t xml:space="preserve"> Course Presentation, 7 slides, title </w:t>
      </w:r>
      <w:r>
        <w:rPr>
          <w:rStyle w:val="CodeChar"/>
        </w:rPr>
        <w:t xml:space="preserve">Module 5: Classification and transition</w:t>
      </w:r>
      <w:r>
        <w:t xml:space="preserve">. Save as </w:t>
      </w:r>
      <w:r>
        <w:rPr>
          <w:rStyle w:val="CodeChar"/>
        </w:rPr>
        <w:t xml:space="preserve">module5</w:t>
      </w:r>
      <w:r>
        <w:t xml:space="preserve">.</w:t>
      </w:r>
    </w:p>
    <w:p>
      <w:pPr/>
      <w:r>
        <w:rPr>
          <w:b/>
        </w:rPr>
        <w:t xml:space="preserve">SLIDE 1 — Welcome.</w:t>
      </w:r>
      <w:r>
        <w:t xml:space="preserve"> Add a Text element:</w:t>
      </w:r>
    </w:p>
    <w:p>
      <w:pPr>
        <w:pStyle w:val="Code"/>
      </w:pPr>
      <w:bookmarkStart w:id="52" w:name="bongo_lang_text_52"/>
      <w:bookmarkEnd w:id="52"/>
      <w:r>
        <w:t xml:space="preserve">Module 5: Classification, forfeiture and transition (sections 46–52)</w:t>
        <w:br/>
        <w:br/>
        <w:t xml:space="preserve">After this module you can: say which offences are cognizable, bailable and compoundable; explain forfeiture; describe international cooperation and rule-making; and explain what happened to the older laws and pending cases.</w:t>
        <w:br/>
        <w:br/>
        <w:t xml:space="preserve">About 15 minutes.</w:t>
      </w:r>
    </w:p>
    <w:p>
      <w:pPr/>
      <w:r>
        <w:rPr>
          <w:b/>
        </w:rPr>
        <w:t xml:space="preserve">SLIDE 2 — Classification of offences (section 46).</w:t>
      </w:r>
      <w:r>
        <w:t xml:space="preserve"> Add a Text element:</w:t>
      </w:r>
    </w:p>
    <w:p>
      <w:pPr>
        <w:pStyle w:val="Code"/>
      </w:pPr>
      <w:bookmarkStart w:id="53" w:name="bongo_lang_text_53"/>
      <w:bookmarkEnd w:id="53"/>
      <w:r>
        <w:t xml:space="preserve">Cognizable (police can act): sections 17, 18 (third limb, hacking), 19, 21, 22, 23 and 25. All other offences are non-cognizable. (Section 20 is also listed in the Act but is not part of this course's source text.)</w:t>
        <w:br/>
        <w:br/>
        <w:t xml:space="preserve">Non-bailable: sections 17, 18 (third limb), 19, 22 and 23.</w:t>
        <w:br/>
        <w:br/>
        <w:t xml:space="preserve">Bailable: section 18 (first and second limbs), 21, 24, 25 and 26. (Section 20 is also listed.)</w:t>
        <w:br/>
        <w:br/>
        <w:t xml:space="preserve">Compoundable (can be settled with the court's consent): section 18 (first and second limbs), 19, 21, 22, 24 and 25.</w:t>
        <w:br/>
        <w:br/>
        <w:t xml:space="preserve">Not listed as compoundable: sections 17, 18 (third limb), 23 and 26.</w:t>
        <w:br/>
        <w:br/>
        <w:t xml:space="preserve">Sections 27–30 and 39 are "other sections": they are non-cognizable, and section 46 does not say whether they are bailable or compoundable.</w:t>
      </w:r>
    </w:p>
    <w:p>
      <w:pPr/>
      <w:r>
        <w:t xml:space="preserve">Then add a </w:t>
      </w:r>
      <w:r>
        <w:rPr>
          <w:b/>
        </w:rPr>
        <w:t xml:space="preserve">Multiple Choice</w:t>
      </w:r>
      <w:r>
        <w:t xml:space="preserve"> element:</w:t>
      </w:r>
    </w:p>
    <w:p>
      <w:pPr>
        <w:pStyle w:val="Code"/>
      </w:pPr>
      <w:bookmarkStart w:id="54" w:name="bongo_lang_text_54"/>
      <w:bookmarkEnd w:id="54"/>
      <w:r>
        <w:t xml:space="preserve">Question: Which description of a section 25 offence is correct?</w:t>
      </w:r>
    </w:p>
    <w:p>
      <w:pPr>
        <w:pStyle w:val="ListParagraph"/>
        <w:numPr>
          <w:ilvl w:val="0"/>
          <w:numId w:val="32"/>
        </w:numPr>
      </w:pPr>
      <w:r>
        <w:t xml:space="preserve">✔ Cognizable, bailable and compoundable</w:t>
      </w:r>
    </w:p>
    <w:p>
      <w:pPr>
        <w:pStyle w:val="ListParagraph"/>
        <w:numPr>
          <w:ilvl w:val="0"/>
          <w:numId w:val="32"/>
        </w:numPr>
      </w:pPr>
      <w:r>
        <w:t xml:space="preserve">Cognizable, non-bailable and not compoundable</w:t>
      </w:r>
    </w:p>
    <w:p>
      <w:pPr>
        <w:pStyle w:val="ListParagraph"/>
        <w:numPr>
          <w:ilvl w:val="0"/>
          <w:numId w:val="32"/>
        </w:numPr>
      </w:pPr>
      <w:r>
        <w:t xml:space="preserve">Non-cognizable and non-bailable</w:t>
      </w:r>
    </w:p>
    <w:p>
      <w:pPr>
        <w:pStyle w:val="ListParagraph"/>
        <w:numPr>
          <w:ilvl w:val="0"/>
          <w:numId w:val="32"/>
        </w:numPr>
      </w:pPr>
      <w:r>
        <w:t xml:space="preserve">Non-cognizable and not compoundable</w:t>
      </w:r>
    </w:p>
    <w:p>
      <w:pPr/>
      <w:r>
        <w:t xml:space="preserve">Feedback (correct): Correct. Section 25 appears in the cognizable, bailable and compoundable lists.</w:t>
      </w:r>
    </w:p>
    <w:p>
      <w:pPr/>
      <w:r>
        <w:t xml:space="preserve">Feedback (wrong): Not quite. Section 25 appears in the cognizable, bailable and compoundable lists.</w:t>
      </w:r>
    </w:p>
    <w:p>
      <w:pPr/>
      <w:r>
        <w:t xml:space="preserve">Add a </w:t>
      </w:r>
      <w:r>
        <w:rPr>
          <w:b/>
        </w:rPr>
        <w:t xml:space="preserve">True/False</w:t>
      </w:r>
      <w:r>
        <w:t xml:space="preserve"> element:</w:t>
      </w:r>
    </w:p>
    <w:p>
      <w:pPr>
        <w:pStyle w:val="Code"/>
      </w:pPr>
      <w:bookmarkStart w:id="55" w:name="bongo_lang_text_55"/>
      <w:bookmarkEnd w:id="55"/>
      <w:r>
        <w:t xml:space="preserve">Statement: Cyber terrorism (section 23) can be compounded with the court's consent.</w:t>
      </w:r>
    </w:p>
    <w:p>
      <w:pPr/>
      <w:r>
        <w:t xml:space="preserve">Correct answer: </w:t>
      </w:r>
      <w:r>
        <w:rPr>
          <w:b/>
        </w:rPr>
        <w:t xml:space="preserve">False</w:t>
      </w:r>
      <w:r>
        <w:t xml:space="preserve">. Feedback: Section 23 is not in the list of compoundable offences in section 46(3).</w:t>
      </w:r>
    </w:p>
    <w:p>
      <w:pPr/>
      <w:r>
        <w:rPr>
          <w:b/>
        </w:rPr>
        <w:t xml:space="preserve">SLIDE 3 — Forfeiture (section 47).</w:t>
      </w:r>
      <w:r>
        <w:t xml:space="preserve"> Add a Text element:</w:t>
      </w:r>
    </w:p>
    <w:p>
      <w:pPr>
        <w:pStyle w:val="Code"/>
      </w:pPr>
      <w:bookmarkStart w:id="56" w:name="bongo_lang_text_56"/>
      <w:bookmarkEnd w:id="56"/>
      <w:r>
        <w:t xml:space="preserve">If an offence is committed, the cyber instruments or things used in it can be forfeited by order of the Tribunal. Cyber instruments include computers, computer systems, floppy disks, compact disks, tape drives and other accessory computer instruments.</w:t>
        <w:br/>
        <w:br/>
        <w:t xml:space="preserve">A device is not forfeited if the Tribunal is satisfied that the person in whose possession it was found is not responsible for the offence.</w:t>
        <w:br/>
        <w:br/>
        <w:t xml:space="preserve">Lawful instruments found together with forfeitable ones can also be forfeited.</w:t>
        <w:br/>
        <w:br/>
        <w:t xml:space="preserve">Instruments or equipment of a public or statutory body used to commit an offence are not liable to forfeiture.</w:t>
      </w:r>
    </w:p>
    <w:p>
      <w:pPr/>
      <w:r>
        <w:t xml:space="preserve">Then add a </w:t>
      </w:r>
      <w:r>
        <w:rPr>
          <w:b/>
        </w:rPr>
        <w:t xml:space="preserve">Multiple Choice</w:t>
      </w:r>
      <w:r>
        <w:t xml:space="preserve"> element:</w:t>
      </w:r>
    </w:p>
    <w:p>
      <w:pPr>
        <w:pStyle w:val="Code"/>
      </w:pPr>
      <w:bookmarkStart w:id="57" w:name="bongo_lang_text_57"/>
      <w:bookmarkEnd w:id="57"/>
      <w:r>
        <w:t xml:space="preserve">Question: A laptop used in an offence had been lent to a friend who knew nothing about it. What may the Tribunal do?</w:t>
      </w:r>
    </w:p>
    <w:p>
      <w:pPr>
        <w:pStyle w:val="ListParagraph"/>
        <w:numPr>
          <w:ilvl w:val="0"/>
          <w:numId w:val="33"/>
        </w:numPr>
      </w:pPr>
      <w:r>
        <w:t xml:space="preserve">✔ Decline to forfeit it, if satisfied the friend is not responsible</w:t>
      </w:r>
    </w:p>
    <w:p>
      <w:pPr>
        <w:pStyle w:val="ListParagraph"/>
        <w:numPr>
          <w:ilvl w:val="0"/>
          <w:numId w:val="33"/>
        </w:numPr>
      </w:pPr>
      <w:r>
        <w:t xml:space="preserve">Always forfeit it</w:t>
      </w:r>
    </w:p>
    <w:p>
      <w:pPr>
        <w:pStyle w:val="ListParagraph"/>
        <w:numPr>
          <w:ilvl w:val="0"/>
          <w:numId w:val="33"/>
        </w:numPr>
      </w:pPr>
      <w:r>
        <w:t xml:space="preserve">Forfeit it only if it is damaged</w:t>
      </w:r>
    </w:p>
    <w:p>
      <w:pPr>
        <w:pStyle w:val="ListParagraph"/>
        <w:numPr>
          <w:ilvl w:val="0"/>
          <w:numId w:val="33"/>
        </w:numPr>
      </w:pPr>
      <w:r>
        <w:t xml:space="preserve">Hand it to the Director General</w:t>
      </w:r>
    </w:p>
    <w:p>
      <w:pPr/>
      <w:r>
        <w:t xml:space="preserve">Feedback (correct): Correct. Section 47(2) protects a possessor who is not responsible for the offence.</w:t>
      </w:r>
    </w:p>
    <w:p>
      <w:pPr/>
      <w:r>
        <w:t xml:space="preserve">Feedback (wrong): Not quite. Under section 47(2) the device is not liable to forfeiture if the possessor is not responsible.</w:t>
      </w:r>
    </w:p>
    <w:p>
      <w:pPr/>
      <w:r>
        <w:rPr>
          <w:b/>
        </w:rPr>
        <w:t xml:space="preserve">SLIDE 4 — International cooperation and rules (sections 48–49).</w:t>
      </w:r>
      <w:r>
        <w:t xml:space="preserve"> Add a Text element:</w:t>
      </w:r>
    </w:p>
    <w:p>
      <w:pPr>
        <w:pStyle w:val="Code"/>
      </w:pPr>
      <w:bookmarkStart w:id="58" w:name="bongo_lang_text_58"/>
      <w:bookmarkEnd w:id="58"/>
      <w:r>
        <w:t xml:space="preserve">International cooperation (section 48): when regional or international cooperation is needed to investigate or try an offence, the Mutual Assistance in Criminal Matters Act, 2012 applies. For Critical Information Infrastructure involved in international cyber security matters, the National Cyber Security Agency is the competent authority. Each CII must nominate a representative (focal point), with an alternate, for communication on cyber matters nationally and internationally. The Agency publishes an online list of all focal points and promptly informs each focal point of changes to its CII's functions.</w:t>
        <w:br/>
        <w:br/>
        <w:t xml:space="preserve">Rules (section 49): the Government may make rules by Gazette notification, including on digital forensic labs, collection and preservation of traffic data, procedures and protections for interception, review or decryption, security of CII, international cooperation, response teams, cloud and metadata forensics, and sharing of global threat intelligence.</w:t>
      </w:r>
    </w:p>
    <w:p>
      <w:pPr/>
      <w:r>
        <w:t xml:space="preserve">Then add a </w:t>
      </w:r>
      <w:r>
        <w:rPr>
          <w:b/>
        </w:rPr>
        <w:t xml:space="preserve">Multiple Choice</w:t>
      </w:r>
      <w:r>
        <w:t xml:space="preserve"> element:</w:t>
      </w:r>
    </w:p>
    <w:p>
      <w:pPr>
        <w:pStyle w:val="Code"/>
      </w:pPr>
      <w:bookmarkStart w:id="59" w:name="bongo_lang_text_59"/>
      <w:bookmarkEnd w:id="59"/>
      <w:r>
        <w:t xml:space="preserve">Question: Which law applies when international help is needed in an investigation?</w:t>
      </w:r>
    </w:p>
    <w:p>
      <w:pPr>
        <w:pStyle w:val="ListParagraph"/>
        <w:numPr>
          <w:ilvl w:val="0"/>
          <w:numId w:val="34"/>
        </w:numPr>
      </w:pPr>
      <w:r>
        <w:t xml:space="preserve">✔ Mutual Assistance in Criminal Matters Act, 2012</w:t>
      </w:r>
    </w:p>
    <w:p>
      <w:pPr>
        <w:pStyle w:val="ListParagraph"/>
        <w:numPr>
          <w:ilvl w:val="0"/>
          <w:numId w:val="34"/>
        </w:numPr>
      </w:pPr>
      <w:r>
        <w:t xml:space="preserve">Evidence Act, 1872</w:t>
      </w:r>
    </w:p>
    <w:p>
      <w:pPr>
        <w:pStyle w:val="ListParagraph"/>
        <w:numPr>
          <w:ilvl w:val="0"/>
          <w:numId w:val="34"/>
        </w:numPr>
      </w:pPr>
      <w:r>
        <w:t xml:space="preserve">Right to Information Act, 2009</w:t>
      </w:r>
    </w:p>
    <w:p>
      <w:pPr>
        <w:pStyle w:val="ListParagraph"/>
        <w:numPr>
          <w:ilvl w:val="0"/>
          <w:numId w:val="34"/>
        </w:numPr>
      </w:pPr>
      <w:r>
        <w:t xml:space="preserve">Children Act, 2013</w:t>
      </w:r>
    </w:p>
    <w:p>
      <w:pPr/>
      <w:r>
        <w:t xml:space="preserve">Feedback (correct): Correct. Section 48(1) applies that Act.</w:t>
      </w:r>
    </w:p>
    <w:p>
      <w:pPr/>
      <w:r>
        <w:t xml:space="preserve">Feedback (wrong): Not quite. Section 48(1) applies the Mutual Assistance in Criminal Matters Act, 2012.</w:t>
      </w:r>
    </w:p>
    <w:p>
      <w:pPr/>
      <w:r>
        <w:rPr>
          <w:b/>
        </w:rPr>
        <w:t xml:space="preserve">SLIDE 5 — Repeal and transition (sections 50–52).</w:t>
      </w:r>
      <w:r>
        <w:t xml:space="preserve"> Add a Text element:</w:t>
      </w:r>
    </w:p>
    <w:p>
      <w:pPr>
        <w:pStyle w:val="Code"/>
      </w:pPr>
      <w:bookmarkStart w:id="60" w:name="bongo_lang_text_60"/>
      <w:bookmarkEnd w:id="60"/>
      <w:r>
        <w:t xml:space="preserve">The Cyber Security Act, 2023 is repealed (section 50). The Cyber Security Ordinance, 2025 and the Cyber Security (Amendment) Ordinance, 2025 are also repealed (section 51).</w:t>
        <w:br/>
        <w:br/>
        <w:t xml:space="preserve">Pending cases under sections 17, 18, 19, 20, 22, 23, 30, 32 and 35 of the 2023 Act (and abetment of those offences) continue in the relevant Tribunal, and appeals go to the relevant Appellate Tribunal, as if the 2023 Act had not been repealed.</w:t>
        <w:br/>
        <w:br/>
        <w:t xml:space="preserve">Pending cases and proceedings, including investigations, under sections 21, 24, 25, 26, 27, 28, 29, 31 and 34 of the 2023 Act are cancelled and no further action can be taken. Sentences and fines already imposed under those sections are treated as cancelled. The same applies to sections 21, 24, 25, 26, 27, 28, 29 and 31 of the Digital Security Act, 2018.</w:t>
        <w:br/>
        <w:br/>
        <w:t xml:space="preserve">The old Agency's property, documents and liabilities pass to the National Cyber Security Agency; its staff continue on the same terms; existing response teams, digital forensic labs and declared CII are treated as created under this Act. Acts done and actions taken under the 2025 Ordinances are treated as done under this Act.</w:t>
        <w:br/>
        <w:br/>
        <w:t xml:space="preserve">English text (section 52): the Government may publish an Authentic English Text. If it conflicts with the Act, the Act (the Bengali text) prevails.</w:t>
      </w:r>
    </w:p>
    <w:p>
      <w:pPr/>
      <w:r>
        <w:t xml:space="preserve">Then add a </w:t>
      </w:r>
      <w:r>
        <w:rPr>
          <w:b/>
        </w:rPr>
        <w:t xml:space="preserve">Multiple Choice</w:t>
      </w:r>
      <w:r>
        <w:t xml:space="preserve"> element:</w:t>
      </w:r>
    </w:p>
    <w:p>
      <w:pPr>
        <w:pStyle w:val="Code"/>
      </w:pPr>
      <w:bookmarkStart w:id="61" w:name="bongo_lang_text_61"/>
      <w:bookmarkEnd w:id="61"/>
      <w:r>
        <w:t xml:space="preserve">Question: A case under section 19 of the 2023 Act was pending when that Act was repealed. What happens to it?</w:t>
      </w:r>
    </w:p>
    <w:p>
      <w:pPr>
        <w:pStyle w:val="ListParagraph"/>
        <w:numPr>
          <w:ilvl w:val="0"/>
          <w:numId w:val="35"/>
        </w:numPr>
      </w:pPr>
      <w:r>
        <w:t xml:space="preserve">✔ It continues in the relevant Tribunal</w:t>
      </w:r>
    </w:p>
    <w:p>
      <w:pPr>
        <w:pStyle w:val="ListParagraph"/>
        <w:numPr>
          <w:ilvl w:val="0"/>
          <w:numId w:val="35"/>
        </w:numPr>
      </w:pPr>
      <w:r>
        <w:t xml:space="preserve">It is cancelled</w:t>
      </w:r>
    </w:p>
    <w:p>
      <w:pPr>
        <w:pStyle w:val="ListParagraph"/>
        <w:numPr>
          <w:ilvl w:val="0"/>
          <w:numId w:val="35"/>
        </w:numPr>
      </w:pPr>
      <w:r>
        <w:t xml:space="preserve">It moves to the Agency</w:t>
      </w:r>
    </w:p>
    <w:p>
      <w:pPr>
        <w:pStyle w:val="ListParagraph"/>
        <w:numPr>
          <w:ilvl w:val="0"/>
          <w:numId w:val="35"/>
        </w:numPr>
      </w:pPr>
      <w:r>
        <w:t xml:space="preserve">It is dismissed after 90 days</w:t>
      </w:r>
    </w:p>
    <w:p>
      <w:pPr/>
      <w:r>
        <w:t xml:space="preserve">Feedback (correct): Correct. Section 50(2) keeps cases under section 19 alive.</w:t>
      </w:r>
    </w:p>
    <w:p>
      <w:pPr/>
      <w:r>
        <w:t xml:space="preserve">Feedback (wrong): Not quite. Section 50(2) lists section 19 among the 2023 Act sections whose pending cases continue.</w:t>
      </w:r>
    </w:p>
    <w:p>
      <w:pPr/>
      <w:r>
        <w:t xml:space="preserve">Add a </w:t>
      </w:r>
      <w:r>
        <w:rPr>
          <w:b/>
        </w:rPr>
        <w:t xml:space="preserve">True/False</w:t>
      </w:r>
      <w:r>
        <w:t xml:space="preserve"> element:</w:t>
      </w:r>
    </w:p>
    <w:p>
      <w:pPr>
        <w:pStyle w:val="Code"/>
      </w:pPr>
      <w:bookmarkStart w:id="62" w:name="bongo_lang_text_62"/>
      <w:bookmarkEnd w:id="62"/>
      <w:r>
        <w:t xml:space="preserve">Statement: If the Authentic English Text conflicts with the Bengali Act, the English text prevails.</w:t>
      </w:r>
    </w:p>
    <w:p>
      <w:pPr/>
      <w:r>
        <w:t xml:space="preserve">Correct answer: </w:t>
      </w:r>
      <w:r>
        <w:rPr>
          <w:b/>
        </w:rPr>
        <w:t xml:space="preserve">False</w:t>
      </w:r>
      <w:r>
        <w:t xml:space="preserve">. Feedback: Section 52(2) says the Act, meaning the Bengali text, prevails.</w:t>
      </w:r>
    </w:p>
    <w:p>
      <w:pPr/>
      <w:r>
        <w:rPr>
          <w:b/>
        </w:rPr>
        <w:t xml:space="preserve">SLIDE 6 — Fill in the gaps.</w:t>
      </w:r>
      <w:r>
        <w:t xml:space="preserve"> Add a </w:t>
      </w:r>
      <w:r>
        <w:rPr>
          <w:b/>
        </w:rPr>
        <w:t xml:space="preserve">Drag the Words</w:t>
      </w:r>
      <w:r>
        <w:t xml:space="preserve"> element. Keep the asterisks:</w:t>
      </w:r>
    </w:p>
    <w:p>
      <w:pPr>
        <w:pStyle w:val="Code"/>
      </w:pPr>
      <w:bookmarkStart w:id="63" w:name="bongo_lang_text_63"/>
      <w:bookmarkEnd w:id="63"/>
      <w:r>
        <w:t xml:space="preserve">Cyber terrorism (section *23*) is non-bailable and not compoundable. The Tribunal orders *forfeiture* of cyber instruments used in an offence. International help uses the *Mutual* Assistance in Criminal Matters Act, 2012. Each CII nominates a *focal point*. If the English text and the Act conflict, the *Bengali* text prevails.</w:t>
      </w:r>
    </w:p>
    <w:p>
      <w:pPr/>
      <w:r>
        <w:rPr>
          <w:b/>
        </w:rPr>
        <w:t xml:space="preserve">SLIDE 7 — Badge and end.</w:t>
      </w:r>
      <w:r>
        <w:t xml:space="preserve"> Add a Text element:</w:t>
      </w:r>
    </w:p>
    <w:p>
      <w:pPr>
        <w:pStyle w:val="Code"/>
      </w:pPr>
      <w:bookmarkStart w:id="64" w:name="bongo_lang_text_64"/>
      <w:bookmarkEnd w:id="64"/>
      <w:r>
        <w:t xml:space="preserve">Module 5 complete. Badge earned: Transition Expert.</w:t>
        <w:br/>
        <w:br/>
        <w:t xml:space="preserve">You have finished all five modules. Go back to the page and press Complete &amp; continue to take the post-test.</w:t>
      </w:r>
    </w:p>
    <w:p>
      <w:pPr>
        <w:pStyle w:val="Heading2"/>
      </w:pPr>
      <w:r>
        <w:t xml:space="preserve">H5P 8 — Survey (both groups)</w:t>
      </w:r>
    </w:p>
    <w:p>
      <w:pPr/>
      <w:r>
        <w:rPr>
          <w:b/>
        </w:rPr>
        <w:t xml:space="preserve">Type:</w:t>
      </w:r>
      <w:r>
        <w:t xml:space="preserve"> Questionnaire (or a Google Form, if Questionnaire is missing). Title </w:t>
      </w:r>
      <w:r>
        <w:rPr>
          <w:rStyle w:val="CodeChar"/>
        </w:rPr>
        <w:t xml:space="preserve">Survey</w:t>
      </w:r>
      <w:r>
        <w:t xml:space="preserve">. Save as </w:t>
      </w:r>
      <w:r>
        <w:rPr>
          <w:rStyle w:val="CodeChar"/>
        </w:rPr>
        <w:t xml:space="preserve">survey</w:t>
      </w:r>
      <w:r>
        <w:t xml:space="preserve">. The wording works for both groups, so build it once.</w:t>
      </w:r>
    </w:p>
    <w:p>
      <w:pPr/>
      <w:r>
        <w:rPr>
          <w:b/>
        </w:rPr>
        <w:t xml:space="preserve">Introduction text</w:t>
      </w:r>
      <w:r>
        <w:t xml:space="preserve"> (paste into the intro field):</w:t>
      </w:r>
    </w:p>
    <w:p>
      <w:pPr>
        <w:pStyle w:val="Code"/>
      </w:pPr>
      <w:bookmarkStart w:id="65" w:name="bongo_lang_text_65"/>
      <w:bookmarkEnd w:id="65"/>
      <w:r>
        <w:t xml:space="preserve">Thank you for taking part. This survey takes about 5 minutes. There are no right or wrong answers. Your answers are anonymous and are used only for research.</w:t>
      </w:r>
    </w:p>
    <w:p>
      <w:pPr/>
      <w:r>
        <w:rPr>
          <w:b/>
        </w:rPr>
        <w:t xml:space="preserve">Rating questions.</w:t>
      </w:r>
      <w:r>
        <w:t xml:space="preserve"> Add each as a Questionnaire question with these five options, in this order: Strongly disagree, Disagree, Neutral, Agree, Strongly agree.</w:t>
      </w:r>
    </w:p>
    <w:p>
      <w:pPr>
        <w:pStyle w:val="Code"/>
      </w:pPr>
      <w:bookmarkStart w:id="66" w:name="bongo_lang_text_66"/>
      <w:bookmarkEnd w:id="66"/>
      <w:r>
        <w:t xml:space="preserve">1. The study material was easy to follow.</w:t>
        <w:br/>
        <w:t xml:space="preserve">2. The way I studied helped me understand the law.</w:t>
        <w:br/>
        <w:t xml:space="preserve">3. The instructions were clear.</w:t>
        <w:br/>
        <w:t xml:space="preserve">4. The way I studied kept me interested.</w:t>
        <w:br/>
        <w:t xml:space="preserve">5. The material was difficult to understand.</w:t>
        <w:br/>
        <w:t xml:space="preserve">6. I can remember key facts because of the way I studied.</w:t>
        <w:br/>
        <w:t xml:space="preserve">7. I would like to study other laws in the same way.</w:t>
        <w:br/>
        <w:t xml:space="preserve">8. I had enough time to study the material.</w:t>
      </w:r>
    </w:p>
    <w:p>
      <w:pPr/>
      <w:r>
        <w:rPr>
          <w:b/>
        </w:rPr>
        <w:t xml:space="preserve">One choice question.</w:t>
      </w:r>
      <w:r>
        <w:t xml:space="preserve"> Options: None, A little, Some, A lot.</w:t>
      </w:r>
    </w:p>
    <w:p>
      <w:pPr>
        <w:pStyle w:val="Code"/>
      </w:pPr>
      <w:bookmarkStart w:id="67" w:name="bongo_lang_text_67"/>
      <w:bookmarkEnd w:id="67"/>
      <w:r>
        <w:t xml:space="preserve">9. Before today, how much did you know about cyber law?</w:t>
      </w:r>
    </w:p>
    <w:p>
      <w:pPr/>
      <w:r>
        <w:rPr>
          <w:b/>
        </w:rPr>
        <w:t xml:space="preserve">Two open questions</w:t>
      </w:r>
      <w:r>
        <w:t xml:space="preserve"> (free text):</w:t>
      </w:r>
    </w:p>
    <w:p>
      <w:pPr>
        <w:pStyle w:val="Code"/>
      </w:pPr>
      <w:bookmarkStart w:id="68" w:name="bongo_lang_text_68"/>
      <w:bookmarkEnd w:id="68"/>
      <w:r>
        <w:t xml:space="preserve">10. What helped you most in learning the law?</w:t>
        <w:br/>
        <w:t xml:space="preserve">11. What was confusing, or what would you change?</w:t>
      </w:r>
    </w:p>
    <w:p>
      <w:pPr/>
      <w:r>
        <w:rPr>
          <w:b/>
        </w:rPr>
        <w:t xml:space="preserve">Closing text:</w:t>
      </w:r>
    </w:p>
    <w:p>
      <w:pPr>
        <w:pStyle w:val="Code"/>
      </w:pPr>
      <w:bookmarkStart w:id="69" w:name="bongo_lang_text_69"/>
      <w:bookmarkEnd w:id="69"/>
      <w:r>
        <w:t xml:space="preserve">Thank you. Now enter your result summary on this page and copy it to the research team.</w:t>
      </w:r>
    </w:p>
    <w:p>
      <w:pPr/>
      <w:r>
        <w:t xml:space="preserve">These items are drafts, not a validated scale. Show them to your supervisor before you use them in a report. Item 5 is worded negatively on purpose; reverse its score when you analyse.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Cyber Law H5P Study — Copy-Paste Content for Lumi</dc:title>
  <dc:description>Claude Docs node/2c448c2a-8f59@11 docx-w6</dc:description>
  <cp:revision>11</cp:revision>
</cp:coreProperties>
</file>