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Cyber Security Act, 2026 of Bangladesh — Study Text</w:t>
      </w:r>
    </w:p>
    <w:p>
      <w:pPr/>
      <w:r>
        <w:t xml:space="preserve">Oct 11, 2026</w:t>
      </w:r>
      <w:r>
        <w:t xml:space="preserve"> · </w:t>
      </w:r>
      <w:r>
        <w:t xml:space="preserve">@Monirul</w:t>
      </w:r>
    </w:p>
    <w:p>
      <w:pPr/>
      <w:r>
        <w:t xml:space="preserve">This is a working English summary of the Cyber Security Act, 2026, prepared for a research study. The authoritative text is the Bengali Act; sections 20 and 33 are not part of the source text used here. Read all five parts in order. You may take notes on paper and re-read. Do not use other sources. Penalties are maximums; 1 lakh = BDT 100,000 and 1 crore = BDT 10,000,000.</w:t>
      </w:r>
    </w:p>
    <w:p>
      <w:pPr>
        <w:pStyle w:val="Heading2"/>
      </w:pPr>
      <w:r>
        <w:t xml:space="preserve">Part 1: Foundations (sections 1–4)</w:t>
      </w:r>
    </w:p>
    <w:p>
      <w:pPr>
        <w:pStyle w:val="Heading3"/>
      </w:pPr>
      <w:r>
        <w:t xml:space="preserve">The Act and its start date (section 1)</w:t>
      </w:r>
    </w:p>
    <w:p>
      <w:pPr/>
      <w:r>
        <w:t xml:space="preserve">The Act is called the Cyber Security Act, 2026. It is deemed to have come into force on 21 May 2025. It repeals and replaces the Cyber Security Act, 2023 (section 50) and the two Cyber Security Ordinances of 2025 (section 51).</w:t>
      </w:r>
    </w:p>
    <w:p>
      <w:pPr>
        <w:pStyle w:val="Heading3"/>
      </w:pPr>
      <w:r>
        <w:t xml:space="preserve">Priority over other laws (section 3)</w:t>
      </w:r>
    </w:p>
    <w:p>
      <w:pPr/>
      <w:r>
        <w:t xml:space="preserve">If this Act conflicts with another law, this Act prevails to the extent of the conflict. One exception: on matters of the right to information, the Right to Information Act, 2009 remains effective.</w:t>
      </w:r>
    </w:p>
    <w:p>
      <w:pPr>
        <w:pStyle w:val="Heading3"/>
      </w:pPr>
      <w:r>
        <w:t xml:space="preserve">How far the Act reaches (section 4)</w:t>
      </w:r>
    </w:p>
    <w:p>
      <w:pPr/>
      <w:r>
        <w:t xml:space="preserve">Section 4 extends the Act beyond Bangladesh in three situations.</w:t>
      </w:r>
    </w:p>
    <w:p>
      <w:pPr>
        <w:pStyle w:val="ListParagraph"/>
        <w:numPr>
          <w:ilvl w:val="0"/>
          <w:numId w:val="2"/>
        </w:numPr>
      </w:pPr>
      <w:r>
        <w:t xml:space="preserve">A Bangladeshi citizen commits abroad an act that would be an offence under this Act if committed in Bangladesh: the Act applies as if it happened in Bangladesh.</w:t>
      </w:r>
    </w:p>
    <w:p>
      <w:pPr>
        <w:pStyle w:val="ListParagraph"/>
        <w:numPr>
          <w:ilvl w:val="0"/>
          <w:numId w:val="2"/>
        </w:numPr>
      </w:pPr>
      <w:r>
        <w:t xml:space="preserve">A person outside Bangladesh commits an offence inside Bangladesh using a computer, system, network or digital device located in Bangladesh: the whole process is treated as happening in Bangladesh.</w:t>
      </w:r>
    </w:p>
    <w:p>
      <w:pPr>
        <w:pStyle w:val="ListParagraph"/>
        <w:numPr>
          <w:ilvl w:val="0"/>
          <w:numId w:val="2"/>
        </w:numPr>
      </w:pPr>
      <w:r>
        <w:t xml:space="preserve">A person inside Bangladesh commits an offence outside Bangladesh: the whole process is treated as happening in Bangladesh.</w:t>
      </w:r>
    </w:p>
    <w:p>
      <w:pPr>
        <w:pStyle w:val="Heading3"/>
      </w:pPr>
      <w:r>
        <w:t xml:space="preserve">Key terms 1: data and systems (section 2)</w:t>
      </w:r>
    </w:p>
    <w:p>
      <w:pPr>
        <w:pStyle w:val="ListParagraph"/>
        <w:numPr>
          <w:ilvl w:val="0"/>
          <w:numId w:val="3"/>
        </w:numPr>
      </w:pPr>
      <w:r>
        <w:rPr>
          <w:b/>
        </w:rPr>
        <w:t xml:space="preserve">Computer system:</w:t>
      </w:r>
      <w:r>
        <w:t xml:space="preserve"> interconnected computers or digital devices that can receive, send or store data.</w:t>
      </w:r>
    </w:p>
    <w:p>
      <w:pPr>
        <w:pStyle w:val="ListParagraph"/>
        <w:numPr>
          <w:ilvl w:val="0"/>
          <w:numId w:val="3"/>
        </w:numPr>
      </w:pPr>
      <w:r>
        <w:rPr>
          <w:b/>
        </w:rPr>
        <w:t xml:space="preserve">Computer data:</w:t>
      </w:r>
      <w:r>
        <w:t xml:space="preserve"> information in a form suitable for processing in a computer system, including a program.</w:t>
      </w:r>
    </w:p>
    <w:p>
      <w:pPr>
        <w:pStyle w:val="ListParagraph"/>
        <w:numPr>
          <w:ilvl w:val="0"/>
          <w:numId w:val="3"/>
        </w:numPr>
      </w:pPr>
      <w:r>
        <w:rPr>
          <w:b/>
        </w:rPr>
        <w:t xml:space="preserve">Traffic data:</w:t>
      </w:r>
      <w:r>
        <w:t xml:space="preserve"> data about a communication: its origin, destination, route, time, size, duration or type of service.</w:t>
      </w:r>
    </w:p>
    <w:p>
      <w:pPr>
        <w:pStyle w:val="ListParagraph"/>
        <w:numPr>
          <w:ilvl w:val="0"/>
          <w:numId w:val="3"/>
        </w:numPr>
      </w:pPr>
      <w:r>
        <w:rPr>
          <w:b/>
        </w:rPr>
        <w:t xml:space="preserve">Signalling data:</w:t>
      </w:r>
      <w:r>
        <w:t xml:space="preserve"> information about setting up connections between devices, servers and networks.</w:t>
      </w:r>
    </w:p>
    <w:p>
      <w:pPr>
        <w:pStyle w:val="ListParagraph"/>
        <w:numPr>
          <w:ilvl w:val="0"/>
          <w:numId w:val="3"/>
        </w:numPr>
      </w:pPr>
      <w:r>
        <w:rPr>
          <w:b/>
        </w:rPr>
        <w:t xml:space="preserve">Program:</w:t>
      </w:r>
      <w:r>
        <w:t xml:space="preserve"> instructions that let a digital device perform a task.</w:t>
      </w:r>
    </w:p>
    <w:p>
      <w:pPr>
        <w:pStyle w:val="ListParagraph"/>
        <w:numPr>
          <w:ilvl w:val="0"/>
          <w:numId w:val="3"/>
        </w:numPr>
      </w:pPr>
      <w:r>
        <w:rPr>
          <w:b/>
        </w:rPr>
        <w:t xml:space="preserve">Malware:</w:t>
      </w:r>
      <w:r>
        <w:t xml:space="preserve"> an instruction, program or app that damages or alters a device or data, attaches itself to other devices and activates, or steals or distorts data.</w:t>
      </w:r>
    </w:p>
    <w:p>
      <w:pPr>
        <w:pStyle w:val="ListParagraph"/>
        <w:numPr>
          <w:ilvl w:val="0"/>
          <w:numId w:val="3"/>
        </w:numPr>
      </w:pPr>
      <w:r>
        <w:rPr>
          <w:b/>
        </w:rPr>
        <w:t xml:space="preserve">Unlawful access (hacking):</w:t>
      </w:r>
      <w:r>
        <w:t xml:space="preserve"> entering a computer, device or network without permission or beyond its terms, including disrupting, changing or deleting data, and deleting logs or traces.</w:t>
      </w:r>
    </w:p>
    <w:p>
      <w:pPr>
        <w:pStyle w:val="ListParagraph"/>
        <w:numPr>
          <w:ilvl w:val="0"/>
          <w:numId w:val="3"/>
        </w:numPr>
      </w:pPr>
      <w:r>
        <w:rPr>
          <w:b/>
        </w:rPr>
        <w:t xml:space="preserve">Digital:</w:t>
      </w:r>
      <w:r>
        <w:t xml:space="preserve"> includes AI technology, blockchain, large language models and machine vision, not only binary technology.</w:t>
      </w:r>
    </w:p>
    <w:p>
      <w:pPr>
        <w:pStyle w:val="Heading3"/>
      </w:pPr>
      <w:r>
        <w:t xml:space="preserve">Key terms 2: broader terms (section 2)</w:t>
      </w:r>
    </w:p>
    <w:p>
      <w:pPr>
        <w:pStyle w:val="ListParagraph"/>
        <w:numPr>
          <w:ilvl w:val="0"/>
          <w:numId w:val="4"/>
        </w:numPr>
      </w:pPr>
      <w:r>
        <w:rPr>
          <w:b/>
        </w:rPr>
        <w:t xml:space="preserve">Cyberspace:</w:t>
      </w:r>
      <w:r>
        <w:t xml:space="preserve"> the connected physical and virtual world of devices and networks, including the internet, cloud, Internet of Things, social media and AI networks.</w:t>
      </w:r>
    </w:p>
    <w:p>
      <w:pPr>
        <w:pStyle w:val="ListParagraph"/>
        <w:numPr>
          <w:ilvl w:val="0"/>
          <w:numId w:val="4"/>
        </w:numPr>
      </w:pPr>
      <w:r>
        <w:rPr>
          <w:b/>
        </w:rPr>
        <w:t xml:space="preserve">Cyber security:</w:t>
      </w:r>
      <w:r>
        <w:t xml:space="preserve"> protection of devices, systems, data and infrastructure, ensuring access only by authorised persons or AI tools. It also includes the citizens' right to round-the-clock internet access.</w:t>
      </w:r>
    </w:p>
    <w:p>
      <w:pPr>
        <w:pStyle w:val="ListParagraph"/>
        <w:numPr>
          <w:ilvl w:val="0"/>
          <w:numId w:val="4"/>
        </w:numPr>
      </w:pPr>
      <w:r>
        <w:rPr>
          <w:b/>
        </w:rPr>
        <w:t xml:space="preserve">Person:</w:t>
      </w:r>
      <w:r>
        <w:t xml:space="preserve"> includes institutions, companies, firms and artificial legal persons; for a digital device, its controller.</w:t>
      </w:r>
    </w:p>
    <w:p>
      <w:pPr>
        <w:pStyle w:val="ListParagraph"/>
        <w:numPr>
          <w:ilvl w:val="0"/>
          <w:numId w:val="4"/>
        </w:numPr>
      </w:pPr>
      <w:r>
        <w:rPr>
          <w:b/>
        </w:rPr>
        <w:t xml:space="preserve">Police officer:</w:t>
      </w:r>
      <w:r>
        <w:t xml:space="preserve"> a police officer not below the rank of Sub-Inspector.</w:t>
      </w:r>
    </w:p>
    <w:p>
      <w:pPr>
        <w:pStyle w:val="ListParagraph"/>
        <w:numPr>
          <w:ilvl w:val="0"/>
          <w:numId w:val="4"/>
        </w:numPr>
      </w:pPr>
      <w:r>
        <w:rPr>
          <w:b/>
        </w:rPr>
        <w:t xml:space="preserve">Critical Information Infrastructure (CII):</w:t>
      </w:r>
      <w:r>
        <w:t xml:space="preserve"> a physical or virtual information infrastructure declared as such by the Government, whose damage could harm both (i) public safety, economic security or public health, and (ii) national security, state integrity or sovereignty.</w:t>
      </w:r>
    </w:p>
    <w:p>
      <w:pPr>
        <w:pStyle w:val="ListParagraph"/>
        <w:numPr>
          <w:ilvl w:val="0"/>
          <w:numId w:val="4"/>
        </w:numPr>
      </w:pPr>
      <w:r>
        <w:rPr>
          <w:b/>
        </w:rPr>
        <w:t xml:space="preserve">Tribunal and Appellate Tribunal:</w:t>
      </w:r>
      <w:r>
        <w:t xml:space="preserve"> the Cyber Tribunal and Cyber Appellate Tribunal formed under the Information and Communication Technology Act, 2006.</w:t>
      </w:r>
    </w:p>
    <w:p>
      <w:pPr/>
      <w:r>
        <w:t xml:space="preserve">Words the Act does not define have the meaning they have in the ICT Act, 2006.</w:t>
      </w:r>
    </w:p>
    <w:p>
      <w:pPr>
        <w:pStyle w:val="Heading2"/>
      </w:pPr>
      <w:r>
        <w:t xml:space="preserve">Part 2: Institutions (sections 5–16)</w:t>
      </w:r>
    </w:p>
    <w:p>
      <w:pPr>
        <w:pStyle w:val="Heading3"/>
      </w:pPr>
      <w:r>
        <w:t xml:space="preserve">The Agency (sections 5–7)</w:t>
      </w:r>
    </w:p>
    <w:p>
      <w:pPr/>
      <w:r>
        <w:t xml:space="preserve">The Government forms the National Cyber Security Agency by Gazette notification (section 5). It has one Director General and a number of Directors set by rules.</w:t>
      </w:r>
    </w:p>
    <w:p>
      <w:pPr/>
      <w:r>
        <w:t xml:space="preserve">Its head office is in Dhaka, and the Government may open branch offices elsewhere.</w:t>
      </w:r>
    </w:p>
    <w:p>
      <w:pPr/>
      <w:r>
        <w:t xml:space="preserve">Administratively it is an attached office of the Information and Communication Technology (ICT) Division.</w:t>
      </w:r>
    </w:p>
    <w:p>
      <w:pPr/>
      <w:r>
        <w:t xml:space="preserve">The Director General and Directors are appointed by the Government from experts in computers, digital devices, information technology, or cyber security and related law, who hold internationally recognised cyber security certificates. They are full-time employees (section 6).</w:t>
      </w:r>
    </w:p>
    <w:p>
      <w:pPr/>
      <w:r>
        <w:t xml:space="preserve">The Agency's duties and functions, and its staff's terms of service, are set by rules (sections 5 and 7).</w:t>
      </w:r>
    </w:p>
    <w:p>
      <w:pPr>
        <w:pStyle w:val="Heading3"/>
      </w:pPr>
      <w:r>
        <w:t xml:space="preserve">Blocking and removal (section 8)</w:t>
      </w:r>
    </w:p>
    <w:p>
      <w:pPr/>
      <w:r>
        <w:t xml:space="preserve">Section 8 lets the authorities remove or block online data in two situations.</w:t>
      </w:r>
    </w:p>
    <w:p>
      <w:pPr>
        <w:pStyle w:val="ListParagraph"/>
        <w:numPr>
          <w:ilvl w:val="0"/>
          <w:numId w:val="5"/>
        </w:numPr>
      </w:pPr>
      <w:r>
        <w:t xml:space="preserve">The Director General may remove, transfer or block data that threatens cyber security, or ask the Bangladesh Telecommunication Regulatory Commission (BTRC) to do so.</w:t>
      </w:r>
    </w:p>
    <w:p>
      <w:pPr>
        <w:pStyle w:val="ListParagraph"/>
        <w:numPr>
          <w:ilvl w:val="0"/>
          <w:numId w:val="5"/>
        </w:numPr>
      </w:pPr>
      <w:r>
        <w:t xml:space="preserve">Law-enforcement agencies, after analysing the data, may act through the Director General (or ask BTRC) if the data harms the country's integrity, security, defence or public order; is religious, communal or ethnic hate speech that creates concern about violence; or directs disorder or criminal activity.</w:t>
      </w:r>
    </w:p>
    <w:p>
      <w:pPr/>
      <w:r>
        <w:t xml:space="preserve">On such a request, or a Tribunal order, BTRC or the relevant ICT Division agency asks the technology company to remove or block the data. The Government must publish information on all blocked content, in the interest of transparency.</w:t>
      </w:r>
    </w:p>
    <w:p>
      <w:pPr/>
      <w:r>
        <w:t xml:space="preserve">Safeguard: within 3 days of removing, transferring or blocking, the permission of the Tribunal must be obtained. If it is not obtained in that time, or the Tribunal does not grant it, the data must be released (restored).</w:t>
      </w:r>
    </w:p>
    <w:p>
      <w:pPr>
        <w:pStyle w:val="Heading3"/>
      </w:pPr>
      <w:r>
        <w:t xml:space="preserve">Response teams and forensic labs (sections 9–11)</w:t>
      </w:r>
    </w:p>
    <w:p>
      <w:pPr/>
      <w:r>
        <w:t xml:space="preserve">The Agency has a National Computer Emergency Response Team (National CERT) and a National Security Operation Center (National SOC) (section 9). The National SOC protects nationally important systems and can coordinate and accredit public and private SOCs.</w:t>
      </w:r>
    </w:p>
    <w:p>
      <w:pPr/>
      <w:r>
        <w:t xml:space="preserve">Every Critical Information Infrastructure (CII) must have its own CERT (also called a CIRT) and its own SOC. A CERT or CIRT responds to cyber incidents. A SOC monitors an organisation's systems for threats such as phishing, malware, ransomware and data leaks.</w:t>
      </w:r>
    </w:p>
    <w:p>
      <w:pPr/>
      <w:r>
        <w:t xml:space="preserve">Every SOC must report its activities and performance to the National SOC every three months.</w:t>
      </w:r>
    </w:p>
    <w:p>
      <w:pPr/>
      <w:r>
        <w:t xml:space="preserve">If a cyber incident happens at any public, private or autonomous body, it must immediately notify the National CERT.</w:t>
      </w:r>
    </w:p>
    <w:p>
      <w:pPr/>
      <w:r>
        <w:t xml:space="preserve">CERTs work round the clock. Cooperation with foreign teams, and use of cloud-based security tools, need the Council's approval. CIRTs may scan open systems only to find weak or insecurely configured systems, and must not harm the service being scanned.</w:t>
      </w:r>
    </w:p>
    <w:p>
      <w:pPr/>
      <w:r>
        <w:t xml:space="preserve">Digital forensic labs work under the control and supervision of the Agency (section 10). Labs that already existed in public bodies are recognised if they meet the quality standard in section 11: qualified and trained people, proper infrastructure, protection of confidential information, quality tools and scientific methods.</w:t>
      </w:r>
    </w:p>
    <w:p>
      <w:pPr>
        <w:pStyle w:val="Heading3"/>
      </w:pPr>
      <w:r>
        <w:t xml:space="preserve">The Council (sections 12–14)</w:t>
      </w:r>
    </w:p>
    <w:p>
      <w:pPr/>
      <w:r>
        <w:t xml:space="preserve">The National Cyber Security Council is chaired by the Prime Minister (section 12).</w:t>
      </w:r>
    </w:p>
    <w:p>
      <w:pPr/>
      <w:r>
        <w:t xml:space="preserve">Its members include: the ministers responsible for posts, telecommunications and IT, and for law; the Principal Secretary to the Prime Minister; the Governor of Bangladesh Bank; several secretaries; the Inspector General of Police; the chairs of the National Board of Revenue and BTRC; heads of intelligence and monitoring bodies; the Director General of the Agency; a retired Supreme Court judge nominated by the Chief Justice; the Chairman of the National Human Rights Commission; the Secretary of the Information Commission; the head of the Bangladesh Financial Intelligence Unit; and two private-sector experts in IT or human rights.</w:t>
      </w:r>
    </w:p>
    <w:p>
      <w:pPr/>
      <w:r>
        <w:t xml:space="preserve">The Director General of the Agency provides secretarial support.</w:t>
      </w:r>
    </w:p>
    <w:p>
      <w:pPr/>
      <w:r>
        <w:t xml:space="preserve">The Council gives the Agency directions and advice, guides action against threats, advises on infrastructure and manpower, sets inter-institutional policy, and makes sure the Act is implemented (section 13).</w:t>
      </w:r>
    </w:p>
    <w:p>
      <w:pPr/>
      <w:r>
        <w:t xml:space="preserve">The Council meets at least once every three months, and at any time in an emergency. Every three months it has the cyber risks of all ministries, divisions, public and private bodies and each CII audited. It announces public-interest decisions by press release and publishes analytical reports on the cyber security of relevant websites (section 14).</w:t>
      </w:r>
    </w:p>
    <w:p>
      <w:pPr/>
      <w:r>
        <w:t xml:space="preserve">If the Chairman is absent, the Minister in charge of the Posts, Telecommunications and Information Technology Ministry presides. A vacancy in membership, or a defect in forming the Council, does not invalidate its acts.</w:t>
      </w:r>
    </w:p>
    <w:p>
      <w:pPr>
        <w:pStyle w:val="Heading3"/>
      </w:pPr>
      <w:r>
        <w:t xml:space="preserve">Critical Information Infrastructure (sections 15–16)</w:t>
      </w:r>
    </w:p>
    <w:p>
      <w:pPr/>
      <w:r>
        <w:t xml:space="preserve">Only the Government can declare a computer system, network or information infrastructure to be Critical Information Infrastructure (CII), by Gazette notification. The list must be updated at least once a year (section 15).</w:t>
      </w:r>
    </w:p>
    <w:p>
      <w:pPr/>
      <w:r>
        <w:t xml:space="preserve">The Director General monitors and inspects CII from time to time and reports to the Council. Each CII must audit its internal and external infrastructure every year, send the audit report to the Council, and tell the Director General what it contains (section 16).</w:t>
      </w:r>
    </w:p>
    <w:p>
      <w:pPr/>
      <w:r>
        <w:t xml:space="preserve">If the Director General, after analysing data, believes a person's activity is a threat to CII, the Director General may inquire into it on their own motion or on anyone's complaint.</w:t>
      </w:r>
    </w:p>
    <w:p>
      <w:pPr/>
      <w:r>
        <w:t xml:space="preserve">Monitoring, inspection and audit must be done by people expert in cyber security, including recognised ICT laboratories or certified institutions.</w:t>
      </w:r>
    </w:p>
    <w:p>
      <w:pPr>
        <w:pStyle w:val="Heading2"/>
      </w:pPr>
      <w:r>
        <w:t xml:space="preserve">Part 3: Offences and liability (sections 17–30)</w:t>
      </w:r>
    </w:p>
    <w:p>
      <w:pPr/>
      <w:r>
        <w:t xml:space="preserve">All penalties are maximums; "or both" means imprisonment, fine, or both.</w:t>
      </w:r>
    </w:p>
    <w:p>
      <w:pPr>
        <w:pStyle w:val="Heading3"/>
      </w:pPr>
      <w:r>
        <w:t xml:space="preserve">Attacks on systems (sections 17–19)</w:t>
      </w:r>
    </w:p>
    <w:p>
      <w:pPr/>
      <w:r>
        <w:rPr>
          <w:b/>
        </w:rPr>
        <w:t xml:space="preserve">Section 17 — unlawful access to Critical Information Infrastructure (CII):</w:t>
      </w:r>
      <w:r>
        <w:t xml:space="preserve"> up to 5 years, or a fine up to BDT 50 lakh, or both. If the access is used to steal, destroy, cancel, alter or reduce the value of data, to generate new data through an AI agent, to hide, destroy or alter source code, or to assist such acts: up to 7 years, or a fine up to BDT 1 crore, or both. It applies to persons, software developers and users of AI tools.</w:t>
      </w:r>
    </w:p>
    <w:p>
      <w:pPr/>
      <w:r>
        <w:rPr>
          <w:b/>
        </w:rPr>
        <w:t xml:space="preserve">Section 18 — unlawful access to computers and systems:</w:t>
      </w:r>
    </w:p>
    <w:p>
      <w:pPr>
        <w:pStyle w:val="ListParagraph"/>
        <w:numPr>
          <w:ilvl w:val="0"/>
          <w:numId w:val="6"/>
        </w:numPr>
      </w:pPr>
      <w:r>
        <w:t xml:space="preserve">unlawful access, or helping with it: up to 1 year, or a fine up to BDT 10 lakh, or both;</w:t>
      </w:r>
    </w:p>
    <w:p>
      <w:pPr>
        <w:pStyle w:val="ListParagraph"/>
        <w:numPr>
          <w:ilvl w:val="0"/>
          <w:numId w:val="6"/>
        </w:numPr>
      </w:pPr>
      <w:r>
        <w:t xml:space="preserve">with intent to commit an offence: up to 2 years, or a fine up to BDT 20 lakh, or both;</w:t>
      </w:r>
    </w:p>
    <w:p>
      <w:pPr>
        <w:pStyle w:val="ListParagraph"/>
        <w:numPr>
          <w:ilvl w:val="0"/>
          <w:numId w:val="6"/>
        </w:numPr>
      </w:pPr>
      <w:r>
        <w:t xml:space="preserve">hacking that steals, destroys, cancels, alters or reduces the value of data: up to 5 years, or a fine up to BDT 50 lakh, or both.</w:t>
      </w:r>
    </w:p>
    <w:p>
      <w:pPr/>
      <w:r>
        <w:rPr>
          <w:b/>
        </w:rPr>
        <w:t xml:space="preserve">Section 19 — damage to computers and the infrastructure of cyberspace:</w:t>
      </w:r>
      <w:r>
        <w:t xml:space="preserve"> collecting data without authority and with intent to harm; introducing or trying to introduce a virus or malware; damaging or trying to damage systems, data or physical infrastructure; blocking an authorised person's access; sending unsolicited phishing or ransomware mail with intent to harm; or manipulating a system so that a service used or a charge levied is credited to another person's account. Penalty: up to 5 years, or a fine up to BDT 50 lakh, or both.</w:t>
      </w:r>
    </w:p>
    <w:p>
      <w:pPr/>
      <w:r>
        <w:t xml:space="preserve">Note: section 20 is not part of the source text used in this course.</w:t>
      </w:r>
    </w:p>
    <w:p>
      <w:pPr>
        <w:pStyle w:val="Heading3"/>
      </w:pPr>
      <w:r>
        <w:t xml:space="preserve">Cyber terrorism (section 23)</w:t>
      </w:r>
    </w:p>
    <w:p>
      <w:pPr/>
      <w:r>
        <w:t xml:space="preserve">Cyber terrorism is punished with up to 10 years, or a fine up to BDT 1 crore, or both.</w:t>
      </w:r>
    </w:p>
    <w:p>
      <w:pPr/>
      <w:r>
        <w:t xml:space="preserve">It includes: endangering the integrity, security or sovereignty of the State and, with intent to instil fear, blocking or gaining unlawful access to a computer, network or the internet; making harmful changes or introducing malware that cause, or are likely to cause, death or serious injury; attacking a computer system or server so that the supply of essential goods or services is disrupted or damaged, or damaging Critical Information Infrastructure; entering stored data or databases that could be used against friendly relations with a foreign State or public order, or for the benefit of a foreign State or any person or group; and hiding one's identity, assuming another's identity or distorting a national ID card in order to do any of these.</w:t>
      </w:r>
    </w:p>
    <w:p>
      <w:pPr/>
      <w:r>
        <w:t xml:space="preserve">A whistleblower who acts in the greater public interest in the stored-data limb is not covered.</w:t>
      </w:r>
    </w:p>
    <w:p>
      <w:pPr>
        <w:pStyle w:val="Heading3"/>
      </w:pPr>
      <w:r>
        <w:t xml:space="preserve">Forgery, fraud and e-transactions (sections 21, 22, 24)</w:t>
      </w:r>
    </w:p>
    <w:p>
      <w:pPr/>
      <w:r>
        <w:rPr>
          <w:b/>
        </w:rPr>
        <w:t xml:space="preserve">Section 21 — forgery in cyberspace:</w:t>
      </w:r>
      <w:r>
        <w:t xml:space="preserve"> up to 2 years, or a fine up to BDT 20 lakh, or both. It means using cyberspace, without right, beyond a right given, or by abusing authority, to do things such as: prepare, alter, delete or hide the inputs or outputs of a computer or digital device; produce digital documents or electronic files, or alter existing ones; produce digital money, electronic currency or cryptocurrency; operate mobile banking using a SIM registered under someone else's national ID card; engage in hundi activities; or run a gambling portal. It also covers AI agents.</w:t>
      </w:r>
    </w:p>
    <w:p>
      <w:pPr/>
      <w:r>
        <w:rPr>
          <w:b/>
        </w:rPr>
        <w:t xml:space="preserve">Section 22 — fraud in cyberspace:</w:t>
      </w:r>
      <w:r>
        <w:t xml:space="preserve"> up to 5 years, or a fine up to BDT 50 lakh, or both. It means intentionally, knowingly or without permission altering, deleting, adding or distorting information in a computer program, system, network, digital device, e-commerce or social media, so that its value or usefulness falls, in order to gain a benefit for oneself or another, to cause harm, or to deceive.</w:t>
      </w:r>
    </w:p>
    <w:p>
      <w:pPr/>
      <w:r>
        <w:rPr>
          <w:b/>
        </w:rPr>
        <w:t xml:space="preserve">Section 24 — e-transactions without lawful authority:</w:t>
      </w:r>
      <w:r>
        <w:t xml:space="preserve"> making an electronic transaction from a bank, insurance company, financial institution or mobile financial service without lawful authority, or despite the Government or Bangladesh Bank having declared it illegal. The Bengali text states the penalty as imprisonment up to 1 year and a fine up to BDT 10 lakh.</w:t>
      </w:r>
    </w:p>
    <w:p>
      <w:pPr>
        <w:pStyle w:val="Heading3"/>
      </w:pPr>
      <w:r>
        <w:t xml:space="preserve">Harms to people: section 25</w:t>
      </w:r>
    </w:p>
    <w:p>
      <w:pPr/>
      <w:r>
        <w:t xml:space="preserve">Content note: this part and the next explain the law on online sexual abuse and hate content. They do not give examples.</w:t>
      </w:r>
    </w:p>
    <w:p>
      <w:pPr/>
      <w:r>
        <w:t xml:space="preserve">Section 25 makes it an offence to send, publish or spread, or to threaten to send, publish or spread, any information, video, image, audio-visual material, graphics or other data (including AI-created or AI-edited material) with the intent of blackmail, sexual harassment, "revenge porn", digital child sexual abuse material, or sextortion, where the material is harmful or intimidating.</w:t>
      </w:r>
    </w:p>
    <w:p>
      <w:pPr/>
      <w:r>
        <w:t xml:space="preserve">Penalty: up to 2 years, or a fine up to BDT 10 lakh, or both.</w:t>
      </w:r>
    </w:p>
    <w:p>
      <w:pPr/>
      <w:r>
        <w:t xml:space="preserve">If the offence is against a woman or a child under 18: up to 5 years, or a fine up to BDT 20 lakh, or both.</w:t>
      </w:r>
    </w:p>
    <w:p>
      <w:pPr>
        <w:pStyle w:val="Heading3"/>
      </w:pPr>
      <w:r>
        <w:t xml:space="preserve">Definitions behind section 25, and section 26</w:t>
      </w:r>
    </w:p>
    <w:p>
      <w:pPr/>
      <w:r>
        <w:rPr>
          <w:b/>
        </w:rPr>
        <w:t xml:space="preserve">Sexual harassment</w:t>
      </w:r>
      <w:r>
        <w:t xml:space="preserve"> includes: repeatedly asking for nude images; abusing administrative or professional power to propose an unlawful physical relationship; sending unwanted sexual content; using technology without permission to turn someone's picture into pornographic material; and threatening, luring or pressuring someone because they did not respond to a relationship proposal.</w:t>
      </w:r>
    </w:p>
    <w:p>
      <w:pPr/>
      <w:r>
        <w:rPr>
          <w:b/>
        </w:rPr>
        <w:t xml:space="preserve">Revenge porn:</w:t>
      </w:r>
      <w:r>
        <w:t xml:space="preserve"> spreading someone's intimate or private photos, videos or similar data, without permission and with intent to harm them.</w:t>
      </w:r>
    </w:p>
    <w:p>
      <w:pPr/>
      <w:r>
        <w:rPr>
          <w:b/>
        </w:rPr>
        <w:t xml:space="preserve">Sextortion:</w:t>
      </w:r>
      <w:r>
        <w:t xml:space="preserve"> claiming to hold, or holding, someone's intimate or private photos or videos and threatening to publish them to get money, benefits or a physical relationship.</w:t>
      </w:r>
    </w:p>
    <w:p>
      <w:pPr/>
      <w:r>
        <w:rPr>
          <w:b/>
        </w:rPr>
        <w:t xml:space="preserve">Blackmailing:</w:t>
      </w:r>
      <w:r>
        <w:t xml:space="preserve"> forcing someone, by threatening to disclose confidential information or to cause harm, to give an unlawful benefit or service or to do a demanded act.</w:t>
      </w:r>
    </w:p>
    <w:p>
      <w:pPr/>
      <w:r>
        <w:rPr>
          <w:b/>
        </w:rPr>
        <w:t xml:space="preserve">Digital child sexual abuse material</w:t>
      </w:r>
      <w:r>
        <w:t xml:space="preserve"> is defined with reference to the Children Act, 2013. Material made only for legitimate purposes, such as law enforcement, investigation, medical care, authorised research, education or media reporting, is outside the definition.</w:t>
      </w:r>
    </w:p>
    <w:p>
      <w:pPr/>
      <w:r>
        <w:rPr>
          <w:b/>
        </w:rPr>
        <w:t xml:space="preserve">Section 26 — hate content:</w:t>
      </w:r>
      <w:r>
        <w:t xml:space="preserve"> it is an offence to publish or spread in cyberspace, knowingly, or under a false identity, or through unlawful access to an ID, religious or communal hate speech or ethnic hostility that creates concern about violence or directs disorder or criminal activity. Penalty: up to 2 years, or a fine up to BDT 10 lakh, or both.</w:t>
      </w:r>
    </w:p>
    <w:p>
      <w:pPr>
        <w:pStyle w:val="Heading3"/>
      </w:pPr>
      <w:r>
        <w:t xml:space="preserve">Who else is liable (sections 27–30)</w:t>
      </w:r>
    </w:p>
    <w:p>
      <w:pPr/>
      <w:r>
        <w:rPr>
          <w:b/>
        </w:rPr>
        <w:t xml:space="preserve">Section 27 — abetment:</w:t>
      </w:r>
      <w:r>
        <w:t xml:space="preserve"> anyone who abets an offence under the Act commits an offence and is punished with the same punishment as the principal offence.</w:t>
      </w:r>
    </w:p>
    <w:p>
      <w:pPr/>
      <w:r>
        <w:rPr>
          <w:b/>
        </w:rPr>
        <w:t xml:space="preserve">Section 28 — false cases:</w:t>
      </w:r>
      <w:r>
        <w:t xml:space="preserve"> if a person, intending to harm another, files or causes to be filed a case or complaint under the Act, knowing there is no just or lawful ground, both the person who filed it and the person who caused it to be filed are punished with the punishment for the principal offence. If false complaints are filed under more than one section, the higher punishment may be fixed. The Tribunal may take up this offence on a written complaint of the aggrieved person or an authorised person, or on its own motion.</w:t>
      </w:r>
    </w:p>
    <w:p>
      <w:pPr/>
      <w:r>
        <w:rPr>
          <w:b/>
        </w:rPr>
        <w:t xml:space="preserve">Section 29 — companies:</w:t>
      </w:r>
      <w:r>
        <w:t xml:space="preserve"> when a company commits an offence, every owner, chief executive, director, manager, secretary, partner or other officer, employee or representative who is directly involved is deemed to have committed it, unless they prove it happened without their knowledge or that they made all possible efforts to prevent it. A company with legal personality may also be prosecuted separately in the same proceeding, but only a fine can be imposed on it.</w:t>
      </w:r>
    </w:p>
    <w:p>
      <w:pPr/>
      <w:r>
        <w:rPr>
          <w:b/>
        </w:rPr>
        <w:t xml:space="preserve">Section 30 — compensation:</w:t>
      </w:r>
      <w:r>
        <w:t xml:space="preserve"> the Tribunal may order compensation equal to the loss caused, or another appropriate amount, to the affected person or institution, either out of the fine or in addition to the fine.</w:t>
      </w:r>
    </w:p>
    <w:p>
      <w:pPr>
        <w:pStyle w:val="Heading2"/>
      </w:pPr>
      <w:r>
        <w:t xml:space="preserve">Part 4: Investigation and trial (sections 31–45)</w:t>
      </w:r>
    </w:p>
    <w:p>
      <w:pPr>
        <w:pStyle w:val="Heading3"/>
      </w:pPr>
      <w:r>
        <w:t xml:space="preserve">Investigation and time limits (sections 31–32)</w:t>
      </w:r>
    </w:p>
    <w:p>
      <w:pPr/>
      <w:r>
        <w:t xml:space="preserve">Offences under the Act are investigated by a police officer (not below the rank of Sub-Inspector) or another investigating officer mentioned in the Chapter (section 31). The Tribunal may form a joint investigation team of the investigating agency, law-enforcement agencies and the Agency.</w:t>
      </w:r>
    </w:p>
    <w:p>
      <w:pPr/>
      <w:r>
        <w:t xml:space="preserve">Cases under sections 21, 25 and 26: within 24 hours of filing, the case record, and any detained person, must be produced before the Magistrate. Within 24 hours of receiving it, the Magistrate, after hearing the aggrieved person or their lawyer, either directs an investigation (if the allegation has a basis) or records reasons, dismisses the allegation and orders the immediate release of any detained person.</w:t>
      </w:r>
    </w:p>
    <w:p>
      <w:pPr/>
      <w:r>
        <w:t xml:space="preserve">Time limit (section 32): the investigating officer must finish within 90 days. With the controlling officer's approval, 15 more days. After that, the officer must record reasons, report to the Tribunal and, with its permission, may take 30 more days. If technical limits stop some work being finished, the Tribunal may extend the time by a reasonable period.</w:t>
      </w:r>
    </w:p>
    <w:p>
      <w:pPr>
        <w:pStyle w:val="Heading3"/>
      </w:pPr>
      <w:r>
        <w:t xml:space="preserve">Evidence and duties during investigation (sections 36–39)</w:t>
      </w:r>
    </w:p>
    <w:p>
      <w:pPr/>
      <w:r>
        <w:rPr>
          <w:b/>
        </w:rPr>
        <w:t xml:space="preserve">Preserving data (section 36):</w:t>
      </w:r>
      <w:r>
        <w:t xml:space="preserve"> if the Director General believes data stored in a computer or system must be preserved for an investigation and could be destroyed, altered or made unavailable, the Director General may direct the person in charge to preserve it for up to 90 days. On application, the Tribunal may extend this, but never beyond 180 days in total.</w:t>
      </w:r>
    </w:p>
    <w:p>
      <w:pPr/>
      <w:r>
        <w:rPr>
          <w:b/>
        </w:rPr>
        <w:t xml:space="preserve">Not disrupting use (section 37):</w:t>
      </w:r>
      <w:r>
        <w:t xml:space="preserve"> investigators must not disrupt the lawful use of a computer or network. A computer, system or network may be seized only if it cannot be accessed, or if not seizing it would probably lead to data being destroyed, altered or made unavailable, in order to prevent or stop an offence.</w:t>
      </w:r>
    </w:p>
    <w:p>
      <w:pPr/>
      <w:r>
        <w:rPr>
          <w:b/>
        </w:rPr>
        <w:t xml:space="preserve">Assistance (section 38):</w:t>
      </w:r>
      <w:r>
        <w:t xml:space="preserve"> an investigating officer may ask any person, entity or service provider for information or help, and they must provide it.</w:t>
      </w:r>
    </w:p>
    <w:p>
      <w:pPr/>
      <w:r>
        <w:rPr>
          <w:b/>
        </w:rPr>
        <w:t xml:space="preserve">Confidentiality (section 39):</w:t>
      </w:r>
      <w:r>
        <w:t xml:space="preserve"> no civil or criminal complaint may be filed against a person, entity or service provider for providing or disclosing information for an investigation. Everyone connected with an investigation must keep the information confidential. Breaking confidentiality is punished with up to 2 years, or a fine up to BDT 1 lakh, or both. A list of information disclosed for investigations must be sent to the Council every six months.</w:t>
      </w:r>
    </w:p>
    <w:p>
      <w:pPr>
        <w:pStyle w:val="Heading3"/>
      </w:pPr>
      <w:r>
        <w:t xml:space="preserve">Search and seizure (sections 34–35)</w:t>
      </w:r>
    </w:p>
    <w:p>
      <w:pPr/>
      <w:r>
        <w:rPr>
          <w:b/>
        </w:rPr>
        <w:t xml:space="preserve">With a warrant (section 34):</w:t>
      </w:r>
      <w:r>
        <w:t xml:space="preserve"> if a police officer has reason to believe an offence has been or is likely to be committed, or that a computer, system, network, data or other evidence is kept somewhere, the officer records the reasons and applies to the Tribunal, or to the Chief Judicial Magistrate or Chief Metropolitan Magistrate, for a search warrant. The officer may then obtain data of any data flow held by a service provider, and intercept or obstruct electronic communication, including subscriber information and traffic data, at any stage of communication.</w:t>
      </w:r>
    </w:p>
    <w:p>
      <w:pPr/>
      <w:r>
        <w:rPr>
          <w:b/>
        </w:rPr>
        <w:t xml:space="preserve">Without a warrant (section 35):</w:t>
      </w:r>
      <w:r>
        <w:t xml:space="preserve"> only where there is a cyber attack on Critical Information Infrastructure, or unlawful access, intrusion or hacking, and evidence is likely to be deleted, altered, destroyed, lost or made unavailable. After recording reasons, the officer may enter and search the place, seize equipment and documents, search people present, and arrest anyone present who is suspected of the offence.</w:t>
      </w:r>
    </w:p>
    <w:p>
      <w:pPr/>
      <w:r>
        <w:rPr>
          <w:b/>
        </w:rPr>
        <w:t xml:space="preserve">Afterwards:</w:t>
      </w:r>
      <w:r>
        <w:t xml:space="preserve"> the officer must immediately report the search to the Tribunal, and must produce an arrested person before the nearest Magistrate or the Tribunal without delay, and within 24 hours excluding travel time (Article 33 of the Constitution).</w:t>
      </w:r>
    </w:p>
    <w:p>
      <w:pPr/>
      <w:r>
        <w:t xml:space="preserve">Note: section 33 is not part of the source text used in this course.</w:t>
      </w:r>
    </w:p>
    <w:p>
      <w:pPr>
        <w:pStyle w:val="Heading3"/>
      </w:pPr>
      <w:r>
        <w:t xml:space="preserve">Filing and jurisdiction (sections 40–42)</w:t>
      </w:r>
    </w:p>
    <w:p>
      <w:pPr/>
      <w:r>
        <w:t xml:space="preserve">Who may file a case (section 40): only the aggrieved person, a person they authorise in writing, or a member of a law-enforcement agency.</w:t>
      </w:r>
    </w:p>
    <w:p>
      <w:pPr/>
      <w:r>
        <w:t xml:space="preserve">If the police refuse to accept a complaint, the aggrieved person (or their authorised person) can file a written complaint, with an affidavit, to the Tribunal. The Tribunal examines the complainant; if satisfied, it directs a police officer to investigate, and if not satisfied, it dismisses the complaint.</w:t>
      </w:r>
    </w:p>
    <w:p>
      <w:pPr/>
      <w:r>
        <w:t xml:space="preserve">The Tribunal cannot take cognisance of an offence without a written report from the police officer or the joint investigation team. It follows the trial procedure of a Court of Session in Chapter 23 of the Code of Criminal Procedure, so far as this is consistent with the Act.</w:t>
      </w:r>
    </w:p>
    <w:p>
      <w:pPr/>
      <w:r>
        <w:t xml:space="preserve">Trial and appeal (section 41): offences under the Act are tried only by the Tribunal. Appeals go to the Appellate Tribunal.</w:t>
      </w:r>
    </w:p>
    <w:p>
      <w:pPr/>
      <w:r>
        <w:t xml:space="preserve">Other laws (section 42): unless this Act says otherwise, the Code of Criminal Procedure, 1898, the Evidence Act, 1872 and the ICT Act, 2006 apply. The Tribunal has the powers of a Court of Session exercising original jurisdiction.</w:t>
      </w:r>
    </w:p>
    <w:p>
      <w:pPr>
        <w:pStyle w:val="Heading3"/>
      </w:pPr>
      <w:r>
        <w:t xml:space="preserve">Evidence, experts and the trial time limit (sections 43–45)</w:t>
      </w:r>
    </w:p>
    <w:p>
      <w:pPr/>
      <w:r>
        <w:t xml:space="preserve">Evidence (section 43): forensic evidence obtained or collected under the Act is admissible in trial, and digital forensic evidence prepared in a digital forensic lab must be preserved.</w:t>
      </w:r>
    </w:p>
    <w:p>
      <w:pPr/>
      <w:r>
        <w:t xml:space="preserve">Experts and training (section 44): the Tribunal and the Appellate Tribunal may take the opinion of experts in computer science, digital forensics, electronic communication and data security. The Government or the Agency may train everyone involved in implementing the Act.</w:t>
      </w:r>
    </w:p>
    <w:p>
      <w:pPr/>
      <w:r>
        <w:t xml:space="preserve">Time limit (section 45): the judge must dispose of a case within 180 working days from the date of framing the charge. If this is not possible, the judge may record reasons and extend the time by up to 90 working days. If the case is still not finished, the judge may record reasons, report the matter to the High Court Division and continue the proceedings.</w:t>
      </w:r>
    </w:p>
    <w:p>
      <w:pPr>
        <w:pStyle w:val="Heading2"/>
      </w:pPr>
      <w:r>
        <w:t xml:space="preserve">Part 5: Classification, forfeiture and transition (sections 46–52)</w:t>
      </w:r>
    </w:p>
    <w:p>
      <w:pPr>
        <w:pStyle w:val="Heading3"/>
      </w:pPr>
      <w:r>
        <w:t xml:space="preserve">Classification of offences (section 46)</w:t>
      </w:r>
    </w:p>
    <w:p>
      <w:pPr/>
      <w:r>
        <w:rPr>
          <w:b/>
        </w:rPr>
        <w:t xml:space="preserve">Cognizable (police can act):</w:t>
      </w:r>
      <w:r>
        <w:t xml:space="preserve"> sections 17, 18 (third limb, hacking), 19, 21, 22, 23 and 25. All other offences are non-cognizable. (Section 20 is also listed in the Act but is not part of this course's source text.)</w:t>
      </w:r>
    </w:p>
    <w:p>
      <w:pPr/>
      <w:r>
        <w:rPr>
          <w:b/>
        </w:rPr>
        <w:t xml:space="preserve">Non-bailable:</w:t>
      </w:r>
      <w:r>
        <w:t xml:space="preserve"> sections 17, 18 (third limb), 19, 22 and 23.</w:t>
      </w:r>
    </w:p>
    <w:p>
      <w:pPr/>
      <w:r>
        <w:rPr>
          <w:b/>
        </w:rPr>
        <w:t xml:space="preserve">Bailable:</w:t>
      </w:r>
      <w:r>
        <w:t xml:space="preserve"> section 18 (first and second limbs), 21, 24, 25 and 26. (Section 20 is also listed.)</w:t>
      </w:r>
    </w:p>
    <w:p>
      <w:pPr/>
      <w:r>
        <w:rPr>
          <w:b/>
        </w:rPr>
        <w:t xml:space="preserve">Compoundable (can be settled with the court's consent):</w:t>
      </w:r>
      <w:r>
        <w:t xml:space="preserve"> section 18 (first and second limbs), 19, 21, 22, 24 and 25.</w:t>
      </w:r>
    </w:p>
    <w:p>
      <w:pPr/>
      <w:r>
        <w:rPr>
          <w:b/>
        </w:rPr>
        <w:t xml:space="preserve">Not listed as compoundable:</w:t>
      </w:r>
      <w:r>
        <w:t xml:space="preserve"> sections 17, 18 (third limb), 23 and 26.</w:t>
      </w:r>
    </w:p>
    <w:p>
      <w:pPr/>
      <w:r>
        <w:t xml:space="preserve">Sections 27–30 and 39 are "other sections": they are non-cognizable, and section 46 does not say whether they are bailable or compoundable.</w:t>
      </w:r>
    </w:p>
    <w:p>
      <w:pPr>
        <w:pStyle w:val="Heading3"/>
      </w:pPr>
      <w:r>
        <w:t xml:space="preserve">Forfeiture (section 47)</w:t>
      </w:r>
    </w:p>
    <w:p>
      <w:pPr/>
      <w:r>
        <w:t xml:space="preserve">If an offence is committed, the cyber instruments or things used in it can be forfeited by order of the Tribunal. Cyber instruments include computers, computer systems, floppy disks, compact disks, tape drives and other accessory computer instruments.</w:t>
      </w:r>
    </w:p>
    <w:p>
      <w:pPr/>
      <w:r>
        <w:t xml:space="preserve">A device is not forfeited if the Tribunal is satisfied that the person in whose possession it was found is not responsible for the offence.</w:t>
      </w:r>
    </w:p>
    <w:p>
      <w:pPr/>
      <w:r>
        <w:t xml:space="preserve">Lawful instruments found together with forfeitable ones can also be forfeited.</w:t>
      </w:r>
    </w:p>
    <w:p>
      <w:pPr/>
      <w:r>
        <w:t xml:space="preserve">Instruments or equipment of a public or statutory body used to commit an offence are not liable to forfeiture.</w:t>
      </w:r>
    </w:p>
    <w:p>
      <w:pPr>
        <w:pStyle w:val="Heading3"/>
      </w:pPr>
      <w:r>
        <w:t xml:space="preserve">International cooperation and rules (sections 48–49)</w:t>
      </w:r>
    </w:p>
    <w:p>
      <w:pPr/>
      <w:r>
        <w:rPr>
          <w:b/>
        </w:rPr>
        <w:t xml:space="preserve">International cooperation (section 48):</w:t>
      </w:r>
      <w:r>
        <w:t xml:space="preserve"> when regional or international cooperation is needed to investigate or try an offence, the Mutual Assistance in Criminal Matters Act, 2012 applies. For Critical Information Infrastructure involved in international cyber security matters, the National Cyber Security Agency is the competent authority. Each CII must nominate a representative (focal point), with an alternate, for communication on cyber matters nationally and internationally. The Agency publishes an online list of all focal points and promptly informs each focal point of changes to its CII's functions.</w:t>
      </w:r>
    </w:p>
    <w:p>
      <w:pPr/>
      <w:r>
        <w:rPr>
          <w:b/>
        </w:rPr>
        <w:t xml:space="preserve">Rules (section 49):</w:t>
      </w:r>
      <w:r>
        <w:t xml:space="preserve"> the Government may make rules by Gazette notification, including on digital forensic labs, collection and preservation of traffic data, procedures and protections for interception, review or decryption, security of CII, international cooperation, response teams, cloud and metadata forensics, and sharing of global threat intelligence.</w:t>
      </w:r>
    </w:p>
    <w:p>
      <w:pPr>
        <w:pStyle w:val="Heading3"/>
      </w:pPr>
      <w:r>
        <w:t xml:space="preserve">Repeal and transition (sections 50–52)</w:t>
      </w:r>
    </w:p>
    <w:p>
      <w:pPr/>
      <w:r>
        <w:t xml:space="preserve">The Cyber Security Act, 2023 is repealed (section 50). The Cyber Security Ordinance, 2025 and the Cyber Security (Amendment) Ordinance, 2025 are also repealed (section 51).</w:t>
      </w:r>
    </w:p>
    <w:p>
      <w:pPr/>
      <w:r>
        <w:t xml:space="preserve">Pending cases under sections 17, 18, 19, 20, 22, 23, 30, 32 and 35 of the 2023 Act (and abetment of those offences) continue in the relevant Tribunal, and appeals go to the relevant Appellate Tribunal, as if the 2023 Act had not been repealed.</w:t>
      </w:r>
    </w:p>
    <w:p>
      <w:pPr/>
      <w:r>
        <w:t xml:space="preserve">Pending cases and proceedings, including investigations, under sections 21, 24, 25, 26, 27, 28, 29, 31 and 34 of the 2023 Act are cancelled and no further action can be taken. Sentences and fines already imposed under those sections are treated as cancelled. The same applies to sections 21, 24, 25, 26, 27, 28, 29 and 31 of the Digital Security Act, 2018.</w:t>
      </w:r>
    </w:p>
    <w:p>
      <w:pPr/>
      <w:r>
        <w:t xml:space="preserve">The old Agency's property, documents and liabilities pass to the National Cyber Security Agency; its staff continue on the same terms; existing response teams, digital forensic labs and declared CII are treated as created under this Act. Acts done and actions taken under the 2025 Ordinances are treated as done under this Act.</w:t>
      </w:r>
    </w:p>
    <w:p>
      <w:pPr/>
      <w:r>
        <w:rPr>
          <w:b/>
        </w:rPr>
        <w:t xml:space="preserve">English text (section 52):</w:t>
      </w:r>
      <w:r>
        <w:t xml:space="preserve"> the Government may publish an Authentic English Text. If it conflicts with the Act, the Act (the Bengali text) prevails.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Cyber Security Act, 2026 of Bangladesh — Study Text</dc:title>
  <dc:description>Claude Docs node/5dfa9dd4-4328@6 docx-w6</dc:description>
  <cp:revision>6</cp:revision>
</cp:coreProperties>
</file>