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1388571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oflights-black-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8571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Helvetica Neue" w:hAnsi="Helvetica Neue"/>
          <w:color w:val="4A5568"/>
          <w:sz w:val="22"/>
        </w:rPr>
        <w:t>Casper Mikelson — Managing Director, CEOFLIGHTS Latvia</w:t>
      </w:r>
    </w:p>
    <w:p>
      <w:pPr>
        <w:spacing w:after="60" w:before="0"/>
        <w:jc w:val="center"/>
        <w:pBdr>
          <w:bottom w:val="single" w:sz="8" w:space="1" w:color="E2E8F0"/>
        </w:pBdr>
      </w:pPr>
    </w:p>
    <w:p>
      <w:pPr>
        <w:spacing w:after="60" w:line="240" w:lineRule="auto"/>
      </w:pPr>
      <w:r>
        <w:rPr>
          <w:rFonts w:ascii="Helvetica Neue" w:hAnsi="Helvetica Neue"/>
          <w:color w:val="4A5568"/>
          <w:sz w:val="18"/>
        </w:rPr>
        <w:t xml:space="preserve">This document outlines the compensation structure for </w:t>
      </w:r>
      <w:r>
        <w:rPr>
          <w:rFonts w:ascii="Helvetica Neue" w:hAnsi="Helvetica Neue"/>
          <w:b/>
          <w:color w:val="4A5568"/>
          <w:sz w:val="18"/>
        </w:rPr>
        <w:t>Casper Mikelson</w:t>
      </w:r>
      <w:r>
        <w:rPr>
          <w:rFonts w:ascii="Helvetica Neue" w:hAnsi="Helvetica Neue"/>
          <w:color w:val="4A5568"/>
          <w:sz w:val="18"/>
        </w:rPr>
        <w:t>, Managing Director — CEOFLIGHTS Latvia.</w:t>
      </w:r>
    </w:p>
    <w:p>
      <w:pPr>
        <w:pStyle w:val="Heading2"/>
        <w:spacing w:before="160" w:after="60" w:line="240" w:lineRule="auto"/>
        <w:pBdr>
          <w:bottom w:val="single" w:sz="4" w:space="1" w:color="EBF8FF"/>
        </w:pBdr>
      </w:pPr>
      <w:r>
        <w:rPr>
          <w:rFonts w:ascii="Helvetica Neue" w:hAnsi="Helvetica Neue"/>
          <w:color w:val="2B6CB0"/>
          <w:sz w:val="22"/>
        </w:rPr>
        <w:t>1. Base Salary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1"/>
            <w:shd w:fill="1A365D" w:val="clear"/>
          </w:tcPr>
          <w:p>
            <w:pPr>
              <w:spacing w:before="120" w:after="0" w:line="240" w:lineRule="auto"/>
              <w:jc w:val="center"/>
            </w:pPr>
            <w:r>
              <w:rPr>
                <w:rFonts w:ascii="Helvetica Neue" w:hAnsi="Helvetica Neue"/>
                <w:b/>
                <w:color w:val="FFFFFF"/>
                <w:sz w:val="40"/>
              </w:rPr>
              <w:t>$3,500 USD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Helvetica Neue" w:hAnsi="Helvetica Neue"/>
                <w:color w:val="CBD5E0"/>
                <w:sz w:val="17"/>
              </w:rPr>
              <w:t>Fixed Monthly Salary</w:t>
            </w:r>
          </w:p>
        </w:tc>
      </w:tr>
    </w:tbl>
    <w:p>
      <w:pPr>
        <w:pStyle w:val="Heading2"/>
        <w:spacing w:before="160" w:after="60" w:line="240" w:lineRule="auto"/>
        <w:pBdr>
          <w:bottom w:val="single" w:sz="4" w:space="1" w:color="EBF8FF"/>
        </w:pBdr>
      </w:pPr>
      <w:r>
        <w:rPr>
          <w:rFonts w:ascii="Helvetica Neue" w:hAnsi="Helvetica Neue"/>
          <w:color w:val="2B6CB0"/>
          <w:sz w:val="22"/>
        </w:rPr>
        <w:t>2. Personal Production (Ongoing)</w:t>
      </w:r>
    </w:p>
    <w:p>
      <w:pPr>
        <w:spacing w:after="40" w:line="240" w:lineRule="auto"/>
      </w:pPr>
      <w:r>
        <w:rPr>
          <w:sz w:val="18"/>
        </w:rPr>
        <w:t>In addition to the base salary, personal sales commissions are paid at enhanced fixed rates:</w:t>
      </w:r>
    </w:p>
    <w:p>
      <w:pPr>
        <w:pStyle w:val="ListBullet"/>
        <w:spacing w:after="20" w:before="0" w:line="240" w:lineRule="auto"/>
      </w:pPr>
      <w:r>
        <w:rPr>
          <w:rFonts w:ascii="Helvetica Neue" w:hAnsi="Helvetica Neue"/>
          <w:b/>
          <w:color w:val="1A365D"/>
          <w:sz w:val="18"/>
        </w:rPr>
        <w:t>New Customers:</w:t>
      </w:r>
      <w:r>
        <w:rPr>
          <w:rFonts w:ascii="Helvetica Neue" w:hAnsi="Helvetica Neue"/>
          <w:sz w:val="18"/>
        </w:rPr>
        <w:t xml:space="preserve"> 35% fixed commission.</w:t>
      </w:r>
    </w:p>
    <w:p>
      <w:pPr>
        <w:pStyle w:val="ListBullet"/>
        <w:spacing w:after="20" w:before="0" w:line="240" w:lineRule="auto"/>
      </w:pPr>
      <w:r>
        <w:rPr>
          <w:rFonts w:ascii="Helvetica Neue" w:hAnsi="Helvetica Neue"/>
          <w:b/>
          <w:color w:val="1A365D"/>
          <w:sz w:val="18"/>
        </w:rPr>
        <w:t>Own Contacts / Return Customers:</w:t>
      </w:r>
      <w:r>
        <w:rPr>
          <w:rFonts w:ascii="Helvetica Neue" w:hAnsi="Helvetica Neue"/>
          <w:sz w:val="18"/>
        </w:rPr>
        <w:t xml:space="preserve"> 50% fixed commission.</w:t>
      </w:r>
    </w:p>
    <w:p>
      <w:pPr>
        <w:pStyle w:val="Heading2"/>
        <w:spacing w:before="160" w:after="60" w:line="240" w:lineRule="auto"/>
        <w:pBdr>
          <w:bottom w:val="single" w:sz="4" w:space="1" w:color="EBF8FF"/>
        </w:pBdr>
      </w:pPr>
      <w:r>
        <w:rPr>
          <w:rFonts w:ascii="Helvetica Neue" w:hAnsi="Helvetica Neue"/>
          <w:color w:val="2B6CB0"/>
          <w:sz w:val="22"/>
        </w:rPr>
        <w:t>3. Office Override (Revenue Share)</w:t>
      </w:r>
    </w:p>
    <w:p>
      <w:pPr>
        <w:spacing w:after="40" w:line="240" w:lineRule="auto"/>
      </w:pPr>
      <w:r>
        <w:rPr>
          <w:rFonts w:ascii="Helvetica Neue" w:hAnsi="Helvetica Neue"/>
          <w:sz w:val="18"/>
        </w:rPr>
        <w:t xml:space="preserve">The override applies only to the </w:t>
      </w:r>
      <w:r>
        <w:rPr>
          <w:rFonts w:ascii="Helvetica Neue" w:hAnsi="Helvetica Neue"/>
          <w:b/>
          <w:sz w:val="18"/>
        </w:rPr>
        <w:t>portion of GP that exceeds each threshold</w:t>
      </w:r>
      <w:r>
        <w:rPr>
          <w:rFonts w:ascii="Helvetica Neue" w:hAnsi="Helvetica Neue"/>
          <w:sz w:val="18"/>
        </w:rPr>
        <w:t xml:space="preserve"> (graduated model):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400"/>
        <w:gridCol w:w="3400"/>
        <w:gridCol w:w="3400"/>
      </w:tblGrid>
      <w:tr>
        <w:trPr>
          <w:trHeight w:val="280" w:hRule="atLeast"/>
        </w:trPr>
        <w:tc>
          <w:tcPr>
            <w:tcW w:type="dxa" w:w="3400"/>
            <w:shd w:fill="EBF8FF" w:val="clear"/>
          </w:tcPr>
          <w:p>
            <w:pPr>
              <w:spacing w:before="20" w:after="20" w:line="240" w:lineRule="auto"/>
            </w:pPr>
            <w:r>
              <w:rPr>
                <w:rFonts w:ascii="Helvetica Neue" w:hAnsi="Helvetica Neue"/>
                <w:b/>
                <w:color w:val="1A365D"/>
                <w:sz w:val="17"/>
              </w:rPr>
            </w:r>
            <w:r>
              <w:rPr>
                <w:rFonts w:ascii="Helvetica Neue" w:hAnsi="Helvetica Neue"/>
                <w:b/>
                <w:color w:val="1A365D"/>
                <w:sz w:val="17"/>
              </w:rPr>
              <w:t>GP Range</w:t>
            </w:r>
          </w:p>
        </w:tc>
        <w:tc>
          <w:tcPr>
            <w:tcW w:type="dxa" w:w="3400"/>
            <w:shd w:fill="EBF8FF" w:val="clear"/>
          </w:tcPr>
          <w:p>
            <w:pPr>
              <w:spacing w:before="20" w:after="20" w:line="240" w:lineRule="auto"/>
            </w:pPr>
            <w:r>
              <w:rPr>
                <w:rFonts w:ascii="Helvetica Neue" w:hAnsi="Helvetica Neue"/>
                <w:b/>
                <w:color w:val="1A365D"/>
                <w:sz w:val="17"/>
              </w:rPr>
            </w:r>
            <w:r>
              <w:rPr>
                <w:rFonts w:ascii="Helvetica Neue" w:hAnsi="Helvetica Neue"/>
                <w:b/>
                <w:color w:val="1A365D"/>
                <w:sz w:val="17"/>
              </w:rPr>
              <w:t>Override</w:t>
            </w:r>
          </w:p>
        </w:tc>
        <w:tc>
          <w:tcPr>
            <w:tcW w:type="dxa" w:w="3400"/>
            <w:shd w:fill="EBF8FF" w:val="clear"/>
          </w:tcPr>
          <w:p>
            <w:pPr>
              <w:spacing w:before="20" w:after="20" w:line="240" w:lineRule="auto"/>
            </w:pPr>
            <w:r>
              <w:rPr>
                <w:rFonts w:ascii="Helvetica Neue" w:hAnsi="Helvetica Neue"/>
                <w:b/>
                <w:color w:val="1A365D"/>
                <w:sz w:val="17"/>
              </w:rPr>
            </w:r>
            <w:r>
              <w:rPr>
                <w:rFonts w:ascii="Helvetica Neue" w:hAnsi="Helvetica Neue"/>
                <w:b/>
                <w:color w:val="1A365D"/>
                <w:sz w:val="17"/>
              </w:rPr>
              <w:t>Applied To</w:t>
            </w:r>
          </w:p>
        </w:tc>
      </w:tr>
      <w:tr>
        <w:trPr>
          <w:trHeight w:val="280" w:hRule="atLeast"/>
        </w:trPr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$0 – $69,999</w:t>
            </w:r>
          </w:p>
        </w:tc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0%</w:t>
            </w:r>
          </w:p>
        </w:tc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No override</w:t>
            </w:r>
          </w:p>
        </w:tc>
      </w:tr>
      <w:tr>
        <w:trPr>
          <w:trHeight w:val="280" w:hRule="atLeast"/>
        </w:trPr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$70,000 – $99,999</w:t>
            </w:r>
          </w:p>
        </w:tc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5%</w:t>
            </w:r>
          </w:p>
        </w:tc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Amount above $70,000</w:t>
            </w:r>
          </w:p>
        </w:tc>
      </w:tr>
      <w:tr>
        <w:trPr>
          <w:trHeight w:val="280" w:hRule="atLeast"/>
        </w:trPr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$100,000+</w:t>
            </w:r>
          </w:p>
        </w:tc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7%</w:t>
            </w:r>
          </w:p>
        </w:tc>
        <w:tc>
          <w:tcPr>
            <w:tcW w:type="dxa" w:w="34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Amount above $100,000</w:t>
            </w:r>
          </w:p>
        </w:tc>
      </w:tr>
    </w:tbl>
    <w:p>
      <w:pPr>
        <w:spacing w:before="80" w:after="40" w:line="240" w:lineRule="auto"/>
      </w:pPr>
      <w:r>
        <w:rPr>
          <w:rFonts w:ascii="Helvetica Neue" w:hAnsi="Helvetica Neue"/>
          <w:b/>
          <w:color w:val="2B6CB0"/>
          <w:sz w:val="18"/>
        </w:rPr>
        <w:t xml:space="preserve">Example: </w:t>
      </w:r>
      <w:r>
        <w:rPr>
          <w:rFonts w:ascii="Helvetica Neue" w:hAnsi="Helvetica Neue"/>
          <w:sz w:val="18"/>
        </w:rPr>
        <w:t xml:space="preserve">If the Riga office generates </w:t>
      </w:r>
      <w:r>
        <w:rPr>
          <w:rFonts w:ascii="Helvetica Neue" w:hAnsi="Helvetica Neue"/>
          <w:b/>
          <w:sz w:val="18"/>
        </w:rPr>
        <w:t>$120,000 GP</w:t>
      </w:r>
      <w:r>
        <w:rPr>
          <w:rFonts w:ascii="Helvetica Neue" w:hAnsi="Helvetica Neue"/>
          <w:sz w:val="18"/>
        </w:rPr>
        <w:t xml:space="preserve"> in a month: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100"/>
        <w:gridCol w:w="5100"/>
      </w:tblGrid>
      <w:tr>
        <w:trPr>
          <w:trHeight w:val="280" w:hRule="atLeast"/>
        </w:trPr>
        <w:tc>
          <w:tcPr>
            <w:tcW w:type="dxa" w:w="51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4A5568"/>
                <w:sz w:val="17"/>
              </w:rPr>
              <w:t>$0 – $69,999</w:t>
            </w:r>
          </w:p>
        </w:tc>
        <w:tc>
          <w:tcPr>
            <w:tcW w:type="dxa" w:w="510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$0</w:t>
            </w:r>
          </w:p>
        </w:tc>
      </w:tr>
      <w:tr>
        <w:trPr>
          <w:trHeight w:val="280" w:hRule="atLeast"/>
        </w:trPr>
        <w:tc>
          <w:tcPr>
            <w:tcW w:type="dxa" w:w="51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4A5568"/>
                <w:sz w:val="17"/>
              </w:rPr>
              <w:t>$70,000 – $99,999 → 5% × $30,000</w:t>
            </w:r>
          </w:p>
        </w:tc>
        <w:tc>
          <w:tcPr>
            <w:tcW w:type="dxa" w:w="510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$1,500</w:t>
            </w:r>
          </w:p>
        </w:tc>
      </w:tr>
      <w:tr>
        <w:trPr>
          <w:trHeight w:val="280" w:hRule="atLeast"/>
        </w:trPr>
        <w:tc>
          <w:tcPr>
            <w:tcW w:type="dxa" w:w="51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4A5568"/>
                <w:sz w:val="17"/>
              </w:rPr>
              <w:t>$100,000 – $120,000 → 7% × $20,000</w:t>
            </w:r>
          </w:p>
        </w:tc>
        <w:tc>
          <w:tcPr>
            <w:tcW w:type="dxa" w:w="510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$1,400</w:t>
            </w:r>
          </w:p>
        </w:tc>
      </w:tr>
      <w:tr>
        <w:trPr>
          <w:trHeight w:val="280" w:hRule="atLeast"/>
        </w:trPr>
        <w:tc>
          <w:tcPr>
            <w:tcW w:type="dxa" w:w="510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Total Override</w:t>
            </w:r>
          </w:p>
        </w:tc>
        <w:tc>
          <w:tcPr>
            <w:tcW w:type="dxa" w:w="510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$2,900</w:t>
            </w:r>
          </w:p>
        </w:tc>
      </w:tr>
    </w:tbl>
    <w:p>
      <w:pPr>
        <w:pStyle w:val="Heading2"/>
        <w:spacing w:before="160" w:after="60" w:line="240" w:lineRule="auto"/>
        <w:pBdr>
          <w:bottom w:val="single" w:sz="4" w:space="1" w:color="EBF8FF"/>
        </w:pBdr>
      </w:pPr>
      <w:r>
        <w:rPr>
          <w:rFonts w:ascii="Helvetica Neue" w:hAnsi="Helvetica Neue"/>
          <w:color w:val="2B6CB0"/>
          <w:sz w:val="22"/>
        </w:rPr>
        <w:t>4. Milestone Bonuses</w:t>
      </w:r>
    </w:p>
    <w:p>
      <w:pPr>
        <w:spacing w:after="60" w:line="240" w:lineRule="auto"/>
      </w:pPr>
      <w:r>
        <w:rPr>
          <w:sz w:val="18"/>
        </w:rPr>
        <w:t>One-time bonuses awarded when the office reaches these monthly GP milestones: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0FFF4" w:val="clear"/>
            <w:tcBorders>
              <w:top w:val="single" w:sz="4" w:space="0" w:color="C6F6D5"/>
              <w:left w:val="single" w:sz="4" w:space="0" w:color="C6F6D5"/>
              <w:bottom w:val="single" w:sz="4" w:space="0" w:color="C6F6D5"/>
              <w:right w:val="single" w:sz="4" w:space="0" w:color="C6F6D5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Helvetica Neue" w:hAnsi="Helvetica Neue"/>
                <w:color w:val="4A5568"/>
                <w:sz w:val="15"/>
              </w:rPr>
              <w:t>$70,000 GP MILESTONE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Helvetica Neue" w:hAnsi="Helvetica Neue"/>
                <w:b/>
                <w:color w:val="276749"/>
                <w:sz w:val="36"/>
              </w:rPr>
              <w:t>$500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Helvetica Neue" w:hAnsi="Helvetica Neue"/>
                <w:color w:val="4A5568"/>
                <w:sz w:val="15"/>
              </w:rPr>
              <w:t>Bonus</w:t>
            </w:r>
          </w:p>
        </w:tc>
        <w:tc>
          <w:tcPr>
            <w:tcW w:type="dxa" w:w="5100"/>
            <w:shd w:fill="F0FFF4" w:val="clear"/>
            <w:tcBorders>
              <w:top w:val="single" w:sz="4" w:space="0" w:color="C6F6D5"/>
              <w:left w:val="single" w:sz="4" w:space="0" w:color="C6F6D5"/>
              <w:bottom w:val="single" w:sz="4" w:space="0" w:color="C6F6D5"/>
              <w:right w:val="single" w:sz="4" w:space="0" w:color="C6F6D5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Helvetica Neue" w:hAnsi="Helvetica Neue"/>
                <w:color w:val="4A5568"/>
                <w:sz w:val="15"/>
              </w:rPr>
              <w:t>$100,000 GP MILESTONE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Helvetica Neue" w:hAnsi="Helvetica Neue"/>
                <w:b/>
                <w:color w:val="276749"/>
                <w:sz w:val="36"/>
              </w:rPr>
              <w:t>$2,500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Helvetica Neue" w:hAnsi="Helvetica Neue"/>
                <w:color w:val="4A5568"/>
                <w:sz w:val="15"/>
              </w:rPr>
              <w:t>Bonus</w:t>
            </w:r>
          </w:p>
        </w:tc>
      </w:tr>
    </w:tbl>
    <w:p>
      <w:pPr>
        <w:pStyle w:val="Heading2"/>
        <w:spacing w:before="160" w:after="60" w:line="240" w:lineRule="auto"/>
        <w:pBdr>
          <w:bottom w:val="single" w:sz="4" w:space="1" w:color="EBF8FF"/>
        </w:pBdr>
      </w:pPr>
      <w:r>
        <w:rPr>
          <w:rFonts w:ascii="Helvetica Neue" w:hAnsi="Helvetica Neue"/>
          <w:color w:val="2B6CB0"/>
          <w:sz w:val="22"/>
        </w:rPr>
        <w:t>5. Quarterly Performance Bonus</w:t>
      </w:r>
    </w:p>
    <w:p>
      <w:pPr>
        <w:spacing w:after="40" w:line="240" w:lineRule="auto"/>
      </w:pPr>
      <w:r>
        <w:rPr>
          <w:rFonts w:ascii="Helvetica Neue" w:hAnsi="Helvetica Neue"/>
          <w:sz w:val="18"/>
        </w:rPr>
        <w:t xml:space="preserve">Measured as the </w:t>
      </w:r>
      <w:r>
        <w:rPr>
          <w:rFonts w:ascii="Helvetica Neue" w:hAnsi="Helvetica Neue"/>
          <w:b/>
          <w:sz w:val="18"/>
        </w:rPr>
        <w:t>3-month average</w:t>
      </w:r>
      <w:r>
        <w:rPr>
          <w:rFonts w:ascii="Helvetica Neue" w:hAnsi="Helvetica Neue"/>
          <w:sz w:val="18"/>
        </w:rPr>
        <w:t xml:space="preserve"> across the quarter. Each KPI is independent — bonuses are earned per target hit.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550"/>
        <w:gridCol w:w="2550"/>
        <w:gridCol w:w="2550"/>
        <w:gridCol w:w="2550"/>
      </w:tblGrid>
      <w:tr>
        <w:trPr>
          <w:trHeight w:val="280" w:hRule="atLeast"/>
        </w:trPr>
        <w:tc>
          <w:tcPr>
            <w:tcW w:type="dxa" w:w="2550"/>
            <w:shd w:fill="EBF8FF" w:val="clear"/>
          </w:tcPr>
          <w:p>
            <w:pPr>
              <w:spacing w:before="20" w:after="20" w:line="240" w:lineRule="auto"/>
            </w:pPr>
            <w:r>
              <w:rPr>
                <w:rFonts w:ascii="Helvetica Neue" w:hAnsi="Helvetica Neue"/>
                <w:b/>
                <w:color w:val="1A365D"/>
                <w:sz w:val="17"/>
              </w:rPr>
            </w:r>
            <w:r>
              <w:rPr>
                <w:rFonts w:ascii="Helvetica Neue" w:hAnsi="Helvetica Neue"/>
                <w:b/>
                <w:color w:val="1A365D"/>
                <w:sz w:val="17"/>
              </w:rPr>
              <w:t>KPI</w:t>
            </w:r>
          </w:p>
        </w:tc>
        <w:tc>
          <w:tcPr>
            <w:tcW w:type="dxa" w:w="2550"/>
            <w:shd w:fill="EBF8FF" w:val="clear"/>
          </w:tcPr>
          <w:p>
            <w:pPr>
              <w:spacing w:before="20" w:after="20" w:line="240" w:lineRule="auto"/>
            </w:pPr>
            <w:r>
              <w:rPr>
                <w:rFonts w:ascii="Helvetica Neue" w:hAnsi="Helvetica Neue"/>
                <w:b/>
                <w:color w:val="1A365D"/>
                <w:sz w:val="17"/>
              </w:rPr>
            </w:r>
            <w:r>
              <w:rPr>
                <w:rFonts w:ascii="Helvetica Neue" w:hAnsi="Helvetica Neue"/>
                <w:b/>
                <w:color w:val="1A365D"/>
                <w:sz w:val="17"/>
              </w:rPr>
              <w:t>How Measured</w:t>
            </w:r>
          </w:p>
        </w:tc>
        <w:tc>
          <w:tcPr>
            <w:tcW w:type="dxa" w:w="2550"/>
            <w:shd w:fill="EBF8FF" w:val="clear"/>
          </w:tcPr>
          <w:p>
            <w:pPr>
              <w:spacing w:before="20" w:after="20" w:line="240" w:lineRule="auto"/>
            </w:pPr>
            <w:r>
              <w:rPr>
                <w:rFonts w:ascii="Helvetica Neue" w:hAnsi="Helvetica Neue"/>
                <w:b/>
                <w:color w:val="1A365D"/>
                <w:sz w:val="17"/>
              </w:rPr>
            </w:r>
            <w:r>
              <w:rPr>
                <w:rFonts w:ascii="Helvetica Neue" w:hAnsi="Helvetica Neue"/>
                <w:b/>
                <w:color w:val="1A365D"/>
                <w:sz w:val="17"/>
              </w:rPr>
              <w:t>Target</w:t>
            </w:r>
          </w:p>
        </w:tc>
        <w:tc>
          <w:tcPr>
            <w:tcW w:type="dxa" w:w="2550"/>
            <w:shd w:fill="EBF8FF" w:val="clear"/>
          </w:tcPr>
          <w:p>
            <w:pPr>
              <w:spacing w:before="20" w:after="20" w:line="240" w:lineRule="auto"/>
            </w:pPr>
            <w:r>
              <w:rPr>
                <w:rFonts w:ascii="Helvetica Neue" w:hAnsi="Helvetica Neue"/>
                <w:b/>
                <w:color w:val="1A365D"/>
                <w:sz w:val="17"/>
              </w:rPr>
            </w:r>
            <w:r>
              <w:rPr>
                <w:rFonts w:ascii="Helvetica Neue" w:hAnsi="Helvetica Neue"/>
                <w:b/>
                <w:color w:val="1A365D"/>
                <w:sz w:val="17"/>
              </w:rPr>
              <w:t>Bonus</w:t>
            </w:r>
          </w:p>
        </w:tc>
      </w:tr>
      <w:tr>
        <w:trPr>
          <w:trHeight w:val="280" w:hRule="atLeast"/>
        </w:trPr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Unified Conversion Rate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Sold leads ÷ Total leads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≥ 8%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$1,000</w:t>
            </w:r>
          </w:p>
        </w:tc>
      </w:tr>
      <w:tr>
        <w:trPr>
          <w:trHeight w:val="280" w:hRule="atLeast"/>
        </w:trPr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Average GP per Sold Lead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Total GP ÷ Total sold leads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≥ $900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$1,000</w:t>
            </w:r>
          </w:p>
        </w:tc>
      </w:tr>
      <w:tr>
        <w:trPr>
          <w:trHeight w:val="280" w:hRule="atLeast"/>
        </w:trPr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Services Attachment Rate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% of sold leads with TPP or FT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≥ 40%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 w:val="0"/>
                <w:color w:val="2D3748"/>
                <w:sz w:val="17"/>
              </w:rPr>
              <w:t>$1,000</w:t>
            </w:r>
          </w:p>
        </w:tc>
      </w:tr>
      <w:tr>
        <w:trPr>
          <w:trHeight w:val="280" w:hRule="atLeast"/>
        </w:trPr>
        <w:tc>
          <w:tcPr>
            <w:tcW w:type="dxa" w:w="7650"/>
            <w:gridSpan w:val="3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Max Quarterly Bonus (all 3 hit)</w:t>
            </w:r>
          </w:p>
        </w:tc>
        <w:tc>
          <w:tcPr>
            <w:tcW w:type="dxa" w:w="2550"/>
          </w:tcPr>
          <w:p>
            <w:pPr>
              <w:spacing w:before="20" w:after="20" w:line="240" w:lineRule="auto"/>
            </w:pPr>
            <w:r/>
            <w:r>
              <w:rPr>
                <w:rFonts w:ascii="Helvetica Neue" w:hAnsi="Helvetica Neue"/>
                <w:b/>
                <w:color w:val="1A365D"/>
                <w:sz w:val="17"/>
              </w:rPr>
              <w:t>$3,000</w:t>
            </w:r>
          </w:p>
        </w:tc>
      </w:tr>
    </w:tbl>
    <w:sectPr w:rsidR="00FC693F" w:rsidRPr="0006063C" w:rsidSect="00034616">
      <w:pgSz w:w="12240" w:h="15840"/>
      <w:pgMar w:top="567" w:right="1020" w:bottom="45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Helvetica Neue" w:hAnsi="Helvetica Neue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