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Buddhism as a Public Religion under the Sātavāhanas</w:t>
      </w:r>
    </w:p>
    <w:p>
      <w:pPr>
        <w:pStyle w:val="Normal"/>
        <w:rPr/>
      </w:pPr>
      <w:r>
        <w:rPr/>
      </w:r>
    </w:p>
    <w:p>
      <w:pPr>
        <w:pStyle w:val="Normal"/>
        <w:rPr/>
      </w:pPr>
      <w:r>
        <w:rPr/>
        <w:t>(this looks like it is from the fifth century)</w:t>
      </w:r>
    </w:p>
    <w:p>
      <w:pPr>
        <w:pStyle w:val="Normal"/>
        <w:rPr/>
      </w:pPr>
      <w:r>
        <w:rPr/>
        <w:t>1. svasti bhadantanāgārju &lt;space&gt; nācāryasya</w:t>
      </w:r>
    </w:p>
    <w:p>
      <w:pPr>
        <w:pStyle w:val="Normal"/>
        <w:rPr/>
      </w:pPr>
      <w:r>
        <w:rPr/>
        <w:t xml:space="preserve">   </w:t>
      </w:r>
      <w:r>
        <w:rPr/>
        <w:t>śiṣya jayaprabhācārya[sya?] &lt;space&gt; tacchiṣyasya ca</w:t>
      </w:r>
    </w:p>
    <w:p>
      <w:pPr>
        <w:pStyle w:val="Normal"/>
        <w:rPr/>
      </w:pPr>
      <w:r>
        <w:rPr/>
      </w:r>
    </w:p>
    <w:p>
      <w:pPr>
        <w:pStyle w:val="Normal"/>
        <w:rPr/>
      </w:pPr>
      <w:r>
        <w:rPr/>
        <w:t>Nāgārjuna</w:t>
      </w:r>
    </w:p>
    <w:p>
      <w:pPr>
        <w:pStyle w:val="Normal"/>
        <w:numPr>
          <w:ilvl w:val="0"/>
          <w:numId w:val="1"/>
        </w:numPr>
        <w:rPr/>
      </w:pPr>
      <w:r>
        <w:rPr/>
        <w:t>Kumārajīva – does he say that Nāgārjuna died 100 years previously? (He wrote a “Biography” of Nāgārjuna in which he says this, sometime during his residence at Ch’ang-an (401–413) [Walser 63]</w:t>
      </w:r>
    </w:p>
    <w:p>
      <w:pPr>
        <w:pStyle w:val="Normal"/>
        <w:numPr>
          <w:ilvl w:val="0"/>
          <w:numId w:val="1"/>
        </w:numPr>
        <w:rPr/>
      </w:pPr>
      <w:r>
        <w:rPr/>
        <w:t>Daśabhūmikaśāstra, translated into chinese in 265 (by Dharmarakṣa: Walser 62)</w:t>
      </w:r>
    </w:p>
    <w:p>
      <w:pPr>
        <w:pStyle w:val="Normal"/>
        <w:numPr>
          <w:ilvl w:val="0"/>
          <w:numId w:val="1"/>
        </w:numPr>
        <w:rPr/>
      </w:pPr>
      <w:r>
        <w:rPr/>
        <w:t>Translations of the Suhṛllekha</w:t>
      </w:r>
    </w:p>
    <w:p>
      <w:pPr>
        <w:pStyle w:val="Normal"/>
        <w:numPr>
          <w:ilvl w:val="1"/>
          <w:numId w:val="1"/>
        </w:numPr>
        <w:rPr/>
      </w:pPr>
      <w:r>
        <w:rPr/>
        <w:t>Guṇavarman (after 431), says that is as addressed to Chantaka [Walser compares this to Yijing’s name for the patron, Shiyindeka, but compare with Lévi’s article]</w:t>
      </w:r>
    </w:p>
    <w:p>
      <w:pPr>
        <w:pStyle w:val="Normal"/>
        <w:numPr>
          <w:ilvl w:val="1"/>
          <w:numId w:val="1"/>
        </w:numPr>
        <w:rPr/>
      </w:pPr>
      <w:r>
        <w:rPr/>
        <w:t>Sarvajñadeva’s tibetan translation: bDe spyod “good conduct” (again cf. Lévi)</w:t>
      </w:r>
    </w:p>
    <w:p>
      <w:pPr>
        <w:pStyle w:val="Normal"/>
        <w:numPr>
          <w:ilvl w:val="0"/>
          <w:numId w:val="1"/>
        </w:numPr>
        <w:rPr/>
      </w:pPr>
      <w:r>
        <w:rPr/>
        <w:t>Translations of the Ratnāvalī</w:t>
      </w:r>
    </w:p>
    <w:p>
      <w:pPr>
        <w:pStyle w:val="Normal"/>
        <w:numPr>
          <w:ilvl w:val="1"/>
          <w:numId w:val="1"/>
        </w:numPr>
        <w:rPr/>
      </w:pPr>
      <w:r>
        <w:rPr/>
        <w:t>between 560 and 570 by Paramārtha (addressee given as Yinzheng)</w:t>
      </w:r>
    </w:p>
    <w:p>
      <w:pPr>
        <w:pStyle w:val="Normal"/>
        <w:numPr>
          <w:ilvl w:val="1"/>
          <w:numId w:val="1"/>
        </w:numPr>
        <w:rPr/>
      </w:pPr>
      <w:r>
        <w:rPr/>
        <w:t>Tibetan Ratnāvalīṭīkā: addressee is bDe spyod (“good conduct”)</w:t>
      </w:r>
    </w:p>
    <w:p>
      <w:pPr>
        <w:pStyle w:val="Normal"/>
        <w:numPr>
          <w:ilvl w:val="0"/>
          <w:numId w:val="1"/>
        </w:numPr>
        <w:rPr/>
      </w:pPr>
      <w:r>
        <w:rPr/>
        <w:t xml:space="preserve">Xuanzang </w:t>
      </w:r>
    </w:p>
    <w:p>
      <w:pPr>
        <w:pStyle w:val="Normal"/>
        <w:numPr>
          <w:ilvl w:val="0"/>
          <w:numId w:val="1"/>
        </w:numPr>
        <w:rPr/>
      </w:pPr>
      <w:r>
        <w:rPr/>
        <w:t xml:space="preserve">Yijing </w:t>
      </w:r>
    </w:p>
    <w:p>
      <w:pPr>
        <w:pStyle w:val="Normal"/>
        <w:numPr>
          <w:ilvl w:val="0"/>
          <w:numId w:val="1"/>
        </w:numPr>
        <w:rPr/>
      </w:pPr>
      <w:r>
        <w:rPr/>
        <w:t>Candrakīrti: commentary on Āryadeva’s Catuḥśataka puts Nāgārjuna in S. India (as does Kumārajīva)</w:t>
      </w:r>
    </w:p>
    <w:p>
      <w:pPr>
        <w:pStyle w:val="Normal"/>
        <w:numPr>
          <w:ilvl w:val="0"/>
          <w:numId w:val="1"/>
        </w:numPr>
        <w:rPr/>
      </w:pPr>
      <w:r>
        <w:rPr/>
        <w:t>Mahāmeghasūtra</w:t>
      </w:r>
    </w:p>
    <w:p>
      <w:pPr>
        <w:pStyle w:val="Normal"/>
        <w:rPr/>
      </w:pPr>
      <w:r>
        <w:rPr/>
      </w:r>
    </w:p>
    <w:p>
      <w:pPr>
        <w:pStyle w:val="Normal"/>
        <w:rPr/>
      </w:pPr>
      <w:r>
        <w:rPr/>
      </w:r>
    </w:p>
    <w:p>
      <w:pPr>
        <w:pStyle w:val="Normal"/>
        <w:rPr/>
      </w:pPr>
      <w:r>
        <w:rPr/>
      </w:r>
    </w:p>
    <w:p>
      <w:pPr>
        <w:pStyle w:val="Normal"/>
        <w:rPr/>
      </w:pPr>
      <w:r>
        <w:rPr/>
      </w:r>
    </w:p>
    <w:p>
      <w:pPr>
        <w:pStyle w:val="Normal"/>
        <w:rPr/>
      </w:pPr>
      <w:r>
        <w:rPr/>
        <w:t>Andrew Ollett</w:t>
      </w:r>
    </w:p>
    <w:p>
      <w:pPr>
        <w:pStyle w:val="Normal"/>
        <w:rPr/>
      </w:pPr>
      <w:r>
        <w:rPr/>
      </w:r>
    </w:p>
    <w:p>
      <w:pPr>
        <w:pStyle w:val="Normal"/>
        <w:rPr/>
      </w:pPr>
      <w:r>
        <w:rPr/>
        <w:t>1. Anecdote: the friendship between Nāgārjuna and Sātavāhana, the story of the Līlāvatī</w:t>
      </w:r>
    </w:p>
    <w:p>
      <w:pPr>
        <w:pStyle w:val="Normal"/>
        <w:rPr/>
      </w:pPr>
      <w:r>
        <w:rPr/>
      </w:r>
    </w:p>
    <w:p>
      <w:pPr>
        <w:pStyle w:val="Normal"/>
        <w:rPr/>
      </w:pPr>
      <w:r>
        <w:rPr/>
        <w:t>1. The theme of this paper: Buddhism and the state</w:t>
      </w:r>
    </w:p>
    <w:p>
      <w:pPr>
        <w:pStyle w:val="Normal"/>
        <w:rPr/>
      </w:pPr>
      <w:r>
        <w:rPr/>
        <w:tab/>
        <w:t>“Official” religion vs. “Public” religion</w:t>
      </w:r>
    </w:p>
    <w:p>
      <w:pPr>
        <w:pStyle w:val="Normal"/>
        <w:rPr/>
      </w:pPr>
      <w:r>
        <w:rPr/>
        <w:tab/>
        <w:t>Relations between “the State” (its institutions, personnel, etc.) and Buddhism</w:t>
      </w:r>
    </w:p>
    <w:p>
      <w:pPr>
        <w:pStyle w:val="Normal"/>
        <w:rPr/>
      </w:pPr>
      <w:r>
        <w:rPr/>
        <w:t>2. Starting-point:</w:t>
      </w:r>
    </w:p>
    <w:p>
      <w:pPr>
        <w:pStyle w:val="Normal"/>
        <w:rPr/>
      </w:pPr>
      <w:r>
        <w:rPr/>
        <w:tab/>
        <w:t>Under the Sātavāhanas, Buddhism was nothing like an “official” religion (as it was under Aśoka), and some scholars have even claimed that the Sātavāhanas presided over a “return to orthodoxy”; from what we can tell, the Sātavāhanas themselves were Brahmins or at least practiced śrauta rituals, and they had particular affinities for Saivism</w:t>
      </w:r>
    </w:p>
    <w:p>
      <w:pPr>
        <w:pStyle w:val="Normal"/>
        <w:rPr/>
      </w:pPr>
      <w:r>
        <w:rPr/>
      </w:r>
    </w:p>
    <w:p>
      <w:pPr>
        <w:pStyle w:val="Normal"/>
        <w:rPr/>
      </w:pPr>
      <w:r>
        <w:rPr/>
        <w:t>3.</w:t>
      </w:r>
    </w:p>
    <w:p>
      <w:pPr>
        <w:pStyle w:val="Normal"/>
        <w:rPr/>
      </w:pPr>
      <w:r>
        <w:rPr/>
      </w:r>
    </w:p>
    <w:p>
      <w:pPr>
        <w:pStyle w:val="Normal"/>
        <w:rPr>
          <w:i/>
          <w:i/>
          <w:iCs/>
        </w:rPr>
      </w:pPr>
      <w:r>
        <w:rPr>
          <w:i/>
          <w:iCs/>
        </w:rPr>
        <w:t>Royal Patronage of Buddhist Communities (to the Saṅgha or a Group)</w:t>
      </w:r>
    </w:p>
    <w:p>
      <w:pPr>
        <w:pStyle w:val="Normal"/>
        <w:rPr>
          <w:i/>
          <w:i/>
          <w:iCs/>
        </w:rPr>
      </w:pPr>
      <w:r>
        <w:rPr>
          <w:i/>
          <w:iCs/>
        </w:rPr>
        <w:t xml:space="preserve">(endowments are not only by royal personages; cf. Kanheri 24, 28; Kuḍā has a large number of donations by Mahābhojas, particularly Maṇḍava Skandapālita, </w:t>
      </w:r>
      <w:r>
        <w:rPr>
          <w:i/>
          <w:iCs/>
        </w:rPr>
        <w:t>son of Mahābhojī Sāḍagerī Vijayā, etc.; by Mahāsenāpatnī in N24)</w:t>
      </w:r>
    </w:p>
    <w:p>
      <w:pPr>
        <w:pStyle w:val="Normal"/>
        <w:rPr>
          <w:i/>
          <w:i/>
          <w:iCs/>
        </w:rPr>
      </w:pPr>
      <w:r>
        <w:rPr>
          <w:i/>
          <w:iCs/>
        </w:rPr>
      </w:r>
    </w:p>
    <w:p>
      <w:pPr>
        <w:pStyle w:val="Normal"/>
        <w:rPr>
          <w:i/>
          <w:i/>
          <w:iCs/>
        </w:rPr>
      </w:pPr>
      <w:r>
        <w:rPr>
          <w:i/>
          <w:iCs/>
        </w:rPr>
      </w:r>
    </w:p>
    <w:p>
      <w:pPr>
        <w:pStyle w:val="Normal"/>
        <w:rPr>
          <w:i/>
          <w:i/>
          <w:iCs/>
        </w:rPr>
      </w:pPr>
      <w:r>
        <w:rPr>
          <w:i/>
          <w:iCs/>
        </w:rPr>
      </w:r>
    </w:p>
    <w:p>
      <w:pPr>
        <w:pStyle w:val="Normal"/>
        <w:numPr>
          <w:ilvl w:val="0"/>
          <w:numId w:val="2"/>
        </w:numPr>
        <w:rPr>
          <w:i/>
          <w:i/>
          <w:iCs/>
        </w:rPr>
      </w:pPr>
      <w:r>
        <w:rPr>
          <w:i/>
          <w:iCs/>
        </w:rPr>
        <w:t>Kārle 13</w:t>
      </w:r>
      <w:r>
        <w:rPr>
          <w:i w:val="false"/>
          <w:iCs w:val="false"/>
        </w:rPr>
        <w:t xml:space="preserve"> (gift of a village, in </w:t>
      </w:r>
      <w:r>
        <w:rPr>
          <w:i/>
          <w:iCs/>
        </w:rPr>
        <w:t>caitya</w:t>
      </w:r>
      <w:r>
        <w:rPr>
          <w:i w:val="false"/>
          <w:iCs w:val="false"/>
        </w:rPr>
        <w:t xml:space="preserve"> cave, by Uṣavadāta, prior to 74 CE?), “for the support of the ascetics living in the caves at Vālūraka without any distinction”</w:t>
      </w:r>
    </w:p>
    <w:p>
      <w:pPr>
        <w:pStyle w:val="Normal"/>
        <w:numPr>
          <w:ilvl w:val="0"/>
          <w:numId w:val="2"/>
        </w:numPr>
        <w:rPr>
          <w:i/>
          <w:i/>
          <w:iCs/>
        </w:rPr>
      </w:pPr>
      <w:r>
        <w:rPr>
          <w:i/>
          <w:iCs/>
        </w:rPr>
        <w:t>Nāsik 10</w:t>
      </w:r>
      <w:r>
        <w:rPr>
          <w:i w:val="false"/>
          <w:iCs w:val="false"/>
        </w:rPr>
        <w:t xml:space="preserve"> (of Uṣavadāta, gift of a village, in cave no. 10, prior to 84 CE), “for the support of the </w:t>
      </w:r>
      <w:r>
        <w:rPr>
          <w:i/>
          <w:iCs/>
        </w:rPr>
        <w:t>cāturdiśa saṅgha</w:t>
      </w:r>
      <w:r>
        <w:rPr>
          <w:i w:val="false"/>
          <w:iCs w:val="false"/>
        </w:rPr>
        <w:t>.”</w:t>
      </w:r>
    </w:p>
    <w:p>
      <w:pPr>
        <w:pStyle w:val="Normal"/>
        <w:numPr>
          <w:ilvl w:val="0"/>
          <w:numId w:val="2"/>
        </w:numPr>
        <w:rPr>
          <w:i/>
          <w:i/>
          <w:iCs/>
        </w:rPr>
      </w:pPr>
      <w:r>
        <w:rPr>
          <w:i/>
          <w:iCs/>
        </w:rPr>
        <w:t>Kārle 19</w:t>
      </w:r>
      <w:r>
        <w:rPr>
          <w:i w:val="false"/>
          <w:iCs w:val="false"/>
        </w:rPr>
        <w:t xml:space="preserve"> (year 14 of Gautamīputra Śrī Sātakarṇi, ca. 74 CE), “for the benefit of the sect of the Mahāsaṅghikas”)</w:t>
      </w:r>
    </w:p>
    <w:p>
      <w:pPr>
        <w:pStyle w:val="Normal"/>
        <w:numPr>
          <w:ilvl w:val="0"/>
          <w:numId w:val="2"/>
        </w:numPr>
        <w:rPr>
          <w:i/>
          <w:i/>
          <w:iCs/>
        </w:rPr>
      </w:pPr>
      <w:r>
        <w:rPr>
          <w:i/>
          <w:iCs/>
        </w:rPr>
        <w:t>Nāsik 2</w:t>
      </w:r>
      <w:r>
        <w:rPr>
          <w:i w:val="false"/>
          <w:iCs w:val="false"/>
        </w:rPr>
        <w:t xml:space="preserve"> (embellished, but not constructed, year 19 of Vāsiṣṭhīputra Śrī Puḷumāvi, ca. 103 CE, “the Queen’s cave”, gift of the cave at this time to the Bhadrāyanīyas)  </w:t>
      </w:r>
    </w:p>
    <w:p>
      <w:pPr>
        <w:pStyle w:val="Normal"/>
        <w:numPr>
          <w:ilvl w:val="0"/>
          <w:numId w:val="2"/>
        </w:numPr>
        <w:rPr>
          <w:i/>
          <w:i/>
          <w:iCs/>
        </w:rPr>
      </w:pPr>
      <w:r>
        <w:rPr>
          <w:i/>
          <w:iCs/>
        </w:rPr>
        <w:t>Kārle 20</w:t>
      </w:r>
      <w:r>
        <w:rPr>
          <w:i w:val="false"/>
          <w:iCs w:val="false"/>
        </w:rPr>
        <w:t xml:space="preserve"> (year 24 of Vāsiṣṭhīputra Śrī Puḷumāvi, ca. 108 CE)</w:t>
      </w:r>
    </w:p>
    <w:p>
      <w:pPr>
        <w:pStyle w:val="Normal"/>
        <w:numPr>
          <w:ilvl w:val="0"/>
          <w:numId w:val="2"/>
        </w:numPr>
        <w:rPr>
          <w:i/>
          <w:i/>
          <w:iCs/>
        </w:rPr>
      </w:pPr>
      <w:r>
        <w:rPr>
          <w:i/>
          <w:iCs/>
        </w:rPr>
        <w:t>Kārle 14</w:t>
      </w:r>
      <w:r>
        <w:rPr>
          <w:i w:val="false"/>
          <w:iCs w:val="false"/>
        </w:rPr>
        <w:t xml:space="preserve"> (gift of a village by Vāsiṣṭhīputra Somadeva in year 7 of Vāsiṣṭhīputra Śrī Puḷumāvi, ca. 93 CE to the </w:t>
      </w:r>
      <w:r>
        <w:rPr>
          <w:i/>
          <w:iCs/>
        </w:rPr>
        <w:t>saṅgha</w:t>
      </w:r>
      <w:r>
        <w:rPr>
          <w:i w:val="false"/>
          <w:iCs w:val="false"/>
        </w:rPr>
        <w:t>)</w:t>
      </w:r>
    </w:p>
    <w:p>
      <w:pPr>
        <w:pStyle w:val="Normal"/>
        <w:numPr>
          <w:ilvl w:val="0"/>
          <w:numId w:val="2"/>
        </w:numPr>
        <w:rPr>
          <w:i/>
          <w:i/>
          <w:iCs/>
        </w:rPr>
      </w:pPr>
      <w:r>
        <w:rPr>
          <w:i/>
          <w:iCs/>
        </w:rPr>
        <w:t>Kānherī 39</w:t>
      </w:r>
      <w:r>
        <w:rPr>
          <w:i w:val="false"/>
          <w:iCs w:val="false"/>
        </w:rPr>
        <w:t xml:space="preserve"> (cave 66, gift of Nāgamūlaṇṇikā, who is described as “the daughter of a Mahārāja, a Mahāraṭṭhinī, and the sister a Mahābhoja […]”)</w:t>
      </w:r>
    </w:p>
    <w:p>
      <w:pPr>
        <w:pStyle w:val="Normal"/>
        <w:numPr>
          <w:ilvl w:val="0"/>
          <w:numId w:val="2"/>
        </w:numPr>
        <w:rPr>
          <w:i/>
          <w:i/>
          <w:iCs/>
        </w:rPr>
      </w:pPr>
      <w:r>
        <w:rPr>
          <w:i w:val="false"/>
          <w:iCs w:val="false"/>
        </w:rPr>
        <w:t xml:space="preserve">Kānherī 16 (cave 5, gift of the daughter of </w:t>
      </w:r>
    </w:p>
    <w:p>
      <w:pPr>
        <w:pStyle w:val="Normal"/>
        <w:rPr>
          <w:i w:val="false"/>
          <w:i w:val="false"/>
          <w:iCs w:val="false"/>
        </w:rPr>
      </w:pPr>
      <w:r>
        <w:rPr>
          <w:i/>
          <w:iCs/>
        </w:rPr>
      </w:r>
    </w:p>
    <w:p>
      <w:pPr>
        <w:pStyle w:val="Normal"/>
        <w:rPr>
          <w:i/>
          <w:i/>
          <w:iCs/>
        </w:rPr>
      </w:pPr>
      <w:r>
        <w:rPr>
          <w:i w:val="false"/>
          <w:iCs w:val="false"/>
        </w:rPr>
        <w:t>NO ROYAL PATRONAGE OF THE MAHĀCAITYAS AT AMARĀVATI AND KANAGANAHALLI.</w:t>
      </w:r>
    </w:p>
    <w:p>
      <w:pPr>
        <w:pStyle w:val="Normal"/>
        <w:numPr>
          <w:ilvl w:val="0"/>
          <w:numId w:val="4"/>
        </w:numPr>
        <w:rPr>
          <w:i/>
          <w:i/>
          <w:iCs/>
        </w:rPr>
      </w:pPr>
      <w:r>
        <w:rPr>
          <w:i w:val="false"/>
          <w:iCs w:val="false"/>
        </w:rPr>
        <w:t>At least to judge from inscriptions</w:t>
      </w:r>
    </w:p>
    <w:p>
      <w:pPr>
        <w:pStyle w:val="Normal"/>
        <w:numPr>
          <w:ilvl w:val="0"/>
          <w:numId w:val="4"/>
        </w:numPr>
        <w:rPr>
          <w:i/>
          <w:i/>
          <w:iCs/>
        </w:rPr>
      </w:pPr>
      <w:r>
        <w:rPr>
          <w:i w:val="false"/>
          <w:iCs w:val="false"/>
        </w:rPr>
        <w:t>But cf. the one image in the drum of Kanaganahalli</w:t>
      </w:r>
    </w:p>
    <w:p>
      <w:pPr>
        <w:pStyle w:val="Normal"/>
        <w:rPr>
          <w:i w:val="false"/>
          <w:i w:val="false"/>
          <w:iCs w:val="false"/>
        </w:rPr>
      </w:pPr>
      <w:r>
        <w:rPr>
          <w:i/>
          <w:iCs/>
        </w:rPr>
      </w:r>
    </w:p>
    <w:p>
      <w:pPr>
        <w:pStyle w:val="Normal"/>
        <w:numPr>
          <w:ilvl w:val="0"/>
          <w:numId w:val="2"/>
        </w:numPr>
        <w:rPr/>
      </w:pPr>
      <w:r>
        <w:rPr>
          <w:i w:val="false"/>
          <w:iCs w:val="false"/>
        </w:rPr>
        <w:t>Mahāsaṅghikas at Kārle (K19, K20, K14): after an initial phase of construction in the 2</w:t>
      </w:r>
      <w:r>
        <w:rPr>
          <w:i w:val="false"/>
          <w:iCs w:val="false"/>
          <w:vertAlign w:val="superscript"/>
        </w:rPr>
        <w:t>nd</w:t>
      </w:r>
      <w:r>
        <w:rPr>
          <w:i w:val="false"/>
          <w:iCs w:val="false"/>
        </w:rPr>
        <w:t xml:space="preserve"> c. BCE, a cluster of inscriptions in the later 1</w:t>
      </w:r>
      <w:r>
        <w:rPr>
          <w:i w:val="false"/>
          <w:iCs w:val="false"/>
          <w:vertAlign w:val="superscript"/>
        </w:rPr>
        <w:t>st</w:t>
      </w:r>
      <w:r>
        <w:rPr>
          <w:i w:val="false"/>
          <w:iCs w:val="false"/>
        </w:rPr>
        <w:t xml:space="preserve"> c. CE that record </w:t>
      </w:r>
      <w:r>
        <w:rPr>
          <w:i/>
          <w:iCs/>
        </w:rPr>
        <w:t>donations</w:t>
      </w:r>
      <w:r>
        <w:rPr>
          <w:i w:val="false"/>
          <w:iCs w:val="false"/>
        </w:rPr>
        <w:t xml:space="preserve"> </w:t>
      </w:r>
      <w:r>
        <w:rPr>
          <w:i/>
          <w:iCs/>
        </w:rPr>
        <w:t>not connected with the structures</w:t>
      </w:r>
      <w:r>
        <w:rPr>
          <w:i w:val="false"/>
          <w:iCs w:val="false"/>
        </w:rPr>
        <w:t xml:space="preserve">, </w:t>
      </w:r>
      <w:r>
        <w:rPr>
          <w:b/>
          <w:bCs/>
          <w:i w:val="false"/>
          <w:iCs w:val="false"/>
        </w:rPr>
        <w:t xml:space="preserve">after Uṣavadāta’s donation of a village for the support of the </w:t>
      </w:r>
      <w:r>
        <w:rPr>
          <w:b/>
          <w:bCs/>
          <w:i/>
          <w:iCs/>
        </w:rPr>
        <w:t>cāturdiśa</w:t>
      </w:r>
      <w:r>
        <w:rPr>
          <w:b/>
          <w:bCs/>
          <w:i w:val="false"/>
          <w:iCs w:val="false"/>
        </w:rPr>
        <w:t xml:space="preserve"> </w:t>
      </w:r>
      <w:r>
        <w:rPr>
          <w:b/>
          <w:bCs/>
          <w:i/>
          <w:iCs/>
        </w:rPr>
        <w:t>saṅgha</w:t>
      </w:r>
      <w:r>
        <w:rPr>
          <w:b/>
          <w:bCs/>
          <w:i w:val="false"/>
          <w:iCs w:val="false"/>
        </w:rPr>
        <w:t>.</w:t>
      </w:r>
    </w:p>
    <w:p>
      <w:pPr>
        <w:pStyle w:val="Normal"/>
        <w:numPr>
          <w:ilvl w:val="0"/>
          <w:numId w:val="2"/>
        </w:numPr>
        <w:rPr>
          <w:i w:val="false"/>
          <w:i w:val="false"/>
          <w:iCs w:val="false"/>
        </w:rPr>
      </w:pPr>
      <w:r>
        <w:rPr>
          <w:i w:val="false"/>
          <w:iCs w:val="false"/>
        </w:rPr>
        <w:t xml:space="preserve">Bhadrāvanīyas at Nāsik (N2): again, </w:t>
      </w:r>
      <w:r>
        <w:rPr>
          <w:b/>
          <w:bCs/>
          <w:i w:val="false"/>
          <w:iCs w:val="false"/>
        </w:rPr>
        <w:t xml:space="preserve">after Uṣavadāta’s donation of a village for  the support of the </w:t>
      </w:r>
      <w:r>
        <w:rPr>
          <w:b/>
          <w:bCs/>
          <w:i/>
          <w:iCs/>
        </w:rPr>
        <w:t>cāturdiśa</w:t>
      </w:r>
      <w:r>
        <w:rPr>
          <w:b/>
          <w:bCs/>
          <w:i w:val="false"/>
          <w:iCs w:val="false"/>
        </w:rPr>
        <w:t xml:space="preserve"> </w:t>
      </w:r>
      <w:r>
        <w:rPr>
          <w:b/>
          <w:bCs/>
          <w:i/>
          <w:iCs/>
        </w:rPr>
        <w:t>saṅgha</w:t>
      </w:r>
      <w:r>
        <w:rPr>
          <w:b/>
          <w:bCs/>
          <w:i w:val="false"/>
          <w:iCs w:val="false"/>
        </w:rPr>
        <w:t>.</w:t>
      </w:r>
    </w:p>
    <w:p>
      <w:pPr>
        <w:pStyle w:val="Normal"/>
        <w:numPr>
          <w:ilvl w:val="0"/>
          <w:numId w:val="2"/>
        </w:numPr>
        <w:rPr>
          <w:i w:val="false"/>
          <w:i w:val="false"/>
          <w:iCs w:val="false"/>
        </w:rPr>
      </w:pPr>
      <w:r>
        <w:rPr>
          <w:i w:val="false"/>
          <w:iCs w:val="false"/>
        </w:rPr>
        <w:t xml:space="preserve">at Kānherī, gifts to both the </w:t>
      </w:r>
      <w:r>
        <w:rPr>
          <w:i/>
          <w:iCs/>
        </w:rPr>
        <w:t>cāturdiśa saṅgha</w:t>
      </w:r>
      <w:r>
        <w:rPr>
          <w:i w:val="false"/>
          <w:iCs w:val="false"/>
        </w:rPr>
        <w:t xml:space="preserve"> and to the</w:t>
      </w:r>
      <w:r>
        <w:rPr>
          <w:i/>
          <w:iCs/>
        </w:rPr>
        <w:t xml:space="preserve"> Bhadrāvanīya</w:t>
      </w:r>
      <w:r>
        <w:rPr>
          <w:i w:val="false"/>
          <w:iCs w:val="false"/>
        </w:rPr>
        <w:t>s.</w:t>
      </w:r>
    </w:p>
    <w:p>
      <w:pPr>
        <w:pStyle w:val="Normal"/>
        <w:rPr>
          <w:i w:val="false"/>
          <w:i w:val="false"/>
          <w:iCs w:val="false"/>
        </w:rPr>
      </w:pPr>
      <w:r>
        <w:rPr>
          <w:i w:val="false"/>
          <w:iCs w:val="false"/>
        </w:rPr>
      </w:r>
    </w:p>
    <w:p>
      <w:pPr>
        <w:pStyle w:val="Normal"/>
        <w:rPr>
          <w:i w:val="false"/>
          <w:i w:val="false"/>
          <w:iCs w:val="false"/>
        </w:rPr>
      </w:pPr>
      <w:r>
        <w:rPr>
          <w:i w:val="false"/>
          <w:iCs w:val="false"/>
        </w:rPr>
        <w:t>Royal donations only seem to have been made in the generations immediately after the Kṣaharāta incursions.</w:t>
      </w:r>
    </w:p>
    <w:p>
      <w:pPr>
        <w:pStyle w:val="Normal"/>
        <w:rPr>
          <w:i w:val="false"/>
          <w:i w:val="false"/>
          <w:iCs w:val="false"/>
        </w:rPr>
      </w:pPr>
      <w:r>
        <w:rPr>
          <w:i/>
          <w:iCs/>
        </w:rPr>
      </w:r>
    </w:p>
    <w:p>
      <w:pPr>
        <w:pStyle w:val="Normal"/>
        <w:rPr>
          <w:i w:val="false"/>
          <w:i w:val="false"/>
          <w:iCs w:val="false"/>
        </w:rPr>
      </w:pPr>
      <w:r>
        <w:rPr>
          <w:i/>
          <w:iCs/>
        </w:rPr>
      </w:r>
    </w:p>
    <w:p>
      <w:pPr>
        <w:pStyle w:val="Normal"/>
        <w:rPr>
          <w:i/>
          <w:i/>
          <w:iCs/>
        </w:rPr>
      </w:pPr>
      <w:r>
        <w:rPr>
          <w:i w:val="false"/>
          <w:iCs w:val="false"/>
        </w:rPr>
        <w:t>About Nāgārjuna specifically:</w:t>
      </w:r>
    </w:p>
    <w:p>
      <w:pPr>
        <w:pStyle w:val="Normal"/>
        <w:numPr>
          <w:ilvl w:val="0"/>
          <w:numId w:val="3"/>
        </w:numPr>
        <w:rPr/>
      </w:pPr>
      <w:r>
        <w:rPr>
          <w:i w:val="false"/>
          <w:iCs w:val="false"/>
        </w:rPr>
        <w:t>Show Nāgārjuna stela</w:t>
      </w:r>
    </w:p>
    <w:p>
      <w:pPr>
        <w:pStyle w:val="Normal"/>
        <w:numPr>
          <w:ilvl w:val="0"/>
          <w:numId w:val="3"/>
        </w:numPr>
        <w:rPr/>
      </w:pPr>
      <w:r>
        <w:rPr>
          <w:i/>
          <w:iCs/>
        </w:rPr>
        <w:t>History of the Transmission of the Dharma Storehouse</w:t>
      </w:r>
      <w:r>
        <w:rPr>
          <w:i w:val="false"/>
          <w:iCs w:val="false"/>
        </w:rPr>
        <w:t xml:space="preserve"> (</w:t>
      </w:r>
      <w:r>
        <w:rPr>
          <w:i w:val="false"/>
          <w:iCs w:val="false"/>
        </w:rPr>
        <w:t xml:space="preserve">付法藏因緣傳 </w:t>
      </w:r>
      <w:r>
        <w:rPr>
          <w:i w:val="false"/>
          <w:iCs w:val="false"/>
        </w:rPr>
        <w:t>Fù fǎzàng yīnyuán zhuán), compiled by Kiṅkara (</w:t>
      </w:r>
      <w:r>
        <w:rPr>
          <w:i w:val="false"/>
          <w:iCs w:val="false"/>
        </w:rPr>
        <w:t>吉迦夜</w:t>
      </w:r>
      <w:r>
        <w:rPr>
          <w:i w:val="false"/>
          <w:iCs w:val="false"/>
        </w:rPr>
        <w:t>) and Tányào (</w:t>
      </w:r>
      <w:r>
        <w:rPr>
          <w:i w:val="false"/>
          <w:iCs w:val="false"/>
        </w:rPr>
        <w:t>曇曜</w:t>
      </w:r>
      <w:r>
        <w:rPr>
          <w:i w:val="false"/>
          <w:iCs w:val="false"/>
        </w:rPr>
        <w:t xml:space="preserve">) in 472 ce — according to the BDK English Tripiṭaka version of Kumārajīva’s Life of Nāgārjuna, that text is copied </w:t>
      </w:r>
    </w:p>
    <w:p>
      <w:pPr>
        <w:pStyle w:val="Normal"/>
        <w:numPr>
          <w:ilvl w:val="0"/>
          <w:numId w:val="3"/>
        </w:numPr>
        <w:rPr/>
      </w:pPr>
      <w:r>
        <w:rPr>
          <w:i w:val="false"/>
          <w:iCs w:val="false"/>
        </w:rPr>
        <w:t xml:space="preserve">Kumārajīva’s </w:t>
      </w:r>
      <w:r>
        <w:rPr>
          <w:i/>
          <w:iCs/>
        </w:rPr>
        <w:t>Biography</w:t>
      </w:r>
      <w:r>
        <w:rPr>
          <w:i w:val="false"/>
          <w:iCs w:val="false"/>
        </w:rPr>
        <w:t xml:space="preserve"> (BDK English Tripiṭaka version): allegedly compiled in 401 to 409 CE, but suspicions about whether Kumārajīva himself wrote it, since there are identical passages in the biography of Āryadeva, and since a similar passage occurs in the Fu fazang yinyuan zhuan). This biography says that Nāgārjuna had been dead for 100 years, which would put his date of death at around 301 CE, but this is too late. Possibly the source text on which the biography was based was composed around 325 CE or so. </w:t>
      </w:r>
      <w:r>
        <w:rPr>
          <w:i w:val="false"/>
          <w:iCs w:val="false"/>
        </w:rPr>
        <w:t>This biography associates him only vaguely with “South India” and with a king of South India.</w:t>
      </w:r>
    </w:p>
    <w:p>
      <w:pPr>
        <w:pStyle w:val="Normal"/>
        <w:numPr>
          <w:ilvl w:val="0"/>
          <w:numId w:val="3"/>
        </w:numPr>
        <w:rPr/>
      </w:pPr>
      <w:r>
        <w:rPr>
          <w:i w:val="false"/>
          <w:iCs w:val="false"/>
        </w:rPr>
        <w:t xml:space="preserve">Dharmarakṣa translated the </w:t>
      </w:r>
      <w:r>
        <w:rPr>
          <w:i/>
          <w:iCs/>
        </w:rPr>
        <w:t>Daśabhūmikaśāstravibhāṣā</w:t>
      </w:r>
      <w:r>
        <w:rPr>
          <w:i w:val="false"/>
          <w:iCs w:val="false"/>
        </w:rPr>
        <w:t xml:space="preserve"> in 265 CE and attributed it to Nāgārjuna.</w:t>
      </w:r>
    </w:p>
    <w:p>
      <w:pPr>
        <w:pStyle w:val="Normal"/>
        <w:numPr>
          <w:ilvl w:val="0"/>
          <w:numId w:val="3"/>
        </w:numPr>
        <w:rPr/>
      </w:pPr>
      <w:r>
        <w:rPr>
          <w:i w:val="false"/>
          <w:iCs w:val="false"/>
        </w:rPr>
        <w:t xml:space="preserve">Faxian: five-story </w:t>
      </w:r>
      <w:r>
        <w:rPr>
          <w:i/>
          <w:iCs/>
        </w:rPr>
        <w:t>saṅghārāma</w:t>
      </w:r>
      <w:r>
        <w:rPr>
          <w:i w:val="false"/>
          <w:iCs w:val="false"/>
        </w:rPr>
        <w:t xml:space="preserve"> in “Dakṣiṇa” called </w:t>
      </w:r>
      <w:r>
        <w:rPr>
          <w:i/>
          <w:iCs/>
        </w:rPr>
        <w:t>Cakora</w:t>
      </w:r>
      <w:r>
        <w:rPr>
          <w:i w:val="false"/>
          <w:iCs w:val="false"/>
        </w:rPr>
        <w:t xml:space="preserve"> (Poloyu) (sect. 35)</w:t>
      </w:r>
    </w:p>
    <w:p>
      <w:pPr>
        <w:pStyle w:val="Normal"/>
        <w:numPr>
          <w:ilvl w:val="0"/>
          <w:numId w:val="3"/>
        </w:numPr>
        <w:rPr/>
      </w:pPr>
      <w:r>
        <w:rPr>
          <w:i w:val="false"/>
          <w:iCs w:val="false"/>
        </w:rPr>
        <w:t xml:space="preserve">Xuanzang: in section on Kosala, description (1) of a </w:t>
      </w:r>
      <w:r>
        <w:rPr>
          <w:i/>
          <w:iCs/>
        </w:rPr>
        <w:t>saṅghārāma</w:t>
      </w:r>
      <w:r>
        <w:rPr>
          <w:i w:val="false"/>
          <w:iCs w:val="false"/>
        </w:rPr>
        <w:t xml:space="preserve"> where Nāgārjuna lived a bit south of the capital city (unknown at the moment); (2) of a </w:t>
      </w:r>
      <w:r>
        <w:rPr>
          <w:i/>
          <w:iCs/>
        </w:rPr>
        <w:t>saṅghārāma</w:t>
      </w:r>
      <w:r>
        <w:rPr>
          <w:i w:val="false"/>
          <w:iCs w:val="false"/>
        </w:rPr>
        <w:t xml:space="preserve"> 300 </w:t>
      </w:r>
      <w:r>
        <w:rPr>
          <w:i/>
          <w:iCs/>
        </w:rPr>
        <w:t>li</w:t>
      </w:r>
      <w:r>
        <w:rPr>
          <w:i w:val="false"/>
          <w:iCs w:val="false"/>
        </w:rPr>
        <w:t xml:space="preserve"> to the southwest, called Polomogili </w:t>
      </w:r>
      <w:r>
        <w:rPr>
          <w:i w:val="false"/>
          <w:iCs w:val="false"/>
        </w:rPr>
        <w:t xml:space="preserve">跋邏末羅耆釐 </w:t>
      </w:r>
      <w:r>
        <w:rPr>
          <w:i w:val="false"/>
          <w:iCs w:val="false"/>
        </w:rPr>
        <w:t xml:space="preserve">(Bhramarāgiri), glossed by Xuanzang as </w:t>
      </w:r>
      <w:r>
        <w:rPr>
          <w:i/>
          <w:iCs/>
        </w:rPr>
        <w:t>fung</w:t>
      </w:r>
      <w:r>
        <w:rPr>
          <w:i w:val="false"/>
          <w:iCs w:val="false"/>
        </w:rPr>
        <w:t xml:space="preserve">, “black” (which Beal thinks is a mistake for </w:t>
      </w:r>
      <w:r>
        <w:rPr>
          <w:i/>
          <w:iCs/>
        </w:rPr>
        <w:t>fung</w:t>
      </w:r>
      <w:r>
        <w:rPr>
          <w:i w:val="false"/>
          <w:iCs w:val="false"/>
        </w:rPr>
        <w:t xml:space="preserve"> “bee”), ostensibly the same as reported by </w:t>
      </w:r>
      <w:r>
        <w:rPr>
          <w:i w:val="false"/>
          <w:iCs w:val="false"/>
        </w:rPr>
        <w:t xml:space="preserve">Faxian. This is still north of Andhra (with its capital at Veṅgī). Thus there are </w:t>
      </w:r>
      <w:r>
        <w:rPr>
          <w:i/>
          <w:iCs/>
        </w:rPr>
        <w:t>two</w:t>
      </w:r>
      <w:r>
        <w:rPr>
          <w:i w:val="false"/>
          <w:iCs w:val="false"/>
        </w:rPr>
        <w:t xml:space="preserve"> </w:t>
      </w:r>
      <w:r>
        <w:rPr>
          <w:i/>
          <w:iCs/>
        </w:rPr>
        <w:t>saṅghārāma</w:t>
      </w:r>
      <w:r>
        <w:rPr>
          <w:i w:val="false"/>
          <w:iCs w:val="false"/>
        </w:rPr>
        <w:t xml:space="preserve">s in the Kosala country that were associated with Nāgārjuna. The places are about 300 li to the southwest (100 miles). Note that Kosala and Tosala were claimed to have been ruled by the Ikṣvāku kings (EIAD 34). </w:t>
      </w:r>
    </w:p>
    <w:p>
      <w:pPr>
        <w:pStyle w:val="Normal"/>
        <w:numPr>
          <w:ilvl w:val="0"/>
          <w:numId w:val="3"/>
        </w:numPr>
        <w:rPr/>
      </w:pPr>
      <w:r>
        <w:rPr>
          <w:i w:val="false"/>
          <w:iCs w:val="false"/>
        </w:rPr>
        <w:t>T</w:t>
      </w:r>
      <w:r>
        <w:rPr>
          <w:i w:val="false"/>
          <w:iCs w:val="false"/>
        </w:rPr>
        <w:t xml:space="preserve">he same place, associated with Nāgārjuna, is called </w:t>
      </w:r>
      <w:r>
        <w:rPr>
          <w:i w:val="false"/>
          <w:iCs w:val="false"/>
        </w:rPr>
        <w:t xml:space="preserve">黑蜂山 </w:t>
      </w:r>
      <w:r>
        <w:rPr>
          <w:i w:val="false"/>
          <w:iCs w:val="false"/>
        </w:rPr>
        <w:t>(hēifēng shān), “black bee peak” at T. 2060 around 452b21, “Further Biographies of Eminent Monks” by Daoxuan.</w:t>
      </w:r>
    </w:p>
    <w:p>
      <w:pPr>
        <w:pStyle w:val="Normal"/>
        <w:rPr>
          <w:i w:val="false"/>
          <w:i w:val="false"/>
          <w:iCs w:val="false"/>
        </w:rPr>
      </w:pPr>
      <w:r>
        <w:rPr/>
      </w:r>
    </w:p>
    <w:p>
      <w:pPr>
        <w:pStyle w:val="Normal"/>
        <w:rPr/>
      </w:pPr>
      <w:r>
        <w:rPr>
          <w:i w:val="false"/>
          <w:iCs w:val="false"/>
        </w:rPr>
        <w:t>http://ntireader.org/taisho/t2087_10.html</w:t>
      </w:r>
    </w:p>
    <w:p>
      <w:pPr>
        <w:pStyle w:val="Normal"/>
        <w:rPr/>
      </w:pPr>
      <w:r>
        <w:rPr>
          <w:i w:val="false"/>
          <w:iCs w:val="false"/>
        </w:rPr>
        <w:t xml:space="preserve">Xuanzang (T. 2087) </w:t>
      </w:r>
    </w:p>
    <w:p>
      <w:pPr>
        <w:pStyle w:val="Normal"/>
        <w:numPr>
          <w:ilvl w:val="0"/>
          <w:numId w:val="5"/>
        </w:numPr>
        <w:rPr/>
      </w:pPr>
      <w:r>
        <w:rPr>
          <w:i w:val="false"/>
          <w:iCs w:val="false"/>
        </w:rPr>
        <w:t xml:space="preserve">929a26–27: </w:t>
      </w:r>
      <w:r>
        <w:rPr>
          <w:rFonts w:eastAsia="Helvetica Neue;Helvetica;Arial;sans-serif"/>
          <w:b w:val="false"/>
          <w:i w:val="false"/>
          <w:iCs w:val="false"/>
          <w:caps w:val="false"/>
          <w:smallCaps w:val="false"/>
          <w:color w:val="333333"/>
          <w:spacing w:val="0"/>
          <w:sz w:val="21"/>
        </w:rPr>
        <w:t xml:space="preserve">時此國王 號娑多婆訶  </w:t>
      </w:r>
      <w:r>
        <w:rPr>
          <w:rFonts w:eastAsia="Helvetica Neue;Helvetica;Arial;sans-serif"/>
          <w:i w:val="false"/>
          <w:iCs w:val="false"/>
          <w:caps w:val="false"/>
          <w:smallCaps w:val="false"/>
          <w:color w:val="333333"/>
          <w:spacing w:val="0"/>
        </w:rPr>
        <w:t>(</w:t>
      </w:r>
      <w:r>
        <w:rPr>
          <w:rFonts w:eastAsia="Helvetica Neue;Helvetica;Arial;sans-serif"/>
          <w:b w:val="false"/>
          <w:i w:val="false"/>
          <w:iCs w:val="false"/>
          <w:caps w:val="false"/>
          <w:smallCaps w:val="false"/>
          <w:color w:val="333333"/>
          <w:spacing w:val="0"/>
          <w:sz w:val="21"/>
        </w:rPr>
        <w:t>唐言引正</w:t>
      </w:r>
      <w:r>
        <w:rPr>
          <w:rFonts w:eastAsia="Helvetica Neue;Helvetica;Arial;sans-serif"/>
          <w:i w:val="false"/>
          <w:iCs w:val="false"/>
          <w:caps w:val="false"/>
          <w:smallCaps w:val="false"/>
          <w:color w:val="333333"/>
          <w:spacing w:val="0"/>
        </w:rPr>
        <w:t xml:space="preserve">). </w:t>
      </w:r>
      <w:r>
        <w:rPr>
          <w:rFonts w:eastAsia="Helvetica Neue;Helvetica;Arial;sans-serif"/>
          <w:i w:val="false"/>
          <w:iCs w:val="false"/>
          <w:caps w:val="false"/>
          <w:smallCaps w:val="false"/>
          <w:color w:val="333333"/>
          <w:spacing w:val="0"/>
        </w:rPr>
        <w:t>satavaha (</w:t>
      </w:r>
      <w:r>
        <w:rPr>
          <w:rFonts w:eastAsia="Helvetica Neue;Helvetica;Arial;sans-serif"/>
          <w:b w:val="false"/>
          <w:i w:val="false"/>
          <w:iCs w:val="false"/>
          <w:caps w:val="false"/>
          <w:smallCaps w:val="false"/>
          <w:color w:val="333333"/>
          <w:spacing w:val="0"/>
          <w:sz w:val="21"/>
        </w:rPr>
        <w:t xml:space="preserve">引 </w:t>
      </w:r>
      <w:r>
        <w:rPr>
          <w:rFonts w:eastAsia="Helvetica Neue;Helvetica;Arial;sans-serif"/>
          <w:i w:val="false"/>
          <w:iCs w:val="false"/>
          <w:caps w:val="false"/>
          <w:smallCaps w:val="false"/>
          <w:color w:val="333333"/>
          <w:spacing w:val="0"/>
        </w:rPr>
        <w:t xml:space="preserve">yǐn “lead/guide” </w:t>
      </w:r>
      <w:r>
        <w:rPr>
          <w:rFonts w:eastAsia="Helvetica Neue;Helvetica;Arial;sans-serif"/>
          <w:b w:val="false"/>
          <w:i w:val="false"/>
          <w:iCs w:val="false"/>
          <w:caps w:val="false"/>
          <w:smallCaps w:val="false"/>
          <w:color w:val="333333"/>
          <w:spacing w:val="0"/>
          <w:sz w:val="21"/>
        </w:rPr>
        <w:t xml:space="preserve">正 </w:t>
      </w:r>
      <w:r>
        <w:rPr>
          <w:rFonts w:eastAsia="Helvetica Neue;Helvetica;Arial;sans-serif"/>
          <w:i w:val="false"/>
          <w:iCs w:val="false"/>
          <w:caps w:val="false"/>
          <w:smallCaps w:val="false"/>
          <w:color w:val="333333"/>
          <w:spacing w:val="0"/>
        </w:rPr>
        <w:t>zhèng “true, correct, upright”)</w:t>
      </w:r>
    </w:p>
    <w:p>
      <w:pPr>
        <w:pStyle w:val="Normal"/>
        <w:numPr>
          <w:ilvl w:val="0"/>
          <w:numId w:val="5"/>
        </w:numPr>
        <w:rPr/>
      </w:pPr>
      <w:r>
        <w:rPr/>
        <w:t xml:space="preserve">929c23 </w:t>
      </w:r>
      <w:r>
        <w:rPr/>
        <w:t xml:space="preserve">跋邏末羅耆釐山 </w:t>
      </w:r>
      <w:r>
        <w:rPr/>
        <w:t>(</w:t>
      </w:r>
      <w:r>
        <w:rPr/>
        <w:t>唐言黑蜂</w:t>
      </w:r>
      <w:r>
        <w:rPr/>
        <w:t>) bhramaragiri (</w:t>
      </w:r>
      <w:r>
        <w:rPr/>
        <w:t xml:space="preserve">黑 </w:t>
      </w:r>
      <w:r>
        <w:rPr/>
        <w:t xml:space="preserve">hēi “black” </w:t>
      </w:r>
      <w:r>
        <w:rPr/>
        <w:t xml:space="preserve">蜂 </w:t>
      </w:r>
      <w:r>
        <w:rPr/>
        <w:t>fēng “bee”)</w:t>
      </w:r>
    </w:p>
    <w:p>
      <w:pPr>
        <w:pStyle w:val="Normal"/>
        <w:numPr>
          <w:ilvl w:val="0"/>
          <w:numId w:val="5"/>
        </w:numPr>
        <w:rPr/>
      </w:pPr>
      <w:r>
        <w:rPr/>
        <w:t xml:space="preserve">912c07 / first mention of Nāgārjuna </w:t>
      </w:r>
      <w:r>
        <w:rPr/>
        <w:t>(Mizutani identifies it with Ajaṇṭā).</w:t>
      </w:r>
    </w:p>
    <w:p>
      <w:pPr>
        <w:pStyle w:val="Normal"/>
        <w:rPr/>
      </w:pPr>
      <w:r>
        <w:rPr/>
        <w:t>Faxian (T. 2085)</w:t>
      </w:r>
    </w:p>
    <w:p>
      <w:pPr>
        <w:pStyle w:val="Normal"/>
        <w:numPr>
          <w:ilvl w:val="0"/>
          <w:numId w:val="6"/>
        </w:numPr>
        <w:rPr/>
      </w:pPr>
      <w:r>
        <w:rPr/>
        <w:t xml:space="preserve">864b6–7: </w:t>
      </w:r>
      <w:r>
        <w:rPr/>
        <w:t>因名此寺 爲波羅越。波羅越者天竺名鴿也。</w:t>
      </w:r>
      <w:r>
        <w:rPr/>
        <w:t>(</w:t>
      </w:r>
      <w:bookmarkStart w:id="0" w:name="0864b07"/>
      <w:bookmarkEnd w:id="0"/>
      <w:r>
        <w:rPr>
          <w:rFonts w:eastAsia="arial;helvetica;clean;sans-serif"/>
          <w:b w:val="false"/>
          <w:i w:val="false"/>
          <w:caps w:val="false"/>
          <w:smallCaps w:val="false"/>
          <w:color w:val="000000"/>
          <w:spacing w:val="0"/>
          <w:sz w:val="20"/>
        </w:rPr>
        <w:t xml:space="preserve">波羅越 </w:t>
      </w:r>
      <w:r>
        <w:rPr>
          <w:rFonts w:eastAsia="arial;helvetica;clean;sans-serif"/>
          <w:caps w:val="false"/>
          <w:smallCaps w:val="false"/>
          <w:color w:val="000000"/>
          <w:spacing w:val="0"/>
        </w:rPr>
        <w:t xml:space="preserve">bōluóyuè </w:t>
      </w:r>
      <w:r>
        <w:rPr>
          <w:rFonts w:eastAsia="arial;helvetica;clean;sans-serif"/>
          <w:caps w:val="false"/>
          <w:smallCaps w:val="false"/>
          <w:color w:val="000000"/>
          <w:spacing w:val="0"/>
        </w:rPr>
        <w:t>“</w:t>
      </w:r>
      <w:r>
        <w:rPr>
          <w:rFonts w:eastAsia="arial;helvetica;clean;sans-serif"/>
          <w:caps w:val="false"/>
          <w:smallCaps w:val="false"/>
          <w:color w:val="000000"/>
          <w:spacing w:val="0"/>
        </w:rPr>
        <w:t xml:space="preserve">pārāva[ta]”, </w:t>
      </w:r>
      <w:r>
        <w:rPr>
          <w:rFonts w:eastAsia="arial;helvetica;clean;sans-serif"/>
          <w:caps w:val="false"/>
          <w:smallCaps w:val="false"/>
          <w:color w:val="000000"/>
          <w:spacing w:val="0"/>
        </w:rPr>
        <w:t xml:space="preserve">glossed as </w:t>
      </w:r>
      <w:r>
        <w:rPr>
          <w:rFonts w:eastAsia="arial;helvetica;clean;sans-serif"/>
          <w:b w:val="false"/>
          <w:i w:val="false"/>
          <w:caps w:val="false"/>
          <w:smallCaps w:val="false"/>
          <w:color w:val="000000"/>
          <w:spacing w:val="0"/>
          <w:sz w:val="20"/>
        </w:rPr>
        <w:t xml:space="preserve">鴿 </w:t>
      </w:r>
      <w:r>
        <w:rPr>
          <w:rFonts w:eastAsia="arial;helvetica;clean;sans-serif"/>
          <w:caps w:val="false"/>
          <w:smallCaps w:val="false"/>
          <w:color w:val="000000"/>
          <w:spacing w:val="0"/>
        </w:rPr>
        <w:t>gē “pigeon, dove”</w:t>
      </w:r>
    </w:p>
    <w:p>
      <w:pPr>
        <w:pStyle w:val="Normal"/>
        <w:rPr/>
      </w:pPr>
      <w:r>
        <w:rPr>
          <w:rFonts w:eastAsia="arial;helvetica;clean;sans-serif"/>
          <w:caps w:val="false"/>
          <w:smallCaps w:val="false"/>
          <w:color w:val="000000"/>
          <w:spacing w:val="0"/>
        </w:rPr>
        <w:t>D</w:t>
      </w:r>
      <w:r>
        <w:rPr>
          <w:rFonts w:eastAsia="arial;helvetica;clean;sans-serif"/>
          <w:caps w:val="false"/>
          <w:smallCaps w:val="false"/>
          <w:color w:val="000000"/>
          <w:spacing w:val="0"/>
        </w:rPr>
        <w:t>aoxuan (T. 2106)</w:t>
      </w:r>
    </w:p>
    <w:p>
      <w:pPr>
        <w:pStyle w:val="Normal"/>
        <w:numPr>
          <w:ilvl w:val="0"/>
          <w:numId w:val="10"/>
        </w:numPr>
        <w:rPr/>
      </w:pPr>
      <w:r>
        <w:rPr>
          <w:rFonts w:eastAsia="arial;helvetica;clean;sans-serif"/>
          <w:caps w:val="false"/>
          <w:smallCaps w:val="false"/>
          <w:color w:val="000000"/>
          <w:spacing w:val="0"/>
        </w:rPr>
        <w:t xml:space="preserve">Also mentions </w:t>
      </w:r>
      <w:bookmarkStart w:id="1" w:name="__DdeLink__1297_178832104"/>
      <w:r>
        <w:rPr>
          <w:rFonts w:eastAsia="arial;helvetica;clean;sans-serif"/>
          <w:b w:val="false"/>
          <w:i w:val="false"/>
          <w:caps w:val="false"/>
          <w:smallCaps w:val="false"/>
          <w:color w:val="000000"/>
          <w:spacing w:val="0"/>
          <w:sz w:val="20"/>
        </w:rPr>
        <w:t>黑蜂</w:t>
      </w:r>
      <w:bookmarkEnd w:id="1"/>
      <w:r>
        <w:rPr>
          <w:rFonts w:eastAsia="arial;helvetica;clean;sans-serif"/>
          <w:b w:val="false"/>
          <w:i w:val="false"/>
          <w:caps w:val="false"/>
          <w:smallCaps w:val="false"/>
          <w:color w:val="000000"/>
          <w:spacing w:val="0"/>
          <w:sz w:val="20"/>
        </w:rPr>
        <w:t xml:space="preserve">山 </w:t>
      </w:r>
      <w:r>
        <w:rPr>
          <w:rFonts w:eastAsia="arial;helvetica;clean;sans-serif"/>
          <w:caps w:val="false"/>
          <w:smallCaps w:val="false"/>
          <w:color w:val="000000"/>
          <w:spacing w:val="0"/>
        </w:rPr>
        <w:t xml:space="preserve">hēifēngshān, “black bee peak” and says that it is a rock-cut </w:t>
      </w:r>
      <w:r>
        <w:rPr>
          <w:rFonts w:eastAsia="arial;helvetica;clean;sans-serif"/>
          <w:i/>
          <w:iCs/>
          <w:caps w:val="false"/>
          <w:smallCaps w:val="false"/>
          <w:color w:val="000000"/>
          <w:spacing w:val="0"/>
        </w:rPr>
        <w:t>vihāra</w:t>
      </w:r>
      <w:r>
        <w:rPr>
          <w:rFonts w:eastAsia="arial;helvetica;clean;sans-serif"/>
          <w:caps w:val="false"/>
          <w:smallCaps w:val="false"/>
          <w:color w:val="000000"/>
          <w:spacing w:val="0"/>
        </w:rPr>
        <w:t>.</w:t>
      </w:r>
    </w:p>
    <w:p>
      <w:pPr>
        <w:pStyle w:val="Normal"/>
        <w:rPr/>
      </w:pPr>
      <w:r>
        <w:rPr>
          <w:rFonts w:eastAsia="arial;helvetica;clean;sans-serif"/>
          <w:caps w:val="false"/>
          <w:smallCaps w:val="false"/>
          <w:color w:val="000000"/>
          <w:spacing w:val="0"/>
        </w:rPr>
        <w:t>B</w:t>
      </w:r>
      <w:r>
        <w:rPr>
          <w:rFonts w:eastAsia="arial;helvetica;clean;sans-serif"/>
          <w:caps w:val="false"/>
          <w:smallCaps w:val="false"/>
          <w:color w:val="000000"/>
          <w:spacing w:val="0"/>
        </w:rPr>
        <w:t xml:space="preserve">uston gives the name of the king as </w:t>
      </w:r>
      <w:r>
        <w:rPr>
          <w:rFonts w:eastAsia="arial;helvetica;clean;sans-serif"/>
          <w:i/>
          <w:iCs/>
          <w:caps w:val="false"/>
          <w:smallCaps w:val="false"/>
          <w:color w:val="000000"/>
          <w:spacing w:val="0"/>
        </w:rPr>
        <w:t>bde spyod</w:t>
      </w:r>
      <w:r>
        <w:rPr>
          <w:rFonts w:eastAsia="arial;helvetica;clean;sans-serif"/>
          <w:i w:val="false"/>
          <w:iCs w:val="false"/>
          <w:caps w:val="false"/>
          <w:smallCaps w:val="false"/>
          <w:color w:val="000000"/>
          <w:spacing w:val="0"/>
        </w:rPr>
        <w:t xml:space="preserve"> or </w:t>
      </w:r>
      <w:r>
        <w:rPr>
          <w:rFonts w:eastAsia="arial;helvetica;clean;sans-serif"/>
          <w:i/>
          <w:iCs/>
          <w:caps w:val="false"/>
          <w:smallCaps w:val="false"/>
          <w:color w:val="000000"/>
          <w:spacing w:val="0"/>
        </w:rPr>
        <w:t xml:space="preserve">bde byed </w:t>
      </w:r>
      <w:r>
        <w:rPr>
          <w:rFonts w:eastAsia="arial;helvetica;clean;sans-serif"/>
          <w:i w:val="false"/>
          <w:iCs w:val="false"/>
          <w:caps w:val="false"/>
          <w:smallCaps w:val="false"/>
          <w:color w:val="000000"/>
          <w:spacing w:val="0"/>
        </w:rPr>
        <w:t xml:space="preserve">(translated back into Sanskrit as Śaṅkara, Udayana, or perhaps literally </w:t>
      </w:r>
      <w:r>
        <w:rPr>
          <w:rFonts w:eastAsia="arial;helvetica;clean;sans-serif"/>
          <w:i/>
          <w:iCs/>
          <w:caps w:val="false"/>
          <w:smallCaps w:val="false"/>
          <w:color w:val="000000"/>
          <w:spacing w:val="0"/>
        </w:rPr>
        <w:t>sat-vāha</w:t>
      </w:r>
      <w:r>
        <w:rPr>
          <w:rFonts w:eastAsia="arial;helvetica;clean;sans-serif"/>
          <w:i w:val="false"/>
          <w:iCs w:val="false"/>
          <w:caps w:val="false"/>
          <w:smallCaps w:val="false"/>
          <w:color w:val="000000"/>
          <w:spacing w:val="0"/>
        </w:rPr>
        <w:t>).</w:t>
      </w:r>
    </w:p>
    <w:p>
      <w:pPr>
        <w:pStyle w:val="Normal"/>
        <w:rPr>
          <w:rFonts w:eastAsia="arial;helvetica;clean;sans-serif"/>
          <w:b w:val="false"/>
          <w:i w:val="false"/>
          <w:caps w:val="false"/>
          <w:smallCaps w:val="false"/>
          <w:color w:val="000000"/>
          <w:spacing w:val="0"/>
          <w:sz w:val="20"/>
        </w:rPr>
      </w:pPr>
      <w:r>
        <w:rPr/>
      </w:r>
    </w:p>
    <w:p>
      <w:pPr>
        <w:pStyle w:val="Normal"/>
        <w:rPr/>
      </w:pPr>
      <w:r>
        <w:rPr>
          <w:rFonts w:eastAsia="arial;helvetica;clean;sans-serif"/>
          <w:caps w:val="false"/>
          <w:smallCaps w:val="false"/>
          <w:color w:val="000000"/>
          <w:spacing w:val="0"/>
        </w:rPr>
        <w:t>Y</w:t>
      </w:r>
      <w:r>
        <w:rPr>
          <w:rFonts w:eastAsia="arial;helvetica;clean;sans-serif"/>
          <w:caps w:val="false"/>
          <w:smallCaps w:val="false"/>
          <w:color w:val="000000"/>
          <w:spacing w:val="0"/>
        </w:rPr>
        <w:t>ijing (T. 2125)</w:t>
      </w:r>
    </w:p>
    <w:p>
      <w:pPr>
        <w:pStyle w:val="Normal"/>
        <w:numPr>
          <w:ilvl w:val="0"/>
          <w:numId w:val="7"/>
        </w:numPr>
        <w:rPr/>
      </w:pPr>
      <w:r>
        <w:rPr>
          <w:rFonts w:eastAsia="arial;helvetica;clean;sans-serif"/>
          <w:caps w:val="false"/>
          <w:smallCaps w:val="false"/>
          <w:color w:val="000000"/>
          <w:spacing w:val="0"/>
        </w:rPr>
        <w:t xml:space="preserve">227c13: </w:t>
      </w:r>
      <w:r>
        <w:rPr>
          <w:rFonts w:eastAsia="arial;helvetica;clean;sans-serif"/>
          <w:caps w:val="false"/>
          <w:smallCaps w:val="false"/>
          <w:color w:val="000000"/>
          <w:spacing w:val="0"/>
        </w:rPr>
        <w:t xml:space="preserve">Nāgārjuna’s </w:t>
      </w:r>
      <w:r>
        <w:rPr>
          <w:rFonts w:eastAsia="arial;helvetica;clean;sans-serif"/>
          <w:i/>
          <w:iCs/>
          <w:caps w:val="false"/>
          <w:smallCaps w:val="false"/>
          <w:color w:val="000000"/>
          <w:spacing w:val="0"/>
        </w:rPr>
        <w:t>Suhr̥llekha</w:t>
      </w:r>
      <w:r>
        <w:rPr>
          <w:rFonts w:eastAsia="arial;helvetica;clean;sans-serif"/>
          <w:i w:val="false"/>
          <w:iCs w:val="false"/>
          <w:caps w:val="false"/>
          <w:smallCaps w:val="false"/>
          <w:color w:val="000000"/>
          <w:spacing w:val="0"/>
        </w:rPr>
        <w:t xml:space="preserve"> was intended for his “former dānapati, the great king of South India” (</w:t>
      </w:r>
      <w:r>
        <w:rPr>
          <w:rFonts w:eastAsia="arial;helvetica;clean;sans-serif"/>
          <w:b w:val="false"/>
          <w:i w:val="false"/>
          <w:iCs w:val="false"/>
          <w:caps w:val="false"/>
          <w:smallCaps w:val="false"/>
          <w:color w:val="000000"/>
          <w:spacing w:val="0"/>
          <w:sz w:val="20"/>
        </w:rPr>
        <w:t xml:space="preserve">舊檀越南方大國王  </w:t>
      </w:r>
      <w:r>
        <w:rPr>
          <w:rFonts w:eastAsia="arial;helvetica;clean;sans-serif"/>
          <w:i w:val="false"/>
          <w:iCs w:val="false"/>
          <w:caps w:val="false"/>
          <w:smallCaps w:val="false"/>
          <w:color w:val="000000"/>
          <w:spacing w:val="0"/>
        </w:rPr>
        <w:t>jiù “former” tányuè “alms-giver” nánfāng “the south” dàguówáng = mahārāja)</w:t>
      </w:r>
      <w:r>
        <w:rPr>
          <w:rFonts w:eastAsia="arial;helvetica;clean;sans-serif"/>
          <w:i w:val="false"/>
          <w:iCs w:val="false"/>
          <w:caps w:val="false"/>
          <w:smallCaps w:val="false"/>
          <w:color w:val="000000"/>
          <w:spacing w:val="0"/>
        </w:rPr>
        <w:t xml:space="preserve">, </w:t>
      </w:r>
      <w:r>
        <w:rPr>
          <w:rFonts w:eastAsia="arial;helvetica;clean;sans-serif"/>
          <w:i w:val="false"/>
          <w:iCs w:val="false"/>
          <w:caps w:val="false"/>
          <w:smallCaps w:val="false"/>
          <w:color w:val="000000"/>
          <w:spacing w:val="0"/>
        </w:rPr>
        <w:t>who is called (</w:t>
      </w:r>
      <w:r>
        <w:rPr>
          <w:rFonts w:eastAsia="arial;helvetica;clean;sans-serif"/>
          <w:b w:val="false"/>
          <w:i w:val="false"/>
          <w:iCs w:val="false"/>
          <w:caps w:val="false"/>
          <w:smallCaps w:val="false"/>
          <w:color w:val="000000"/>
          <w:spacing w:val="0"/>
          <w:sz w:val="20"/>
        </w:rPr>
        <w:t xml:space="preserve">號 </w:t>
      </w:r>
      <w:r>
        <w:rPr>
          <w:rFonts w:eastAsia="arial;helvetica;clean;sans-serif"/>
          <w:i w:val="false"/>
          <w:iCs w:val="false"/>
          <w:caps w:val="false"/>
          <w:smallCaps w:val="false"/>
          <w:color w:val="000000"/>
          <w:spacing w:val="0"/>
        </w:rPr>
        <w:t xml:space="preserve">háo) </w:t>
      </w:r>
      <w:r>
        <w:rPr>
          <w:rFonts w:eastAsia="arial;helvetica;clean;sans-serif"/>
          <w:b w:val="false"/>
          <w:i w:val="false"/>
          <w:iCs w:val="false"/>
          <w:caps w:val="false"/>
          <w:smallCaps w:val="false"/>
          <w:color w:val="000000"/>
          <w:spacing w:val="0"/>
          <w:sz w:val="20"/>
        </w:rPr>
        <w:t xml:space="preserve">娑多婆漢那 </w:t>
      </w:r>
      <w:r>
        <w:rPr>
          <w:rFonts w:eastAsia="arial;helvetica;clean;sans-serif"/>
          <w:i w:val="false"/>
          <w:iCs w:val="false"/>
          <w:caps w:val="false"/>
          <w:smallCaps w:val="false"/>
          <w:color w:val="000000"/>
          <w:spacing w:val="0"/>
        </w:rPr>
        <w:t>Sātavāhana, named (</w:t>
      </w:r>
      <w:r>
        <w:rPr>
          <w:rFonts w:eastAsia="arial;helvetica;clean;sans-serif"/>
          <w:b w:val="false"/>
          <w:i w:val="false"/>
          <w:iCs w:val="false"/>
          <w:caps w:val="false"/>
          <w:smallCaps w:val="false"/>
          <w:color w:val="000000"/>
          <w:spacing w:val="0"/>
          <w:sz w:val="20"/>
        </w:rPr>
        <w:t xml:space="preserve">名 </w:t>
      </w:r>
      <w:r>
        <w:rPr>
          <w:rFonts w:eastAsia="arial;helvetica;clean;sans-serif"/>
          <w:i w:val="false"/>
          <w:iCs w:val="false"/>
          <w:caps w:val="false"/>
          <w:smallCaps w:val="false"/>
          <w:color w:val="000000"/>
          <w:spacing w:val="0"/>
        </w:rPr>
        <w:t xml:space="preserve">míng) </w:t>
      </w:r>
      <w:r>
        <w:rPr>
          <w:rFonts w:eastAsia="arial;helvetica;clean;sans-serif"/>
          <w:b w:val="false"/>
          <w:i w:val="false"/>
          <w:iCs w:val="false"/>
          <w:caps w:val="false"/>
          <w:smallCaps w:val="false"/>
          <w:color w:val="000000"/>
          <w:spacing w:val="0"/>
          <w:sz w:val="20"/>
        </w:rPr>
        <w:t xml:space="preserve">市寅得迦 </w:t>
      </w:r>
      <w:r>
        <w:rPr>
          <w:rFonts w:eastAsia="arial;helvetica;clean;sans-serif"/>
          <w:i w:val="false"/>
          <w:iCs w:val="false"/>
          <w:caps w:val="false"/>
          <w:smallCaps w:val="false"/>
          <w:color w:val="000000"/>
          <w:spacing w:val="0"/>
        </w:rPr>
        <w:t>Jintaka (shì-yín-de-jiā)</w:t>
      </w:r>
    </w:p>
    <w:p>
      <w:pPr>
        <w:pStyle w:val="Normal"/>
        <w:rPr/>
      </w:pPr>
      <w:r>
        <w:rPr>
          <w:rFonts w:eastAsia="arial;helvetica;clean;sans-serif"/>
          <w:i w:val="false"/>
          <w:iCs w:val="false"/>
          <w:caps w:val="false"/>
          <w:smallCaps w:val="false"/>
          <w:color w:val="000000"/>
          <w:spacing w:val="0"/>
        </w:rPr>
        <w:t xml:space="preserve">Yijing’s translation of the </w:t>
      </w:r>
      <w:r>
        <w:rPr>
          <w:rFonts w:eastAsia="arial;helvetica;clean;sans-serif"/>
          <w:i/>
          <w:iCs/>
          <w:caps w:val="false"/>
          <w:smallCaps w:val="false"/>
          <w:color w:val="000000"/>
          <w:spacing w:val="0"/>
        </w:rPr>
        <w:t>Suhr̥llekha</w:t>
      </w:r>
      <w:r>
        <w:rPr>
          <w:rFonts w:eastAsia="arial;helvetica;clean;sans-serif"/>
          <w:i w:val="false"/>
          <w:iCs w:val="false"/>
          <w:caps w:val="false"/>
          <w:smallCaps w:val="false"/>
          <w:color w:val="000000"/>
          <w:spacing w:val="0"/>
        </w:rPr>
        <w:t xml:space="preserve"> </w:t>
      </w:r>
      <w:r>
        <w:rPr>
          <w:rFonts w:eastAsia="arial;helvetica;clean;sans-serif"/>
          <w:i w:val="false"/>
          <w:iCs w:val="false"/>
          <w:caps w:val="false"/>
          <w:smallCaps w:val="false"/>
          <w:color w:val="000000"/>
          <w:spacing w:val="0"/>
        </w:rPr>
        <w:t>(T. 1674)</w:t>
      </w:r>
    </w:p>
    <w:p>
      <w:pPr>
        <w:pStyle w:val="Normal"/>
        <w:numPr>
          <w:ilvl w:val="0"/>
          <w:numId w:val="8"/>
        </w:numPr>
        <w:rPr/>
      </w:pPr>
      <w:r>
        <w:rPr>
          <w:rFonts w:eastAsia="arial;helvetica;clean;sans-serif"/>
          <w:i w:val="false"/>
          <w:iCs w:val="false"/>
          <w:caps w:val="false"/>
          <w:smallCaps w:val="false"/>
          <w:color w:val="000000"/>
          <w:spacing w:val="0"/>
        </w:rPr>
        <w:t>calls the patron “shèngtǔ king (</w:t>
      </w:r>
      <w:r>
        <w:rPr>
          <w:rFonts w:eastAsia="arial;helvetica;clean;sans-serif"/>
          <w:b w:val="false"/>
          <w:i w:val="false"/>
          <w:iCs w:val="false"/>
          <w:caps w:val="false"/>
          <w:smallCaps w:val="false"/>
          <w:color w:val="000000"/>
          <w:spacing w:val="0"/>
          <w:sz w:val="20"/>
        </w:rPr>
        <w:t xml:space="preserve">乘土 </w:t>
      </w:r>
      <w:r>
        <w:rPr>
          <w:rFonts w:eastAsia="arial;helvetica;clean;sans-serif"/>
          <w:i w:val="false"/>
          <w:iCs w:val="false"/>
          <w:caps w:val="false"/>
          <w:smallCaps w:val="false"/>
          <w:color w:val="000000"/>
          <w:spacing w:val="0"/>
        </w:rPr>
        <w:t>shèngtǔ</w:t>
      </w:r>
      <w:r>
        <w:rPr>
          <w:rFonts w:eastAsia="arial;helvetica;clean;sans-serif"/>
          <w:b w:val="false"/>
          <w:i w:val="false"/>
          <w:iCs w:val="false"/>
          <w:caps w:val="false"/>
          <w:smallCaps w:val="false"/>
          <w:color w:val="000000"/>
          <w:spacing w:val="0"/>
          <w:sz w:val="20"/>
        </w:rPr>
        <w:t xml:space="preserve">國王 </w:t>
      </w:r>
      <w:r>
        <w:rPr>
          <w:rFonts w:eastAsia="arial;helvetica;clean;sans-serif"/>
          <w:i w:val="false"/>
          <w:iCs w:val="false"/>
          <w:caps w:val="false"/>
          <w:smallCaps w:val="false"/>
          <w:color w:val="000000"/>
          <w:spacing w:val="0"/>
        </w:rPr>
        <w:t xml:space="preserve">guówáng). </w:t>
      </w:r>
      <w:r>
        <w:rPr>
          <w:rFonts w:eastAsia="arial;helvetica;clean;sans-serif"/>
          <w:i w:val="false"/>
          <w:iCs w:val="false"/>
          <w:caps w:val="false"/>
          <w:smallCaps w:val="false"/>
          <w:color w:val="000000"/>
          <w:spacing w:val="0"/>
        </w:rPr>
        <w:t xml:space="preserve">Takakasu, tr., p. 159, n. 1 </w:t>
      </w:r>
      <w:r>
        <w:rPr>
          <w:rFonts w:eastAsia="arial;helvetica;clean;sans-serif"/>
          <w:i w:val="false"/>
          <w:iCs w:val="false"/>
          <w:caps w:val="false"/>
          <w:smallCaps w:val="false"/>
          <w:color w:val="000000"/>
          <w:spacing w:val="0"/>
        </w:rPr>
        <w:t>notes that this probably translates</w:t>
      </w:r>
      <w:r>
        <w:rPr>
          <w:rFonts w:eastAsia="arial;helvetica;clean;sans-serif"/>
          <w:i w:val="false"/>
          <w:iCs w:val="false"/>
          <w:caps w:val="false"/>
          <w:smallCaps w:val="false"/>
          <w:color w:val="000000"/>
          <w:spacing w:val="0"/>
        </w:rPr>
        <w:t xml:space="preserve"> </w:t>
      </w:r>
      <w:r>
        <w:rPr>
          <w:rFonts w:eastAsia="arial;helvetica;clean;sans-serif"/>
          <w:i w:val="false"/>
          <w:iCs w:val="false"/>
          <w:caps w:val="false"/>
          <w:smallCaps w:val="false"/>
          <w:color w:val="000000"/>
          <w:spacing w:val="0"/>
        </w:rPr>
        <w:t xml:space="preserve">(something) vāhana, since </w:t>
      </w:r>
      <w:r>
        <w:rPr>
          <w:rFonts w:eastAsia="arial;helvetica;clean;sans-serif"/>
          <w:b w:val="false"/>
          <w:i w:val="false"/>
          <w:iCs w:val="false"/>
          <w:caps w:val="false"/>
          <w:smallCaps w:val="false"/>
          <w:color w:val="000000"/>
          <w:spacing w:val="0"/>
          <w:sz w:val="20"/>
        </w:rPr>
        <w:t xml:space="preserve">乘 </w:t>
      </w:r>
      <w:r>
        <w:rPr>
          <w:rFonts w:eastAsia="arial;helvetica;clean;sans-serif"/>
          <w:i w:val="false"/>
          <w:iCs w:val="false"/>
          <w:caps w:val="false"/>
          <w:smallCaps w:val="false"/>
          <w:color w:val="000000"/>
          <w:spacing w:val="0"/>
        </w:rPr>
        <w:t xml:space="preserve">shèng is used elsewhere to translate -vāhana. Since tǔ means “earth,” Yijing might have understood </w:t>
      </w:r>
      <w:r>
        <w:rPr>
          <w:rFonts w:eastAsia="arial;helvetica;clean;sans-serif"/>
          <w:i/>
          <w:iCs/>
          <w:caps w:val="false"/>
          <w:smallCaps w:val="false"/>
          <w:color w:val="000000"/>
          <w:spacing w:val="0"/>
        </w:rPr>
        <w:t>Sātavāhana</w:t>
      </w:r>
      <w:r>
        <w:rPr>
          <w:rFonts w:eastAsia="arial;helvetica;clean;sans-serif"/>
          <w:i w:val="false"/>
          <w:iCs w:val="false"/>
          <w:caps w:val="false"/>
          <w:smallCaps w:val="false"/>
          <w:color w:val="000000"/>
          <w:spacing w:val="0"/>
        </w:rPr>
        <w:t xml:space="preserve"> to be an antonym of Meghavāhana or Jīmūtavāhana.</w:t>
      </w:r>
    </w:p>
    <w:p>
      <w:pPr>
        <w:pStyle w:val="Normal"/>
        <w:rPr/>
      </w:pPr>
      <w:r>
        <w:rPr>
          <w:rFonts w:eastAsia="arial;helvetica;clean;sans-serif"/>
          <w:i w:val="false"/>
          <w:iCs w:val="false"/>
          <w:caps w:val="false"/>
          <w:smallCaps w:val="false"/>
          <w:color w:val="000000"/>
          <w:spacing w:val="0"/>
        </w:rPr>
        <w:t xml:space="preserve">Guṇaśāla’s translation of the  </w:t>
      </w:r>
      <w:r>
        <w:rPr>
          <w:rFonts w:eastAsia="arial;helvetica;clean;sans-serif"/>
          <w:i/>
          <w:iCs/>
          <w:caps w:val="false"/>
          <w:smallCaps w:val="false"/>
          <w:color w:val="000000"/>
          <w:spacing w:val="0"/>
        </w:rPr>
        <w:t xml:space="preserve">Suhr̥llekha </w:t>
      </w:r>
      <w:r>
        <w:rPr>
          <w:rFonts w:eastAsia="arial;helvetica;clean;sans-serif"/>
          <w:i w:val="false"/>
          <w:iCs w:val="false"/>
          <w:caps w:val="false"/>
          <w:smallCaps w:val="false"/>
          <w:color w:val="000000"/>
          <w:spacing w:val="0"/>
        </w:rPr>
        <w:t xml:space="preserve">(T. 1672) gives the title as </w:t>
      </w:r>
      <w:r>
        <w:rPr>
          <w:rFonts w:eastAsia="arial;helvetica;clean;sans-serif"/>
          <w:b w:val="false"/>
          <w:i w:val="false"/>
          <w:iCs w:val="false"/>
          <w:caps w:val="false"/>
          <w:smallCaps w:val="false"/>
          <w:color w:val="000000"/>
          <w:spacing w:val="0"/>
          <w:sz w:val="20"/>
        </w:rPr>
        <w:t>龍樹菩薩為禪陀迦王說法要偈</w:t>
      </w:r>
      <w:r>
        <w:rPr>
          <w:rFonts w:ascii="IndUni-T" w:hAnsi="IndUni-T" w:eastAsia="IndUni-T"/>
          <w:b w:val="false"/>
          <w:bCs w:val="false"/>
          <w:i w:val="false"/>
          <w:iCs w:val="false"/>
          <w:caps w:val="false"/>
          <w:smallCaps w:val="false"/>
          <w:color w:val="000000"/>
          <w:spacing w:val="0"/>
          <w:sz w:val="24"/>
          <w:szCs w:val="24"/>
        </w:rPr>
        <w:t xml:space="preserve"> </w:t>
      </w:r>
      <w:r>
        <w:rPr>
          <w:rFonts w:eastAsia="IndUni-T" w:ascii="IndUni-T" w:hAnsi="IndUni-T"/>
          <w:b w:val="false"/>
          <w:bCs w:val="false"/>
          <w:i w:val="false"/>
          <w:iCs w:val="false"/>
          <w:caps w:val="false"/>
          <w:smallCaps w:val="false"/>
          <w:color w:val="000000"/>
          <w:spacing w:val="0"/>
          <w:sz w:val="24"/>
          <w:szCs w:val="24"/>
        </w:rPr>
        <w:t>Lóng Shù Púsà Wèi Chán Tuó Jiā Wáng Shuōfa Yào Jì (“Nāgārjuna-Bodhisattva-kr̥ta-Jantaka-Rāja-Dharmadeśana-Sāra-Gāthā)</w:t>
      </w:r>
    </w:p>
    <w:p>
      <w:pPr>
        <w:pStyle w:val="Normal"/>
        <w:rPr>
          <w:b/>
          <w:b/>
          <w:bCs/>
        </w:rPr>
      </w:pPr>
      <w:r>
        <w:rPr>
          <w:rFonts w:eastAsia="IndUni-T" w:ascii="IndUni-T" w:hAnsi="IndUni-T"/>
          <w:b/>
          <w:bCs/>
          <w:i w:val="false"/>
          <w:iCs w:val="false"/>
          <w:caps w:val="false"/>
          <w:smallCaps w:val="false"/>
          <w:color w:val="000000"/>
          <w:spacing w:val="0"/>
          <w:sz w:val="24"/>
          <w:szCs w:val="24"/>
        </w:rPr>
        <w:t>Two</w:t>
      </w:r>
      <w:r>
        <w:rPr>
          <w:rFonts w:eastAsia="IndUni-T" w:ascii="IndUni-T" w:hAnsi="IndUni-T"/>
          <w:b w:val="false"/>
          <w:bCs w:val="false"/>
          <w:i w:val="false"/>
          <w:iCs w:val="false"/>
          <w:caps w:val="false"/>
          <w:smallCaps w:val="false"/>
          <w:color w:val="000000"/>
          <w:spacing w:val="0"/>
          <w:sz w:val="24"/>
          <w:szCs w:val="24"/>
        </w:rPr>
        <w:t xml:space="preserve"> prophecies regarding Nāgārjuna in the Mahāmeghasūtra </w:t>
      </w:r>
      <w:r>
        <w:rPr>
          <w:rFonts w:eastAsia="IndUni-T" w:ascii="IndUni-T" w:hAnsi="IndUni-T"/>
          <w:b w:val="false"/>
          <w:bCs w:val="false"/>
          <w:i w:val="false"/>
          <w:iCs w:val="false"/>
          <w:caps w:val="false"/>
          <w:smallCaps w:val="false"/>
          <w:color w:val="000000"/>
          <w:spacing w:val="0"/>
          <w:sz w:val="24"/>
          <w:szCs w:val="24"/>
        </w:rPr>
        <w:t>(called MM2 and MM1 respectively by Michael Radich, see p. 64 of his book). The text was translated by Dharmakṣema around 473. The text was probably referred to by Candrakīrti, who interpreted it to refer to Nāgārjuna (Mabbett 336)</w:t>
      </w:r>
    </w:p>
    <w:p>
      <w:pPr>
        <w:pStyle w:val="Normal"/>
        <w:numPr>
          <w:ilvl w:val="0"/>
          <w:numId w:val="9"/>
        </w:numPr>
        <w:rPr>
          <w:b/>
          <w:b/>
          <w:bCs/>
        </w:rPr>
      </w:pPr>
      <w:r>
        <w:rPr>
          <w:rFonts w:eastAsia="IndUni-T" w:ascii="IndUni-T" w:hAnsi="IndUni-T"/>
          <w:b w:val="false"/>
          <w:bCs w:val="false"/>
          <w:i w:val="false"/>
          <w:iCs w:val="false"/>
          <w:caps w:val="false"/>
          <w:smallCaps w:val="false"/>
          <w:color w:val="000000"/>
          <w:spacing w:val="0"/>
          <w:sz w:val="24"/>
          <w:szCs w:val="24"/>
        </w:rPr>
        <w:t xml:space="preserve">Demiéville p. 227: 2000 years after Buddha’s parinirvāṇa, under the reign of King Sātavāhana of South India, there will be a man called Nāgarāja who will explain the Vaipulyasūtra. </w:t>
      </w:r>
      <w:r>
        <w:rPr>
          <w:rFonts w:eastAsia="IndUni-T" w:ascii="IndUni-T" w:hAnsi="IndUni-T"/>
          <w:b w:val="false"/>
          <w:bCs w:val="false"/>
          <w:i w:val="false"/>
          <w:iCs w:val="false"/>
          <w:caps w:val="false"/>
          <w:smallCaps w:val="false"/>
          <w:color w:val="000000"/>
          <w:spacing w:val="0"/>
          <w:sz w:val="24"/>
          <w:szCs w:val="24"/>
        </w:rPr>
        <w:t xml:space="preserve">(This prophecy is said to be given to the </w:t>
      </w:r>
      <w:r>
        <w:rPr>
          <w:rFonts w:eastAsia="IndUni-T" w:ascii="IndUni-T" w:hAnsi="IndUni-T"/>
          <w:b w:val="false"/>
          <w:bCs w:val="false"/>
          <w:i/>
          <w:iCs/>
          <w:caps w:val="false"/>
          <w:smallCaps w:val="false"/>
          <w:color w:val="000000"/>
          <w:spacing w:val="0"/>
          <w:sz w:val="24"/>
          <w:szCs w:val="24"/>
        </w:rPr>
        <w:t>Devaputras</w:t>
      </w:r>
      <w:r>
        <w:rPr>
          <w:rFonts w:eastAsia="IndUni-T" w:ascii="IndUni-T" w:hAnsi="IndUni-T"/>
          <w:b w:val="false"/>
          <w:bCs w:val="false"/>
          <w:i w:val="false"/>
          <w:iCs w:val="false"/>
          <w:caps w:val="false"/>
          <w:smallCaps w:val="false"/>
          <w:color w:val="000000"/>
          <w:spacing w:val="0"/>
          <w:sz w:val="24"/>
          <w:szCs w:val="24"/>
        </w:rPr>
        <w:t xml:space="preserve"> from a place called “Black Mountain,” </w:t>
      </w:r>
      <w:r>
        <w:rPr>
          <w:rFonts w:ascii="IndUni-T" w:hAnsi="IndUni-T" w:eastAsia="IndUni-T"/>
          <w:b w:val="false"/>
          <w:bCs w:val="false"/>
          <w:i w:val="false"/>
          <w:iCs w:val="false"/>
          <w:caps w:val="false"/>
          <w:smallCaps w:val="false"/>
          <w:color w:val="000000"/>
          <w:spacing w:val="0"/>
          <w:sz w:val="24"/>
          <w:szCs w:val="24"/>
        </w:rPr>
        <w:t>黑山</w:t>
      </w:r>
      <w:r>
        <w:rPr>
          <w:rFonts w:eastAsia="IndUni-T" w:ascii="IndUni-T" w:hAnsi="IndUni-T"/>
          <w:b w:val="false"/>
          <w:bCs w:val="false"/>
          <w:i w:val="false"/>
          <w:iCs w:val="false"/>
          <w:caps w:val="false"/>
          <w:smallCaps w:val="false"/>
          <w:color w:val="000000"/>
          <w:spacing w:val="0"/>
          <w:sz w:val="24"/>
          <w:szCs w:val="24"/>
        </w:rPr>
        <w:t>, Hēishān.) — Mabbett was skeptical of the connection between this prophecy (MM2) and Nāgārjuna, because most of the details don’t line up with other sources.</w:t>
      </w:r>
    </w:p>
    <w:p>
      <w:pPr>
        <w:pStyle w:val="Normal"/>
        <w:numPr>
          <w:ilvl w:val="0"/>
          <w:numId w:val="9"/>
        </w:numPr>
        <w:rPr>
          <w:b/>
        </w:rPr>
      </w:pPr>
      <w:r>
        <w:rPr>
          <w:rFonts w:eastAsia="IndUni-T" w:ascii="IndUni-T" w:hAnsi="IndUni-T"/>
          <w:b w:val="false"/>
          <w:bCs w:val="false"/>
          <w:i w:val="false"/>
          <w:iCs w:val="false"/>
          <w:caps w:val="false"/>
          <w:smallCaps w:val="false"/>
          <w:color w:val="000000"/>
          <w:spacing w:val="0"/>
          <w:sz w:val="24"/>
          <w:szCs w:val="24"/>
        </w:rPr>
        <w:t xml:space="preserve">Demiéville p. 229 [1107a07]: In the country </w:t>
      </w:r>
      <w:r>
        <w:rPr>
          <w:rFonts w:ascii="IndUni-T" w:hAnsi="IndUni-T" w:eastAsia="IndUni-T"/>
          <w:b w:val="false"/>
          <w:bCs w:val="false"/>
          <w:i w:val="false"/>
          <w:iCs w:val="false"/>
          <w:caps w:val="false"/>
          <w:smallCaps w:val="false"/>
          <w:color w:val="000000"/>
          <w:spacing w:val="0"/>
          <w:sz w:val="24"/>
          <w:szCs w:val="24"/>
        </w:rPr>
        <w:t xml:space="preserve">無明 </w:t>
      </w:r>
      <w:r>
        <w:rPr>
          <w:rFonts w:eastAsia="IndUni-T" w:ascii="IndUni-T" w:hAnsi="IndUni-T"/>
          <w:b w:val="false"/>
          <w:bCs w:val="false"/>
          <w:i w:val="false"/>
          <w:iCs w:val="false"/>
          <w:caps w:val="false"/>
          <w:smallCaps w:val="false"/>
          <w:color w:val="000000"/>
          <w:spacing w:val="0"/>
          <w:sz w:val="24"/>
          <w:szCs w:val="24"/>
        </w:rPr>
        <w:t>(</w:t>
      </w:r>
      <w:r>
        <w:rPr>
          <w:rFonts w:eastAsia="IndUni-T" w:ascii="IndUni-T" w:hAnsi="IndUni-T"/>
          <w:b w:val="false"/>
          <w:bCs w:val="false"/>
          <w:i w:val="false"/>
          <w:iCs w:val="false"/>
          <w:caps w:val="false"/>
          <w:smallCaps w:val="false"/>
          <w:color w:val="000000"/>
          <w:spacing w:val="0"/>
          <w:sz w:val="24"/>
          <w:szCs w:val="24"/>
        </w:rPr>
        <w:t>wúmíng</w:t>
      </w:r>
      <w:r>
        <w:rPr>
          <w:rFonts w:eastAsia="IndUni-T" w:ascii="IndUni-T" w:hAnsi="IndUni-T"/>
          <w:b w:val="false"/>
          <w:bCs w:val="false"/>
          <w:i w:val="false"/>
          <w:iCs w:val="false"/>
          <w:caps w:val="false"/>
          <w:smallCaps w:val="false"/>
          <w:color w:val="000000"/>
          <w:spacing w:val="0"/>
          <w:sz w:val="24"/>
          <w:szCs w:val="24"/>
        </w:rPr>
        <w:t xml:space="preserve"> = “No-light,” </w:t>
      </w:r>
      <w:r>
        <w:rPr>
          <w:rFonts w:eastAsia="IndUni-T" w:ascii="IndUni-T" w:hAnsi="IndUni-T"/>
          <w:b w:val="false"/>
          <w:bCs w:val="false"/>
          <w:i/>
          <w:iCs/>
          <w:caps w:val="false"/>
          <w:smallCaps w:val="false"/>
          <w:color w:val="000000"/>
          <w:spacing w:val="0"/>
          <w:sz w:val="24"/>
          <w:szCs w:val="24"/>
        </w:rPr>
        <w:t>Andhaka</w:t>
      </w:r>
      <w:r>
        <w:rPr>
          <w:rFonts w:eastAsia="IndUni-T" w:ascii="IndUni-T" w:hAnsi="IndUni-T"/>
          <w:b w:val="false"/>
          <w:bCs w:val="false"/>
          <w:i w:val="false"/>
          <w:iCs w:val="false"/>
          <w:caps w:val="false"/>
          <w:smallCaps w:val="false"/>
          <w:color w:val="000000"/>
          <w:spacing w:val="0"/>
          <w:sz w:val="24"/>
          <w:szCs w:val="24"/>
        </w:rPr>
        <w:t xml:space="preserve">), on the south shore of a river called </w:t>
      </w:r>
      <w:r>
        <w:rPr>
          <w:rFonts w:ascii="IndUni-T" w:hAnsi="IndUni-T" w:eastAsia="IndUni-T"/>
          <w:b w:val="false"/>
          <w:bCs w:val="false"/>
          <w:i w:val="false"/>
          <w:iCs w:val="false"/>
          <w:caps w:val="false"/>
          <w:smallCaps w:val="false"/>
          <w:color w:val="000000"/>
          <w:spacing w:val="0"/>
          <w:sz w:val="24"/>
          <w:szCs w:val="24"/>
        </w:rPr>
        <w:t xml:space="preserve">黑闇 </w:t>
      </w:r>
      <w:r>
        <w:rPr>
          <w:rFonts w:eastAsia="IndUni-T" w:ascii="IndUni-T" w:hAnsi="IndUni-T"/>
          <w:b w:val="false"/>
          <w:bCs w:val="false"/>
          <w:i w:val="false"/>
          <w:iCs w:val="false"/>
          <w:caps w:val="false"/>
          <w:smallCaps w:val="false"/>
          <w:color w:val="000000"/>
          <w:spacing w:val="0"/>
          <w:sz w:val="24"/>
          <w:szCs w:val="24"/>
        </w:rPr>
        <w:t xml:space="preserve">(hēiàn = “Black,” Kr̥ṣṇā), there is a city called </w:t>
      </w:r>
      <w:r>
        <w:rPr>
          <w:rFonts w:ascii="IndUni-T" w:hAnsi="IndUni-T" w:eastAsia="IndUni-T"/>
          <w:b w:val="false"/>
          <w:bCs w:val="false"/>
          <w:i w:val="false"/>
          <w:iCs w:val="false"/>
          <w:caps w:val="false"/>
          <w:smallCaps w:val="false"/>
          <w:color w:val="000000"/>
          <w:spacing w:val="0"/>
          <w:sz w:val="24"/>
          <w:szCs w:val="24"/>
        </w:rPr>
        <w:t xml:space="preserve">熟穀 </w:t>
      </w:r>
      <w:r>
        <w:rPr>
          <w:rFonts w:eastAsia="IndUni-T" w:ascii="IndUni-T" w:hAnsi="IndUni-T"/>
          <w:b w:val="false"/>
          <w:bCs w:val="false"/>
          <w:i w:val="false"/>
          <w:iCs w:val="false"/>
          <w:caps w:val="false"/>
          <w:smallCaps w:val="false"/>
          <w:color w:val="000000"/>
          <w:spacing w:val="0"/>
          <w:sz w:val="24"/>
          <w:szCs w:val="24"/>
        </w:rPr>
        <w:t>(shúg</w:t>
      </w:r>
      <w:r>
        <w:rPr>
          <w:rFonts w:eastAsia="arial;helvetica;clean;sans-serif" w:ascii="IndUni-T" w:hAnsi="IndUni-T"/>
          <w:b w:val="false"/>
          <w:bCs w:val="false"/>
          <w:i w:val="false"/>
          <w:iCs w:val="false"/>
          <w:caps w:val="false"/>
          <w:smallCaps w:val="false"/>
          <w:color w:val="000000"/>
          <w:spacing w:val="0"/>
          <w:sz w:val="24"/>
          <w:szCs w:val="24"/>
        </w:rPr>
        <w:t xml:space="preserve">ǔ </w:t>
      </w:r>
      <w:r>
        <w:rPr>
          <w:rFonts w:eastAsia="arial;helvetica;clean;sans-serif" w:ascii="IndUni-T" w:hAnsi="IndUni-T"/>
          <w:b w:val="false"/>
          <w:bCs w:val="false"/>
          <w:i w:val="false"/>
          <w:iCs w:val="false"/>
          <w:caps w:val="false"/>
          <w:smallCaps w:val="false"/>
          <w:color w:val="000000"/>
          <w:spacing w:val="0"/>
          <w:sz w:val="24"/>
          <w:szCs w:val="24"/>
        </w:rPr>
        <w:t xml:space="preserve">= “Cooked Grain” = Dhānyakaṭa); its king is called </w:t>
      </w:r>
      <w:r>
        <w:rPr>
          <w:rFonts w:ascii="IndUni-T" w:hAnsi="IndUni-T" w:eastAsia="arial;helvetica;clean;sans-serif"/>
          <w:b w:val="false"/>
          <w:bCs w:val="false"/>
          <w:i w:val="false"/>
          <w:iCs w:val="false"/>
          <w:caps w:val="false"/>
          <w:smallCaps w:val="false"/>
          <w:color w:val="000000"/>
          <w:spacing w:val="0"/>
          <w:sz w:val="20"/>
          <w:szCs w:val="24"/>
        </w:rPr>
        <w:t xml:space="preserve">等乘 </w:t>
      </w:r>
      <w:r>
        <w:rPr>
          <w:rFonts w:eastAsia="arial;helvetica;clean;sans-serif" w:ascii="IndUni-T" w:hAnsi="IndUni-T"/>
          <w:b w:val="false"/>
          <w:bCs w:val="false"/>
          <w:i w:val="false"/>
          <w:iCs w:val="false"/>
          <w:caps w:val="false"/>
          <w:smallCaps w:val="false"/>
          <w:color w:val="000000"/>
          <w:spacing w:val="0"/>
          <w:sz w:val="24"/>
          <w:szCs w:val="24"/>
        </w:rPr>
        <w:t>(děngshèng = “Equal Vehicle” = ?-</w:t>
      </w:r>
      <w:r>
        <w:rPr>
          <w:rFonts w:eastAsia="arial;helvetica;clean;sans-serif" w:ascii="IndUni-T" w:hAnsi="IndUni-T"/>
          <w:b w:val="false"/>
          <w:bCs w:val="false"/>
          <w:i/>
          <w:iCs/>
          <w:caps w:val="false"/>
          <w:smallCaps w:val="false"/>
          <w:color w:val="000000"/>
          <w:spacing w:val="0"/>
          <w:sz w:val="24"/>
          <w:szCs w:val="24"/>
        </w:rPr>
        <w:t>vāhana</w:t>
      </w:r>
      <w:r>
        <w:rPr>
          <w:rFonts w:eastAsia="arial;helvetica;clean;sans-serif" w:ascii="IndUni-T" w:hAnsi="IndUni-T"/>
          <w:b w:val="false"/>
          <w:bCs w:val="false"/>
          <w:i w:val="false"/>
          <w:iCs w:val="false"/>
          <w:caps w:val="false"/>
          <w:smallCaps w:val="false"/>
          <w:color w:val="000000"/>
          <w:spacing w:val="0"/>
          <w:sz w:val="24"/>
          <w:szCs w:val="24"/>
        </w:rPr>
        <w:t xml:space="preserve">), and his daughter was called </w:t>
      </w:r>
      <w:r>
        <w:rPr>
          <w:rFonts w:ascii="IndUni-T" w:hAnsi="IndUni-T" w:eastAsia="arial;helvetica;clean;sans-serif"/>
          <w:b w:val="false"/>
          <w:bCs w:val="false"/>
          <w:i w:val="false"/>
          <w:iCs w:val="false"/>
          <w:caps w:val="false"/>
          <w:smallCaps w:val="false"/>
          <w:color w:val="000000"/>
          <w:spacing w:val="0"/>
          <w:sz w:val="20"/>
          <w:szCs w:val="24"/>
        </w:rPr>
        <w:t xml:space="preserve">產育 </w:t>
      </w:r>
      <w:r>
        <w:rPr>
          <w:rFonts w:eastAsia="arial;helvetica;clean;sans-serif" w:ascii="IndUni-T" w:hAnsi="IndUni-T"/>
          <w:b w:val="false"/>
          <w:bCs w:val="false"/>
          <w:i w:val="false"/>
          <w:iCs w:val="false"/>
          <w:caps w:val="false"/>
          <w:smallCaps w:val="false"/>
          <w:color w:val="000000"/>
          <w:spacing w:val="0"/>
          <w:sz w:val="24"/>
          <w:szCs w:val="24"/>
        </w:rPr>
        <w:t xml:space="preserve">(Chǎnyù = give birth-nurture?). The Tibetan version is difference. </w:t>
      </w:r>
    </w:p>
    <w:p>
      <w:pPr>
        <w:pStyle w:val="Normal"/>
        <w:numPr>
          <w:ilvl w:val="0"/>
          <w:numId w:val="0"/>
        </w:numPr>
        <w:ind w:left="720" w:hanging="0"/>
        <w:rPr>
          <w:rFonts w:ascii="IndUni-T" w:hAnsi="IndUni-T" w:eastAsia="arial;helvetica;clean;sans-serif"/>
          <w:b w:val="false"/>
          <w:b w:val="false"/>
          <w:bCs w:val="false"/>
          <w:i w:val="false"/>
          <w:i w:val="false"/>
          <w:iCs w:val="false"/>
          <w:caps w:val="false"/>
          <w:smallCaps w:val="false"/>
          <w:color w:val="000000"/>
          <w:spacing w:val="0"/>
          <w:sz w:val="24"/>
          <w:szCs w:val="24"/>
        </w:rPr>
      </w:pPr>
      <w:r>
        <w:rPr>
          <w:b/>
        </w:rPr>
      </w:r>
    </w:p>
    <w:p>
      <w:pPr>
        <w:pStyle w:val="Normal"/>
        <w:rPr>
          <w:b/>
        </w:rPr>
      </w:pPr>
      <w:r>
        <w:rPr>
          <w:rFonts w:eastAsia="arial;helvetica;clean;sans-serif" w:ascii="IndUni-T" w:hAnsi="IndUni-T"/>
          <w:b w:val="false"/>
          <w:bCs w:val="false"/>
          <w:i w:val="false"/>
          <w:iCs w:val="false"/>
          <w:caps w:val="false"/>
          <w:smallCaps w:val="false"/>
          <w:color w:val="000000"/>
          <w:spacing w:val="0"/>
          <w:sz w:val="24"/>
          <w:szCs w:val="24"/>
        </w:rPr>
        <w:t>N</w:t>
      </w:r>
      <w:r>
        <w:rPr>
          <w:rFonts w:eastAsia="arial;helvetica;clean;sans-serif" w:ascii="IndUni-T" w:hAnsi="IndUni-T"/>
          <w:b w:val="false"/>
          <w:bCs w:val="false"/>
          <w:i w:val="false"/>
          <w:iCs w:val="false"/>
          <w:caps w:val="false"/>
          <w:smallCaps w:val="false"/>
          <w:color w:val="000000"/>
          <w:spacing w:val="0"/>
          <w:sz w:val="24"/>
          <w:szCs w:val="24"/>
        </w:rPr>
        <w:t xml:space="preserve">āgārjuna’s “Mountain Retreat”: </w:t>
      </w:r>
      <w:r>
        <w:rPr>
          <w:rFonts w:eastAsia="arial;helvetica;clean;sans-serif" w:ascii="IndUni-T" w:hAnsi="IndUni-T"/>
          <w:b w:val="false"/>
          <w:bCs w:val="false"/>
          <w:i/>
          <w:iCs/>
          <w:caps w:val="false"/>
          <w:smallCaps w:val="false"/>
          <w:color w:val="000000"/>
          <w:spacing w:val="0"/>
          <w:sz w:val="24"/>
          <w:szCs w:val="24"/>
        </w:rPr>
        <w:t>Bhramaragiri</w:t>
      </w:r>
      <w:r>
        <w:rPr>
          <w:rFonts w:eastAsia="arial;helvetica;clean;sans-serif" w:ascii="IndUni-T" w:hAnsi="IndUni-T"/>
          <w:b w:val="false"/>
          <w:bCs w:val="false"/>
          <w:i w:val="false"/>
          <w:iCs w:val="false"/>
          <w:caps w:val="false"/>
          <w:smallCaps w:val="false"/>
          <w:color w:val="000000"/>
          <w:spacing w:val="0"/>
          <w:sz w:val="24"/>
          <w:szCs w:val="24"/>
        </w:rPr>
        <w:t xml:space="preserve"> (Xuanzang) or</w:t>
      </w:r>
      <w:r>
        <w:rPr>
          <w:rFonts w:eastAsia="arial;helvetica;clean;sans-serif" w:ascii="IndUni-T" w:hAnsi="IndUni-T"/>
          <w:b w:val="false"/>
          <w:bCs w:val="false"/>
          <w:i/>
          <w:iCs/>
          <w:caps w:val="false"/>
          <w:smallCaps w:val="false"/>
          <w:color w:val="000000"/>
          <w:spacing w:val="0"/>
          <w:sz w:val="24"/>
          <w:szCs w:val="24"/>
        </w:rPr>
        <w:t xml:space="preserve"> Cakora</w:t>
      </w:r>
      <w:r>
        <w:rPr>
          <w:rFonts w:eastAsia="arial;helvetica;clean;sans-serif" w:ascii="IndUni-T" w:hAnsi="IndUni-T"/>
          <w:b w:val="false"/>
          <w:bCs w:val="false"/>
          <w:i w:val="false"/>
          <w:iCs w:val="false"/>
          <w:caps w:val="false"/>
          <w:smallCaps w:val="false"/>
          <w:color w:val="000000"/>
          <w:spacing w:val="0"/>
          <w:sz w:val="24"/>
          <w:szCs w:val="24"/>
        </w:rPr>
        <w:t xml:space="preserve"> (Faxian), not Śrīparvata (which is possibly the Nāgārjunakoṇḍa valley). “Black Mountain” could be Kṛṣṇagiri or the Nallamalai hills. </w:t>
      </w:r>
    </w:p>
    <w:p>
      <w:pPr>
        <w:pStyle w:val="Normal"/>
        <w:rPr>
          <w:i w:val="false"/>
          <w:i w:val="false"/>
          <w:iCs w:val="false"/>
          <w:caps w:val="false"/>
          <w:smallCaps w:val="false"/>
          <w:color w:val="000000"/>
          <w:spacing w:val="0"/>
        </w:rPr>
      </w:pPr>
      <w:r>
        <w:rPr>
          <w:rFonts w:eastAsia="IndUni-T" w:ascii="IndUni-T" w:hAnsi="IndUni-T"/>
          <w:b w:val="false"/>
          <w:bCs w:val="false"/>
          <w:sz w:val="24"/>
          <w:szCs w:val="24"/>
        </w:rPr>
      </w:r>
    </w:p>
    <w:p>
      <w:pPr>
        <w:pStyle w:val="Normal"/>
        <w:rPr>
          <w:rFonts w:ascii="IndUni-T" w:hAnsi="IndUni-T" w:eastAsia="IndUni-T"/>
          <w:b w:val="false"/>
          <w:b w:val="false"/>
          <w:bCs w:val="false"/>
          <w:sz w:val="24"/>
          <w:szCs w:val="24"/>
        </w:rPr>
      </w:pPr>
      <w:r>
        <w:rPr>
          <w:rFonts w:eastAsia="IndUni-T" w:ascii="IndUni-T" w:hAnsi="IndUni-T"/>
          <w:b w:val="false"/>
          <w:bCs w:val="false"/>
          <w:i w:val="false"/>
          <w:iCs w:val="false"/>
          <w:caps w:val="false"/>
          <w:smallCaps w:val="false"/>
          <w:color w:val="000000"/>
          <w:spacing w:val="0"/>
          <w:sz w:val="24"/>
          <w:szCs w:val="24"/>
        </w:rPr>
        <w:t>S</w:t>
      </w:r>
      <w:r>
        <w:rPr>
          <w:rFonts w:eastAsia="IndUni-T" w:ascii="IndUni-T" w:hAnsi="IndUni-T"/>
          <w:b w:val="false"/>
          <w:bCs w:val="false"/>
          <w:i w:val="false"/>
          <w:iCs w:val="false"/>
          <w:caps w:val="false"/>
          <w:smallCaps w:val="false"/>
          <w:color w:val="000000"/>
          <w:spacing w:val="0"/>
          <w:sz w:val="24"/>
          <w:szCs w:val="24"/>
        </w:rPr>
        <w:t xml:space="preserve">ircar, </w:t>
      </w:r>
      <w:r>
        <w:rPr>
          <w:rFonts w:eastAsia="IndUni-T" w:ascii="IndUni-T" w:hAnsi="IndUni-T"/>
          <w:b w:val="false"/>
          <w:bCs w:val="false"/>
          <w:i/>
          <w:iCs/>
          <w:caps w:val="false"/>
          <w:smallCaps w:val="false"/>
          <w:color w:val="000000"/>
          <w:spacing w:val="0"/>
          <w:sz w:val="24"/>
          <w:szCs w:val="24"/>
        </w:rPr>
        <w:t>Studies in the Geography of Ancient and Medieval India</w:t>
      </w:r>
      <w:r>
        <w:rPr>
          <w:rFonts w:eastAsia="IndUni-T" w:ascii="IndUni-T" w:hAnsi="IndUni-T"/>
          <w:b w:val="false"/>
          <w:bCs w:val="false"/>
          <w:i w:val="false"/>
          <w:iCs w:val="false"/>
          <w:caps w:val="false"/>
          <w:smallCaps w:val="false"/>
          <w:color w:val="000000"/>
          <w:spacing w:val="0"/>
          <w:sz w:val="24"/>
          <w:szCs w:val="24"/>
        </w:rPr>
        <w:t xml:space="preserve"> (p. 94): Bhramarāmbikā (Śrīśailam) constitutes the Southern Boundary of the Āndhra country.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IndUni-T">
    <w:charset w:val="01"/>
    <w:family w:val="auto"/>
    <w:pitch w:val="default"/>
  </w:font>
  <w:font w:name="OpenSymbol">
    <w:altName w:val="Arial Unicode MS"/>
    <w:charset w:val="01"/>
    <w:family w:val="auto"/>
    <w:pitch w:val="default"/>
  </w:font>
  <w:font w:name="Junicode">
    <w:charset w:val="01"/>
    <w:family w:val="auto"/>
    <w:pitch w:val="default"/>
  </w:font>
  <w:font w:name="IndUni-T">
    <w:charset w:val="01"/>
    <w:family w:val="auto"/>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IndUni-T" w:hAnsi="IndUni-T" w:eastAsia="Noto Sans CJK SC Regular" w:cs="Lohit Devanagari"/>
        <w:szCs w:val="24"/>
        <w:lang w:val="en-US" w:eastAsia="zh-CN" w:bidi="hi-IN"/>
      </w:rPr>
    </w:rPrDefault>
    <w:pPrDefault>
      <w:pPr/>
    </w:pPrDefault>
  </w:docDefaults>
  <w:style w:type="paragraph" w:styleId="Normal">
    <w:name w:val="Normal"/>
    <w:qFormat/>
    <w:pPr>
      <w:widowControl/>
      <w:bidi w:val="0"/>
      <w:jc w:val="left"/>
    </w:pPr>
    <w:rPr>
      <w:rFonts w:ascii="IndUni-T" w:hAnsi="IndUni-T" w:eastAsia="Noto Sans CJK SC Regular" w:cs="Lohit Devanagari"/>
      <w:color w:val="00000A"/>
      <w:sz w:val="24"/>
      <w:szCs w:val="24"/>
      <w:lang w:val="en-US" w:eastAsia="zh-CN" w:bidi="hi-IN"/>
    </w:rPr>
  </w:style>
  <w:style w:type="paragraph" w:styleId="Heading2">
    <w:name w:val="Heading 2"/>
    <w:basedOn w:val="Heading"/>
    <w:qFormat/>
    <w:pPr/>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IndUni-T" w:hAnsi="IndUni-T"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IndUni-T" w:hAnsi="IndUni-T" w:cs="Lohit Devanagari"/>
    </w:rPr>
  </w:style>
  <w:style w:type="paragraph" w:styleId="Caption">
    <w:name w:val="Caption"/>
    <w:basedOn w:val="Normal"/>
    <w:qFormat/>
    <w:pPr>
      <w:suppressLineNumbers/>
      <w:spacing w:before="120" w:after="120"/>
    </w:pPr>
    <w:rPr>
      <w:rFonts w:ascii="Junicode" w:hAnsi="Junicode" w:cs="Sanskrit 2003"/>
      <w:i/>
      <w:iCs/>
      <w:sz w:val="24"/>
      <w:szCs w:val="24"/>
    </w:rPr>
  </w:style>
  <w:style w:type="paragraph" w:styleId="Index">
    <w:name w:val="Index"/>
    <w:basedOn w:val="Normal"/>
    <w:qFormat/>
    <w:pPr>
      <w:suppressLineNumbers/>
    </w:pPr>
    <w:rPr>
      <w:rFonts w:ascii="IndUni-T" w:hAnsi="IndUni-T"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2923</TotalTime>
  <Application>LibreOffice/5.1.6.2$Linux_X86_64 LibreOffice_project/10m0$Build-2</Application>
  <Pages>4</Pages>
  <Words>1471</Words>
  <Characters>7176</Characters>
  <CharactersWithSpaces>8448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2017-08-16T12:39:09Z</dcterms:created>
  <dc:creator>Andrew Ollett</dc:creator>
  <dc:description/>
  <dc:language>hi-IN</dc:language>
  <cp:lastModifiedBy>Andrew Ollett</cp:lastModifiedBy>
  <dcterms:modified xsi:type="dcterms:W3CDTF">2017-08-23T10:31:52Z</dcterms:modified>
  <cp:revision>110</cp:revision>
  <dc:subject/>
  <dc:title/>
</cp:coreProperties>
</file>