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Acompañamiento entre pares y bienestar percibido en estudiantes de posgrado: un estudio piloto de fixture</w:t>
      </w:r>
    </w:p>
    <w:p>
      <w:r>
        <w:t>Ana Prueba Fixture, Beatriz Ejemplo Ficticia y Carlos Simulado Ficticio</w:t>
      </w:r>
    </w:p>
    <w:p>
      <w:r>
        <w:t>Programa de Fixtures Editoriales, Instituto Imaginario de Pruebas Taller, Ciudad de México, México</w:t>
      </w:r>
    </w:p>
    <w:p>
      <w:r>
        <w:t>ana.prueba@ejemplo.invalid</w:t>
      </w:r>
    </w:p>
    <w:p>
      <w:r>
        <w:t>ORCID: 0000-0001-2345-6789</w:t>
      </w:r>
    </w:p>
    <w:p>
      <w:r>
        <w:t>Tel.: +52 55 0001 0002</w:t>
      </w:r>
    </w:p>
    <w:p>
      <w:pPr>
        <w:pStyle w:val="Heading2"/>
      </w:pPr>
      <w:r>
        <w:t>Resumen</w:t>
      </w:r>
    </w:p>
    <w:p>
      <w:r>
        <w:t>Introducción. Este resumen forma parte de un archivo de prueba generado por taller/prueba_intake/generar_manuscrito_prueba.py y no describe un estudio real. Método. Se simuló un diseño descriptivo con datos ficticios de acompañamiento entre pares. Resultados. Los valores mostrados en la Tabla 1 son inventados con fines de prueba tipográfica. Conclusiones. El propósito único de este documento es ejercitar la extracción automatizada de taller/recibir_articulo.py.</w:t>
      </w:r>
    </w:p>
    <w:p>
      <w:r>
        <w:t>Palabras clave: Fixture de prueba, Extracción automatizada, Acompañamiento entre pares, Bienestar percibido, Datos ficticios</w:t>
      </w:r>
    </w:p>
    <w:p>
      <w:pPr>
        <w:pStyle w:val="Heading1"/>
      </w:pPr>
      <w:r>
        <w:t>Introducción</w:t>
      </w:r>
    </w:p>
    <w:p>
      <w:r>
        <w:t>Este texto de introducción es un relleno deliberado, escrito para ejercitar el receptor de manuscritos con acentos (á, é, í, ó, ú, ñ, Ñ, ü) y con formato de énfasis en línea.</w:t>
      </w:r>
    </w:p>
    <w:p>
      <w:r>
        <w:t xml:space="preserve">Esta oración combina </w:t>
      </w:r>
      <w:r>
        <w:rPr>
          <w:b/>
        </w:rPr>
        <w:t>una palabra en negrita</w:t>
      </w:r>
      <w:r>
        <w:t xml:space="preserve">, </w:t>
      </w:r>
      <w:r>
        <w:rPr>
          <w:i/>
        </w:rPr>
        <w:t>una palabra en cursiva</w:t>
      </w:r>
      <w:r>
        <w:t xml:space="preserve"> y texto sin formato, para verificar que run.bold/run.italic se traducen a \textbf{}/\textit{}.</w:t>
      </w:r>
    </w:p>
    <w:p>
      <w:pPr>
        <w:pStyle w:val="Heading1"/>
      </w:pPr>
      <w:r>
        <w:t>Método</w:t>
      </w:r>
    </w:p>
    <w:p>
      <w:pPr>
        <w:pStyle w:val="Heading2"/>
      </w:pPr>
      <w:r>
        <w:t>Participantes</w:t>
      </w:r>
    </w:p>
    <w:p>
      <w:r>
        <w:t>Participantes ficticios de un archivo de prueba: no representan personas reales ni datos clínicos.</w:t>
      </w:r>
    </w:p>
    <w:p>
      <w:pPr>
        <w:pStyle w:val="Heading2"/>
      </w:pPr>
      <w:r>
        <w:t>Procedimiento</w:t>
      </w:r>
    </w:p>
    <w:p>
      <w:r>
        <w:t>El procedimiento descrito aquí es inventado con el único fin de poblar la sección Método con dos subsecciones, tal como exige el fixture de regresión.</w:t>
      </w:r>
    </w:p>
    <w:p>
      <w:pPr>
        <w:pStyle w:val="Heading1"/>
      </w:pPr>
      <w:r>
        <w:t>Resultados</w:t>
      </w:r>
    </w:p>
    <w:p>
      <w:r>
        <w:t>La Tabla 1 resume valores ficticios organizados en cuatro columnas y cuatro filas, incluida la fila de encabezado.</w:t>
      </w:r>
    </w:p>
    <w:p>
      <w:r>
        <w:t>Tabla 1. Valores ficticios de prueba tipográfica, sin significado clínico.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n (ficticio)</w:t>
            </w:r>
          </w:p>
        </w:tc>
        <w:tc>
          <w:tcPr>
            <w:tcW w:type="dxa" w:w="2160"/>
          </w:tcPr>
          <w:p>
            <w:r>
              <w:t>Media (ficticia)</w:t>
            </w:r>
          </w:p>
        </w:tc>
        <w:tc>
          <w:tcPr>
            <w:tcW w:type="dxa" w:w="2160"/>
          </w:tcPr>
          <w:p>
            <w:r>
              <w:t>DE (ficticia)</w:t>
            </w:r>
          </w:p>
        </w:tc>
      </w:tr>
      <w:tr>
        <w:tc>
          <w:tcPr>
            <w:tcW w:type="dxa" w:w="2160"/>
          </w:tcPr>
          <w:p>
            <w:r>
              <w:t>Acompañamiento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3.7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>
      <w:r>
        <w:t>Tras la tabla, este párrafo continúa el cuerpo para confirmar que el receptor conserva el orden real de intercalado entre texto y tabla.</w:t>
      </w:r>
    </w:p>
    <w:p>
      <w:pPr>
        <w:pStyle w:val="Heading1"/>
      </w:pPr>
      <w:r>
        <w:t>Discusión</w:t>
      </w:r>
    </w:p>
    <w:p>
      <w:r>
        <w:t>Esta discusión ficticia sirve únicamente para ejercitar la extracción de un encabezado H1 más entre Resultados y Conclusiones.</w:t>
      </w:r>
    </w:p>
    <w:p>
      <w:pPr>
        <w:pStyle w:val="Heading1"/>
      </w:pPr>
      <w:r>
        <w:t>Conclusiones</w:t>
      </w:r>
    </w:p>
    <w:p>
      <w:r>
        <w:t>La Figura 1 ilustra un elemento gráfico incrustado en su posición real dentro del cuerpo del documento.</w:t>
      </w:r>
    </w:p>
    <w:p>
      <w:r>
        <w:t>Figura 1. Marca de prueba incluida únicamente para ejercitar el flotante de figura.</w:t>
      </w:r>
    </w:p>
    <w:p>
      <w:r>
        <w:drawing>
          <wp:inline xmlns:a="http://schemas.openxmlformats.org/drawingml/2006/main" xmlns:pic="http://schemas.openxmlformats.org/drawingml/2006/picture">
            <wp:extent cx="4206240" cy="233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prueb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3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Este párrafo final de las conclusiones confirma que el cuerpo continúa después de la figura sin perder texto.</w:t>
      </w:r>
    </w:p>
    <w:p>
      <w:r>
        <w:t>Conflicto de intereses: Los autores de este archivo de prueba declaran no tener conflicto de intereses; el contenido es ficticio y no corresponde a un estudio real.</w:t>
      </w:r>
    </w:p>
    <w:p>
      <w:pPr>
        <w:pStyle w:val="Heading1"/>
      </w:pPr>
      <w:r>
        <w:t>Referencias</w:t>
      </w:r>
    </w:p>
    <w:p>
      <w:r>
        <w:t>Prueba Fixture, A., &amp; Ejemplo Ficticia, B. (2026). Generación automatizada de artículos de prueba para talleres editoriales: un ejercicio de composición tipográfica. Revista Imaginaria de Pruebas de Taller, 1(1), 1–9. https://ejemplo.invalid/doi/10.9999/rapm.taller.000001</w:t>
      </w:r>
    </w:p>
    <w:p>
      <w:r>
        <w:t>Simulado Ficticio, C. (2025). Acompañamiento entre pares como constructo simulado: notas metodológicas de un fixture. Cuadernos Ficticios de Metodología, 4(2), 55–61. https://ejemplo.invalid/articulos/simulado-ficticio-2025-notas-metodologicas-fixture-taller</w:t>
      </w:r>
    </w:p>
    <w:p>
      <w:r>
        <w:t>Ejemplo Ficticia, B., Prueba Fixture, A., &amp; Datos Inventados, D. (2024). Diseño de datos ficticios con acentuación variada: íconos, diéresis y eñes en referencias bibliográficas de prueba. Anales Simulados de Composición, 12(3), 300–318. https://ejemplo.invalid/doi/10.9999/rapm.taller.000002</w:t>
      </w:r>
    </w:p>
    <w:p>
      <w:r>
        <w:t>Falso Autor, E. (2023). Notas sobre la extracción de tablas y figuras incrustadas en documentos .docx: un memorando interno de prueba. Boletín Interno Ficticio, 7, 12–20.</w:t>
      </w:r>
    </w:p>
    <w:p>
      <w:r>
        <w:t>Ficticio Ñáñez, Í. (2022). Ñoñerías tipográficas: cómo probar acentos y eñes en un aparato bibliográfico simulado. Revista Inventada de Ortotipografía, 9(1), 44–50. https://ejemplo.invalid/doi/10.9999/rapm.taller.000003</w:t>
      </w:r>
    </w:p>
    <w:p>
      <w:r>
        <w:t>Comité Editorial Imaginario. (2026). Lineamientos internos (ficticios) para la recepción automatizada de manuscritos. Documento de trabajo no publicado del taller.</w:t>
      </w:r>
    </w:p>
    <w:p>
      <w:r>
        <w:t>Datos Inventados, D., &amp; Falso Autor, E. (2021). Un panorama simulado de veinte años de artículos de prueba en revistas imaginarias de habla hispana, con especial atención a la extensión de las URL. Serie Ficticia de Reportes Técnicos, 3, 1–5. https://ejemplo.invalid/reportes/panorama-simulado-veinte-anos-articulos-prueba-revistas-imaginarias-habla-hispana</w:t>
      </w:r>
    </w:p>
    <w:p>
      <w:r>
        <w:t>Organización Mundial Ficticia de Pruebas Editoriales. (2020). Recomendaciones (inventadas) para la composición tipográfica de manuscritos electrónicos. https://ejemplo.invalid/recomendaciones/2020</w:t>
      </w:r>
    </w:p>
    <w:p>
      <w:r>
        <w:t>Prueba Fixture, A. (2019). Diez años de fixtures: una revisión simulada no sistemática de archivos de prueba tipográfica. Revista Imaginaria de Pruebas de Taller, 3(4), 210–225. https://ejemplo.invalid/doi/10.9999/rapm.taller.000004</w:t>
      </w:r>
    </w:p>
    <w:p>
      <w:r>
        <w:t>Ejemplo Ficticia, B. (2018). El acento y la eñe en la composición LaTeX de pruebas automatizadas: álgebra, épica y ortografía simuladas. Cuadernos Ficticios de Metodología, 1(1), 1–3.</w:t>
      </w:r>
    </w:p>
    <w:p>
      <w:r>
        <w:t>Simulado Ficticio, C., &amp; Ficticio Ñáñez, Í. (2017). Comparación simulada entre dos flujos de composición tipográfica ficticios, con notas sobre desbordamiento de cajas. Anales Simulados de Composición, 5(2), 88–104. https://ejemplo.invalid/doi/10.9999/rapm.taller.000005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