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226B5" w14:textId="77777777" w:rsidR="007B52D5" w:rsidRDefault="007B52D5"/>
    <w:tbl>
      <w:tblPr>
        <w:tblpPr w:leftFromText="180" w:rightFromText="180" w:vertAnchor="page" w:horzAnchor="margin" w:tblpXSpec="center" w:tblpY="399"/>
        <w:tblW w:w="0" w:type="auto"/>
        <w:tblCellMar>
          <w:left w:w="0" w:type="dxa"/>
          <w:right w:w="0" w:type="dxa"/>
        </w:tblCellMar>
        <w:tblLook w:val="0600" w:firstRow="0" w:lastRow="0" w:firstColumn="0" w:lastColumn="0" w:noHBand="1" w:noVBand="1"/>
      </w:tblPr>
      <w:tblGrid>
        <w:gridCol w:w="9130"/>
      </w:tblGrid>
      <w:tr w:rsidR="007B52D5" w:rsidRPr="00B92CAF" w14:paraId="351D1EDC" w14:textId="77777777" w:rsidTr="007B52D5">
        <w:trPr>
          <w:trHeight w:val="895"/>
        </w:trPr>
        <w:tc>
          <w:tcPr>
            <w:tcW w:w="9130" w:type="dxa"/>
            <w:vAlign w:val="bottom"/>
          </w:tcPr>
          <w:p w14:paraId="0EF3AC13" w14:textId="77777777" w:rsidR="007B52D5" w:rsidRPr="00B92CAF" w:rsidRDefault="007B52D5" w:rsidP="00C767F0">
            <w:pPr>
              <w:pStyle w:val="Title"/>
              <w:shd w:val="clear" w:color="auto" w:fill="FFFFFF" w:themeFill="background1"/>
              <w:rPr>
                <w:rFonts w:ascii="Times New Roman" w:hAnsi="Times New Roman" w:cs="Times New Roman"/>
              </w:rPr>
            </w:pPr>
            <w:r>
              <w:rPr>
                <w:rFonts w:ascii="Times New Roman" w:hAnsi="Times New Roman" w:cs="Times New Roman"/>
              </w:rPr>
              <w:t>Abayomi Asokeji</w:t>
            </w:r>
          </w:p>
        </w:tc>
      </w:tr>
      <w:tr w:rsidR="007B52D5" w:rsidRPr="00102800" w14:paraId="5FAB2A53" w14:textId="77777777" w:rsidTr="007B52D5">
        <w:trPr>
          <w:trHeight w:val="930"/>
        </w:trPr>
        <w:tc>
          <w:tcPr>
            <w:tcW w:w="9130" w:type="dxa"/>
            <w:tcBorders>
              <w:top w:val="single" w:sz="4" w:space="0" w:color="auto"/>
            </w:tcBorders>
            <w:vAlign w:val="center"/>
          </w:tcPr>
          <w:p w14:paraId="39359C1D" w14:textId="77777777" w:rsidR="007B52D5" w:rsidRPr="00A10546" w:rsidRDefault="007B52D5" w:rsidP="00C767F0">
            <w:pPr>
              <w:jc w:val="center"/>
              <w:rPr>
                <w:b/>
                <w:bCs/>
                <w:sz w:val="24"/>
                <w:szCs w:val="24"/>
              </w:rPr>
            </w:pPr>
            <w:r w:rsidRPr="00A10546">
              <w:rPr>
                <w:b/>
                <w:bCs/>
                <w:sz w:val="24"/>
                <w:szCs w:val="24"/>
              </w:rPr>
              <w:t>SENIOR GRC AND IAM RISK LEAD WITH SECURITY OPERATIONS GOVERNANCE</w:t>
            </w:r>
          </w:p>
          <w:p w14:paraId="58B2D53B" w14:textId="77777777" w:rsidR="007B52D5" w:rsidRPr="00DF3C29" w:rsidRDefault="007B52D5" w:rsidP="00C767F0">
            <w:pPr>
              <w:shd w:val="clear" w:color="auto" w:fill="FFFFFF" w:themeFill="background1"/>
              <w:jc w:val="center"/>
              <w:rPr>
                <w:rFonts w:cstheme="minorHAnsi"/>
                <w:sz w:val="22"/>
                <w:szCs w:val="22"/>
              </w:rPr>
            </w:pPr>
            <w:r w:rsidRPr="00DF3C29">
              <w:rPr>
                <w:rFonts w:cstheme="minorHAnsi"/>
                <w:sz w:val="22"/>
                <w:szCs w:val="22"/>
              </w:rPr>
              <w:t xml:space="preserve">484-725-0585 | </w:t>
            </w:r>
            <w:hyperlink r:id="rId5" w:history="1">
              <w:r w:rsidRPr="00DF3C29">
                <w:rPr>
                  <w:rStyle w:val="Hyperlink"/>
                  <w:rFonts w:cstheme="minorHAnsi"/>
                  <w:sz w:val="22"/>
                  <w:szCs w:val="22"/>
                </w:rPr>
                <w:t>asokejia@gm</w:t>
              </w:r>
              <w:r w:rsidRPr="00DF3C29">
                <w:rPr>
                  <w:rStyle w:val="Hyperlink"/>
                  <w:rFonts w:cstheme="minorHAnsi"/>
                  <w:sz w:val="22"/>
                  <w:szCs w:val="22"/>
                </w:rPr>
                <w:t>a</w:t>
              </w:r>
              <w:r w:rsidRPr="00DF3C29">
                <w:rPr>
                  <w:rStyle w:val="Hyperlink"/>
                  <w:rFonts w:cstheme="minorHAnsi"/>
                  <w:sz w:val="22"/>
                  <w:szCs w:val="22"/>
                </w:rPr>
                <w:t>il.com</w:t>
              </w:r>
            </w:hyperlink>
            <w:r w:rsidRPr="00DF3C29">
              <w:rPr>
                <w:rFonts w:cstheme="minorHAnsi"/>
                <w:sz w:val="22"/>
                <w:szCs w:val="22"/>
              </w:rPr>
              <w:t xml:space="preserve"> | Hyattsville, MD | https://www.linkedin.com/in/aea100/</w:t>
            </w:r>
          </w:p>
        </w:tc>
      </w:tr>
    </w:tbl>
    <w:p w14:paraId="44838F97" w14:textId="77777777" w:rsidR="007B52D5" w:rsidRPr="002110AC" w:rsidRDefault="007B52D5" w:rsidP="007B52D5">
      <w:pPr>
        <w:jc w:val="center"/>
        <w:rPr>
          <w:rFonts w:ascii="Times New Roman" w:hAnsi="Times New Roman" w:cs="Times New Roman"/>
          <w:sz w:val="10"/>
          <w:szCs w:val="10"/>
        </w:rPr>
      </w:pPr>
    </w:p>
    <w:p w14:paraId="06285ABE" w14:textId="77777777" w:rsidR="007B52D5" w:rsidRDefault="007B52D5" w:rsidP="007B52D5">
      <w:pPr>
        <w:jc w:val="center"/>
        <w:rPr>
          <w:rFonts w:ascii="Times New Roman" w:hAnsi="Times New Roman" w:cs="Times New Roman"/>
          <w:sz w:val="24"/>
          <w:szCs w:val="24"/>
        </w:rPr>
      </w:pPr>
    </w:p>
    <w:p w14:paraId="552DD80E" w14:textId="77777777" w:rsidR="007B52D5" w:rsidRDefault="007B52D5" w:rsidP="007B52D5">
      <w:pPr>
        <w:jc w:val="center"/>
        <w:rPr>
          <w:rFonts w:ascii="Times New Roman" w:hAnsi="Times New Roman" w:cs="Times New Roman"/>
          <w:sz w:val="24"/>
          <w:szCs w:val="24"/>
        </w:rPr>
      </w:pPr>
    </w:p>
    <w:p w14:paraId="5AC6714B" w14:textId="0A393665" w:rsidR="007B52D5" w:rsidRDefault="007B52D5" w:rsidP="007B52D5">
      <w:pPr>
        <w:rPr>
          <w:rFonts w:ascii="Times New Roman" w:hAnsi="Times New Roman" w:cs="Times New Roman"/>
          <w:sz w:val="16"/>
          <w:szCs w:val="16"/>
        </w:rPr>
      </w:pPr>
    </w:p>
    <w:p w14:paraId="4FE87C8F" w14:textId="24FF58CF" w:rsidR="007B52D5" w:rsidRDefault="007B52D5" w:rsidP="007B52D5">
      <w:pPr>
        <w:rPr>
          <w:rFonts w:ascii="Times New Roman" w:hAnsi="Times New Roman" w:cs="Times New Roman"/>
          <w:sz w:val="16"/>
          <w:szCs w:val="16"/>
        </w:rPr>
      </w:pPr>
    </w:p>
    <w:p w14:paraId="72FED563" w14:textId="354D2F27" w:rsidR="007B52D5" w:rsidRDefault="007B52D5" w:rsidP="007B52D5">
      <w:pPr>
        <w:rPr>
          <w:rFonts w:ascii="Times New Roman" w:hAnsi="Times New Roman" w:cs="Times New Roman"/>
          <w:sz w:val="16"/>
          <w:szCs w:val="16"/>
        </w:rPr>
      </w:pPr>
    </w:p>
    <w:p w14:paraId="6D16AC21" w14:textId="77777777" w:rsidR="007B52D5" w:rsidRPr="00A629B6" w:rsidRDefault="007B52D5" w:rsidP="007B52D5">
      <w:pPr>
        <w:rPr>
          <w:rFonts w:ascii="Times New Roman" w:hAnsi="Times New Roman" w:cs="Times New Roman"/>
          <w:sz w:val="16"/>
          <w:szCs w:val="16"/>
        </w:rPr>
      </w:pPr>
    </w:p>
    <w:p w14:paraId="09F52CC8" w14:textId="77777777" w:rsidR="007B52D5" w:rsidRDefault="007B52D5" w:rsidP="007B52D5">
      <w:pPr>
        <w:jc w:val="center"/>
        <w:rPr>
          <w:rFonts w:ascii="Times New Roman" w:hAnsi="Times New Roman" w:cs="Times New Roman"/>
          <w:sz w:val="24"/>
          <w:szCs w:val="24"/>
        </w:rPr>
      </w:pPr>
      <w:r>
        <w:rPr>
          <w:rFonts w:ascii="Times New Roman" w:hAnsi="Times New Roman" w:cs="Times New Roman"/>
          <w:sz w:val="24"/>
          <w:szCs w:val="24"/>
        </w:rPr>
        <w:t xml:space="preserve">------------------------------------------------ </w:t>
      </w:r>
      <w:r w:rsidRPr="0047543C">
        <w:rPr>
          <w:rFonts w:ascii="Times New Roman" w:hAnsi="Times New Roman" w:cs="Times New Roman"/>
          <w:caps/>
          <w:sz w:val="24"/>
          <w:szCs w:val="24"/>
        </w:rPr>
        <w:t>Professional Summary</w:t>
      </w:r>
      <w:r>
        <w:rPr>
          <w:rFonts w:ascii="Times New Roman" w:hAnsi="Times New Roman" w:cs="Times New Roman"/>
          <w:sz w:val="24"/>
          <w:szCs w:val="24"/>
        </w:rPr>
        <w:t xml:space="preserve"> -----------------------------------------------</w:t>
      </w:r>
    </w:p>
    <w:p w14:paraId="1DC3A2AA" w14:textId="77777777" w:rsidR="007B52D5" w:rsidRDefault="007B52D5" w:rsidP="007B52D5">
      <w:pPr>
        <w:jc w:val="center"/>
      </w:pPr>
      <w:r>
        <w:t>Security, risk, and compliance professional with eight plus years supporting enterprise governance, risk, and control assurance. Depth in IAM and access governance, ITGC and SOX testing, vulnerability governance, and security operations oversight, including incident response coordination and evidence driven remediation. Known for building practical workflows in ServiceNow IRM, improving access controls, and partnering with stakeholders to close findings and reduce time to remediation.</w:t>
      </w:r>
    </w:p>
    <w:p w14:paraId="75441B76" w14:textId="77777777" w:rsidR="007B52D5" w:rsidRDefault="007B52D5" w:rsidP="007B52D5">
      <w:pPr>
        <w:jc w:val="center"/>
      </w:pPr>
    </w:p>
    <w:p w14:paraId="50DE778D" w14:textId="77777777" w:rsidR="007B52D5" w:rsidRPr="00A70BBC" w:rsidRDefault="007B52D5" w:rsidP="007B52D5">
      <w:pPr>
        <w:jc w:val="center"/>
        <w:rPr>
          <w:rFonts w:ascii="Times New Roman" w:hAnsi="Times New Roman" w:cs="Times New Roman"/>
          <w:sz w:val="24"/>
          <w:szCs w:val="24"/>
        </w:rPr>
      </w:pP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caps/>
          <w:sz w:val="24"/>
          <w:szCs w:val="24"/>
        </w:rPr>
        <w:t>Core Skills --------</w:t>
      </w: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p>
    <w:p w14:paraId="019D3577" w14:textId="77777777" w:rsidR="007B52D5" w:rsidRPr="00A10546"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Governance, risk, and compliance: ITGC, SOX 404, control design and testing, audit readiness, policy and procedure development, risk assessments, issue management, remediation tracking</w:t>
      </w:r>
    </w:p>
    <w:p w14:paraId="0718D686" w14:textId="77777777" w:rsidR="007B52D5" w:rsidRPr="00A10546"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IAM and access governance: access reviews, privileged access reduction, role-based access and segregation of duties, joiner mover leaver controls, evidence standards, approvals, and attestation</w:t>
      </w:r>
    </w:p>
    <w:p w14:paraId="5EEA8050" w14:textId="77777777" w:rsidR="007B52D5" w:rsidRPr="00A10546"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Security operations credibility: vulnerability governance, prioritization and SLAs, incident response coordination, logging and monitoring requirements, control validation, security metrics reporting</w:t>
      </w:r>
    </w:p>
    <w:p w14:paraId="654953CA" w14:textId="77777777" w:rsidR="007B52D5" w:rsidRPr="00A10546"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Frameworks and standards: NIST 800 53, NIST 800 30, NIST CSF, ISO 27001, ISO 27005, HIPAA safeguards</w:t>
      </w:r>
    </w:p>
    <w:p w14:paraId="492062EB" w14:textId="77777777" w:rsidR="007B52D5"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Cloud security and cloud GRC: shared responsibility, controls mapping, evidence-based assurance, AWS, and Azure security services oversight</w:t>
      </w:r>
    </w:p>
    <w:p w14:paraId="7A7FB8D8" w14:textId="77777777" w:rsidR="007B52D5" w:rsidRDefault="007B52D5" w:rsidP="007B52D5">
      <w:pPr>
        <w:spacing w:line="240" w:lineRule="auto"/>
        <w:ind w:right="144"/>
        <w:rPr>
          <w:rFonts w:eastAsia="Arial" w:cstheme="minorHAnsi"/>
          <w:color w:val="404040"/>
          <w:sz w:val="22"/>
          <w:szCs w:val="22"/>
        </w:rPr>
      </w:pPr>
    </w:p>
    <w:p w14:paraId="10E330C1" w14:textId="77777777" w:rsidR="007B52D5" w:rsidRDefault="007B52D5" w:rsidP="007B52D5">
      <w:pPr>
        <w:jc w:val="center"/>
        <w:rPr>
          <w:rFonts w:ascii="Times New Roman" w:hAnsi="Times New Roman" w:cs="Times New Roman"/>
          <w:sz w:val="24"/>
          <w:szCs w:val="24"/>
        </w:rPr>
      </w:pP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caps/>
          <w:sz w:val="24"/>
          <w:szCs w:val="24"/>
        </w:rPr>
        <w:t>ToolS and Platform -----</w:t>
      </w: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p>
    <w:p w14:paraId="76D2205F" w14:textId="77777777" w:rsidR="007B52D5" w:rsidRPr="00A10546"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 xml:space="preserve">ServiceNow IRM, </w:t>
      </w:r>
      <w:proofErr w:type="spellStart"/>
      <w:r w:rsidRPr="00A10546">
        <w:rPr>
          <w:rFonts w:eastAsia="Arial" w:cstheme="minorHAnsi"/>
          <w:color w:val="404040"/>
          <w:sz w:val="22"/>
          <w:szCs w:val="22"/>
        </w:rPr>
        <w:t>AuditBoard</w:t>
      </w:r>
      <w:proofErr w:type="spellEnd"/>
      <w:r w:rsidRPr="00A10546">
        <w:rPr>
          <w:rFonts w:eastAsia="Arial" w:cstheme="minorHAnsi"/>
          <w:color w:val="404040"/>
          <w:sz w:val="22"/>
          <w:szCs w:val="22"/>
        </w:rPr>
        <w:t>, Archer, Jira, Confluence, Power BI</w:t>
      </w:r>
    </w:p>
    <w:p w14:paraId="7630C88E" w14:textId="77777777" w:rsidR="007B52D5" w:rsidRPr="00A10546"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Microsoft Sentinel, Splunk, Microsoft Defender for Endpoint, CrowdStrike</w:t>
      </w:r>
    </w:p>
    <w:p w14:paraId="488AED17" w14:textId="77777777" w:rsidR="007B52D5" w:rsidRPr="00A10546"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 xml:space="preserve">Okta, Azure AD, AWS IAM, Security Hub, </w:t>
      </w:r>
      <w:proofErr w:type="spellStart"/>
      <w:r w:rsidRPr="00A10546">
        <w:rPr>
          <w:rFonts w:eastAsia="Arial" w:cstheme="minorHAnsi"/>
          <w:color w:val="404040"/>
          <w:sz w:val="22"/>
          <w:szCs w:val="22"/>
        </w:rPr>
        <w:t>GuardDuty</w:t>
      </w:r>
      <w:proofErr w:type="spellEnd"/>
      <w:r w:rsidRPr="00A10546">
        <w:rPr>
          <w:rFonts w:eastAsia="Arial" w:cstheme="minorHAnsi"/>
          <w:color w:val="404040"/>
          <w:sz w:val="22"/>
          <w:szCs w:val="22"/>
        </w:rPr>
        <w:t>, KMS</w:t>
      </w:r>
    </w:p>
    <w:p w14:paraId="14B66ECA" w14:textId="77777777" w:rsidR="007B52D5" w:rsidRPr="00A10546" w:rsidRDefault="007B52D5" w:rsidP="007B52D5">
      <w:pPr>
        <w:spacing w:line="240" w:lineRule="auto"/>
        <w:ind w:right="144"/>
        <w:rPr>
          <w:rFonts w:eastAsia="Arial" w:cstheme="minorHAnsi"/>
          <w:color w:val="404040"/>
          <w:sz w:val="22"/>
          <w:szCs w:val="22"/>
        </w:rPr>
      </w:pPr>
      <w:r w:rsidRPr="00DF3C29">
        <w:rPr>
          <w:rFonts w:eastAsia="Arial" w:cstheme="minorHAnsi"/>
          <w:color w:val="404040"/>
          <w:sz w:val="22"/>
          <w:szCs w:val="22"/>
        </w:rPr>
        <w:t xml:space="preserve">• </w:t>
      </w:r>
      <w:r w:rsidRPr="00A10546">
        <w:rPr>
          <w:rFonts w:eastAsia="Arial" w:cstheme="minorHAnsi"/>
          <w:color w:val="404040"/>
          <w:sz w:val="22"/>
          <w:szCs w:val="22"/>
        </w:rPr>
        <w:t>SQL, reporting and evidence management</w:t>
      </w:r>
    </w:p>
    <w:p w14:paraId="35C4F048" w14:textId="77777777" w:rsidR="007B52D5" w:rsidRPr="00A70BBC" w:rsidRDefault="007B52D5" w:rsidP="007B52D5">
      <w:pPr>
        <w:jc w:val="center"/>
        <w:rPr>
          <w:rFonts w:ascii="Times New Roman" w:hAnsi="Times New Roman" w:cs="Times New Roman"/>
          <w:sz w:val="24"/>
          <w:szCs w:val="24"/>
        </w:rPr>
      </w:pP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caps/>
          <w:sz w:val="24"/>
          <w:szCs w:val="24"/>
        </w:rPr>
        <w:t>Education ----------</w:t>
      </w:r>
      <w:r w:rsidRPr="00A70BBC">
        <w:rPr>
          <w:rFonts w:ascii="Times New Roman" w:hAnsi="Times New Roman" w:cs="Times New Roman"/>
          <w:sz w:val="24"/>
          <w:szCs w:val="24"/>
        </w:rPr>
        <w:t>-----</w:t>
      </w:r>
      <w:r>
        <w:rPr>
          <w:rFonts w:ascii="Times New Roman" w:hAnsi="Times New Roman" w:cs="Times New Roman"/>
          <w:sz w:val="24"/>
          <w:szCs w:val="24"/>
        </w:rPr>
        <w:t>---</w:t>
      </w:r>
      <w:r w:rsidRPr="00A70BBC">
        <w:rPr>
          <w:rFonts w:ascii="Times New Roman" w:hAnsi="Times New Roman" w:cs="Times New Roman"/>
          <w:sz w:val="24"/>
          <w:szCs w:val="24"/>
        </w:rPr>
        <w:t>------------------------------------------</w:t>
      </w:r>
    </w:p>
    <w:p w14:paraId="5F42DD23" w14:textId="77777777" w:rsidR="007B52D5" w:rsidRDefault="007B52D5" w:rsidP="007B52D5">
      <w:r w:rsidRPr="00DF3C29">
        <w:rPr>
          <w:rFonts w:cstheme="minorHAnsi"/>
          <w:b/>
          <w:bCs/>
          <w:sz w:val="22"/>
          <w:szCs w:val="22"/>
        </w:rPr>
        <w:t xml:space="preserve">Certifications: </w:t>
      </w:r>
      <w:r w:rsidRPr="00DF3C29">
        <w:rPr>
          <w:rFonts w:cstheme="minorHAnsi"/>
          <w:b/>
          <w:bCs/>
          <w:color w:val="404040"/>
          <w:sz w:val="22"/>
          <w:szCs w:val="22"/>
        </w:rPr>
        <w:t>PMP| CISA| CompTIA Security+| CISM</w:t>
      </w:r>
      <w:r>
        <w:rPr>
          <w:rFonts w:cstheme="minorHAnsi"/>
          <w:b/>
          <w:bCs/>
          <w:color w:val="404040"/>
          <w:sz w:val="22"/>
          <w:szCs w:val="22"/>
        </w:rPr>
        <w:t xml:space="preserve">| CRISC| CCSP| </w:t>
      </w:r>
      <w:r w:rsidRPr="00A10546">
        <w:rPr>
          <w:b/>
          <w:bCs/>
        </w:rPr>
        <w:t>Microsoft SC 300| GIAC GCIH| AWS Certified Security Specialty| Microsoft AZ 500| ISO 27001 Lead Implementer</w:t>
      </w:r>
    </w:p>
    <w:p w14:paraId="232A5F88" w14:textId="77777777" w:rsidR="007B52D5" w:rsidRPr="00DF3C29" w:rsidRDefault="007B52D5" w:rsidP="007B52D5">
      <w:pPr>
        <w:spacing w:line="240" w:lineRule="auto"/>
        <w:ind w:right="144"/>
        <w:rPr>
          <w:rFonts w:cstheme="minorHAnsi"/>
          <w:color w:val="404040"/>
          <w:sz w:val="22"/>
          <w:szCs w:val="22"/>
        </w:rPr>
      </w:pPr>
    </w:p>
    <w:p w14:paraId="2B9FB9C0" w14:textId="77777777" w:rsidR="007B52D5" w:rsidRPr="00DF3C29" w:rsidRDefault="007B52D5" w:rsidP="007B52D5">
      <w:pPr>
        <w:spacing w:line="240" w:lineRule="auto"/>
        <w:ind w:right="144"/>
        <w:rPr>
          <w:rFonts w:cstheme="minorHAnsi"/>
          <w:color w:val="404040"/>
          <w:sz w:val="22"/>
          <w:szCs w:val="22"/>
        </w:rPr>
      </w:pPr>
      <w:r w:rsidRPr="00DF3C29">
        <w:rPr>
          <w:rFonts w:eastAsia="Arial" w:cstheme="minorHAnsi"/>
          <w:b/>
          <w:color w:val="404040"/>
          <w:sz w:val="22"/>
          <w:szCs w:val="22"/>
        </w:rPr>
        <w:t>Master of Science (Information Systems)</w:t>
      </w:r>
      <w:r w:rsidRPr="00DF3C29">
        <w:rPr>
          <w:rFonts w:cstheme="minorHAnsi"/>
          <w:color w:val="404040"/>
          <w:sz w:val="22"/>
          <w:szCs w:val="22"/>
        </w:rPr>
        <w:t xml:space="preserve"> from University of Maryland Global Campus 2025  </w:t>
      </w:r>
    </w:p>
    <w:p w14:paraId="29A5D052" w14:textId="77777777" w:rsidR="007B52D5" w:rsidRPr="00DF3C29" w:rsidRDefault="007B52D5" w:rsidP="007B52D5">
      <w:pPr>
        <w:spacing w:line="240" w:lineRule="auto"/>
        <w:ind w:right="144"/>
        <w:rPr>
          <w:rFonts w:cstheme="minorHAnsi"/>
          <w:color w:val="404040"/>
          <w:sz w:val="22"/>
          <w:szCs w:val="22"/>
        </w:rPr>
      </w:pPr>
      <w:r w:rsidRPr="00DF3C29">
        <w:rPr>
          <w:rFonts w:cstheme="minorHAnsi"/>
          <w:b/>
          <w:bCs/>
          <w:color w:val="404040"/>
          <w:sz w:val="22"/>
          <w:szCs w:val="22"/>
        </w:rPr>
        <w:t>Bachelor of Science</w:t>
      </w:r>
      <w:r w:rsidRPr="00DF3C29">
        <w:rPr>
          <w:rFonts w:cstheme="minorHAnsi"/>
          <w:color w:val="404040"/>
          <w:sz w:val="22"/>
          <w:szCs w:val="22"/>
        </w:rPr>
        <w:t xml:space="preserve"> from Rutgers University New Brunswick, NJ 2018  </w:t>
      </w:r>
    </w:p>
    <w:p w14:paraId="59359DE6" w14:textId="77777777" w:rsidR="007B52D5" w:rsidRDefault="007B52D5" w:rsidP="007B52D5">
      <w:pPr>
        <w:jc w:val="center"/>
        <w:rPr>
          <w:rFonts w:ascii="Times New Roman" w:hAnsi="Times New Roman" w:cs="Times New Roman"/>
          <w:sz w:val="24"/>
          <w:szCs w:val="24"/>
        </w:rPr>
      </w:pPr>
      <w:r>
        <w:rPr>
          <w:rFonts w:ascii="Times New Roman" w:hAnsi="Times New Roman" w:cs="Times New Roman"/>
          <w:sz w:val="22"/>
          <w:szCs w:val="22"/>
        </w:rPr>
        <w:t>-------</w:t>
      </w:r>
      <w:r w:rsidRPr="00DF3C29">
        <w:rPr>
          <w:rFonts w:ascii="Times New Roman" w:hAnsi="Times New Roman" w:cs="Times New Roman"/>
          <w:sz w:val="22"/>
          <w:szCs w:val="22"/>
        </w:rPr>
        <w:t xml:space="preserve">---------------------------------------------- </w:t>
      </w:r>
      <w:r w:rsidRPr="00DF3C29">
        <w:rPr>
          <w:rFonts w:ascii="Times New Roman" w:hAnsi="Times New Roman" w:cs="Times New Roman"/>
          <w:caps/>
          <w:sz w:val="22"/>
          <w:szCs w:val="22"/>
        </w:rPr>
        <w:t>Professional Experience</w:t>
      </w:r>
      <w:r>
        <w:rPr>
          <w:rFonts w:ascii="Times New Roman" w:hAnsi="Times New Roman" w:cs="Times New Roman"/>
          <w:sz w:val="24"/>
          <w:szCs w:val="24"/>
        </w:rPr>
        <w:t xml:space="preserve"> ----------------------------------------------</w:t>
      </w:r>
    </w:p>
    <w:p w14:paraId="78F75EA9" w14:textId="77777777" w:rsidR="007B52D5" w:rsidRPr="00DF3C29" w:rsidRDefault="007B52D5" w:rsidP="007B52D5">
      <w:pPr>
        <w:spacing w:line="240" w:lineRule="auto"/>
        <w:ind w:right="144"/>
        <w:rPr>
          <w:rFonts w:eastAsia="Arial" w:cstheme="minorHAnsi"/>
          <w:b/>
          <w:color w:val="404040"/>
          <w:sz w:val="22"/>
          <w:szCs w:val="22"/>
          <w:highlight w:val="white"/>
        </w:rPr>
      </w:pPr>
      <w:r w:rsidRPr="00DF3C29">
        <w:rPr>
          <w:rFonts w:eastAsia="Arial" w:cstheme="minorHAnsi"/>
          <w:b/>
          <w:color w:val="404040"/>
          <w:sz w:val="22"/>
          <w:szCs w:val="22"/>
          <w:highlight w:val="white"/>
        </w:rPr>
        <w:t>Security analyst, Blue Cross Blue Shield | Remote (Virtual)</w:t>
      </w:r>
      <w:r>
        <w:rPr>
          <w:rFonts w:eastAsia="Arial" w:cstheme="minorHAnsi"/>
          <w:b/>
          <w:color w:val="404040"/>
          <w:sz w:val="22"/>
          <w:szCs w:val="22"/>
          <w:highlight w:val="white"/>
        </w:rPr>
        <w:t>.</w:t>
      </w:r>
      <w:r>
        <w:rPr>
          <w:rFonts w:eastAsia="Arial" w:cstheme="minorHAnsi"/>
          <w:b/>
          <w:color w:val="404040"/>
          <w:sz w:val="22"/>
          <w:szCs w:val="22"/>
          <w:highlight w:val="white"/>
        </w:rPr>
        <w:tab/>
      </w:r>
      <w:r w:rsidRPr="00DF3C29">
        <w:rPr>
          <w:rFonts w:eastAsia="Arial" w:cstheme="minorHAnsi"/>
          <w:b/>
          <w:color w:val="404040"/>
          <w:sz w:val="22"/>
          <w:szCs w:val="22"/>
          <w:highlight w:val="white"/>
        </w:rPr>
        <w:tab/>
      </w:r>
      <w:r w:rsidRPr="00DF3C29">
        <w:rPr>
          <w:rFonts w:eastAsia="Arial" w:cstheme="minorHAnsi"/>
          <w:b/>
          <w:color w:val="404040"/>
          <w:sz w:val="22"/>
          <w:szCs w:val="22"/>
          <w:highlight w:val="white"/>
        </w:rPr>
        <w:tab/>
      </w:r>
      <w:r w:rsidRPr="00DF3C29">
        <w:rPr>
          <w:rFonts w:eastAsia="Arial" w:cstheme="minorHAnsi"/>
          <w:b/>
          <w:color w:val="404040"/>
          <w:sz w:val="22"/>
          <w:szCs w:val="22"/>
          <w:highlight w:val="white"/>
        </w:rPr>
        <w:tab/>
        <w:t xml:space="preserve">     </w:t>
      </w:r>
      <w:r>
        <w:rPr>
          <w:rFonts w:eastAsia="Arial" w:cstheme="minorHAnsi"/>
          <w:b/>
          <w:color w:val="404040"/>
          <w:sz w:val="22"/>
          <w:szCs w:val="22"/>
          <w:highlight w:val="white"/>
        </w:rPr>
        <w:t xml:space="preserve">          </w:t>
      </w:r>
      <w:r w:rsidRPr="00DF3C29">
        <w:rPr>
          <w:rFonts w:eastAsia="Arial" w:cstheme="minorHAnsi"/>
          <w:b/>
          <w:color w:val="404040"/>
          <w:sz w:val="22"/>
          <w:szCs w:val="22"/>
          <w:highlight w:val="white"/>
        </w:rPr>
        <w:t xml:space="preserve">  Jun 2022</w:t>
      </w:r>
      <w:r w:rsidRPr="00DF3C29">
        <w:rPr>
          <w:rFonts w:eastAsia="Arial" w:cstheme="minorHAnsi"/>
          <w:b/>
          <w:color w:val="404040"/>
          <w:sz w:val="22"/>
          <w:szCs w:val="22"/>
        </w:rPr>
        <w:t xml:space="preserve"> – </w:t>
      </w:r>
      <w:r>
        <w:rPr>
          <w:rFonts w:eastAsia="Arial" w:cstheme="minorHAnsi"/>
          <w:b/>
          <w:color w:val="404040"/>
          <w:sz w:val="22"/>
          <w:szCs w:val="22"/>
        </w:rPr>
        <w:t>July</w:t>
      </w:r>
      <w:r w:rsidRPr="00DF3C29">
        <w:rPr>
          <w:rFonts w:eastAsia="Arial" w:cstheme="minorHAnsi"/>
          <w:b/>
          <w:color w:val="404040"/>
          <w:sz w:val="22"/>
          <w:szCs w:val="22"/>
        </w:rPr>
        <w:t xml:space="preserve"> 2025                                                                                </w:t>
      </w:r>
      <w:proofErr w:type="gramStart"/>
      <w:r w:rsidRPr="00DF3C29">
        <w:rPr>
          <w:rFonts w:eastAsia="Arial" w:cstheme="minorHAnsi"/>
          <w:b/>
          <w:color w:val="404040"/>
          <w:sz w:val="22"/>
          <w:szCs w:val="22"/>
        </w:rPr>
        <w:t xml:space="preserve">   (</w:t>
      </w:r>
      <w:proofErr w:type="gramEnd"/>
      <w:r w:rsidRPr="00DF3C29">
        <w:rPr>
          <w:rFonts w:eastAsia="Arial" w:cstheme="minorHAnsi"/>
          <w:b/>
          <w:color w:val="404040"/>
          <w:sz w:val="22"/>
          <w:szCs w:val="22"/>
        </w:rPr>
        <w:t xml:space="preserve">Contract-based) </w:t>
      </w:r>
      <w:r w:rsidRPr="00DF3C29">
        <w:rPr>
          <w:rFonts w:eastAsia="Arial" w:cstheme="minorHAnsi"/>
          <w:b/>
          <w:color w:val="404040"/>
          <w:sz w:val="22"/>
          <w:szCs w:val="22"/>
        </w:rPr>
        <w:tab/>
      </w:r>
      <w:r w:rsidRPr="00DF3C29">
        <w:rPr>
          <w:rFonts w:eastAsia="Arial" w:cstheme="minorHAnsi"/>
          <w:b/>
          <w:color w:val="404040"/>
          <w:sz w:val="22"/>
          <w:szCs w:val="22"/>
        </w:rPr>
        <w:tab/>
      </w:r>
      <w:r w:rsidRPr="00DF3C29">
        <w:rPr>
          <w:rFonts w:eastAsia="Arial" w:cstheme="minorHAnsi"/>
          <w:b/>
          <w:color w:val="404040"/>
          <w:sz w:val="22"/>
          <w:szCs w:val="22"/>
        </w:rPr>
        <w:tab/>
      </w:r>
      <w:r w:rsidRPr="00DF3C29">
        <w:rPr>
          <w:rFonts w:eastAsia="Arial" w:cstheme="minorHAnsi"/>
          <w:b/>
          <w:color w:val="404040"/>
          <w:sz w:val="22"/>
          <w:szCs w:val="22"/>
        </w:rPr>
        <w:tab/>
      </w:r>
      <w:r w:rsidRPr="00DF3C29">
        <w:rPr>
          <w:rFonts w:eastAsia="Arial" w:cstheme="minorHAnsi"/>
          <w:b/>
          <w:color w:val="404040"/>
          <w:sz w:val="22"/>
          <w:szCs w:val="22"/>
        </w:rPr>
        <w:tab/>
      </w:r>
      <w:r w:rsidRPr="00DF3C29">
        <w:rPr>
          <w:rFonts w:eastAsia="Arial" w:cstheme="minorHAnsi"/>
          <w:b/>
          <w:color w:val="404040"/>
          <w:sz w:val="22"/>
          <w:szCs w:val="22"/>
        </w:rPr>
        <w:tab/>
        <w:t xml:space="preserve">     </w:t>
      </w:r>
    </w:p>
    <w:p w14:paraId="44F77EFE" w14:textId="77777777" w:rsidR="007B52D5" w:rsidRPr="00A10546" w:rsidRDefault="007B52D5" w:rsidP="007B52D5">
      <w:pPr>
        <w:pStyle w:val="ListBullet"/>
        <w:numPr>
          <w:ilvl w:val="0"/>
          <w:numId w:val="0"/>
        </w:numPr>
        <w:spacing w:after="0"/>
        <w:rPr>
          <w:rFonts w:eastAsia="Arial" w:cstheme="minorHAnsi"/>
          <w:color w:val="404040"/>
          <w:sz w:val="22"/>
        </w:rPr>
      </w:pPr>
      <w:r w:rsidRPr="00DF3C29">
        <w:rPr>
          <w:rFonts w:eastAsia="Arial" w:cstheme="minorHAnsi"/>
          <w:color w:val="404040"/>
          <w:sz w:val="22"/>
        </w:rPr>
        <w:t xml:space="preserve">• </w:t>
      </w:r>
      <w:r w:rsidRPr="00A10546">
        <w:rPr>
          <w:rFonts w:eastAsia="Arial" w:cstheme="minorHAnsi"/>
          <w:color w:val="404040"/>
          <w:sz w:val="22"/>
        </w:rPr>
        <w:t>Led control testing across 28 HIPAA safeguards focused on access, audit logging, and evidence quality, improving compliance confidence and governance reporting</w:t>
      </w:r>
    </w:p>
    <w:p w14:paraId="65CFAB04" w14:textId="77777777" w:rsidR="007B52D5" w:rsidRPr="00A10546" w:rsidRDefault="007B52D5" w:rsidP="007B52D5">
      <w:pPr>
        <w:pStyle w:val="ListBullet"/>
        <w:numPr>
          <w:ilvl w:val="0"/>
          <w:numId w:val="0"/>
        </w:numPr>
        <w:spacing w:after="0"/>
      </w:pPr>
      <w:r w:rsidRPr="00A10546">
        <w:rPr>
          <w:rFonts w:eastAsia="Arial" w:cstheme="minorHAnsi"/>
          <w:color w:val="404040"/>
          <w:sz w:val="22"/>
        </w:rPr>
        <w:t>• Owned remediation coordination and evidence validation, lowering mean time to remediate from 45 days to 20 days through clearer requirements and follow up</w:t>
      </w:r>
    </w:p>
    <w:p w14:paraId="6AE0A300" w14:textId="77777777" w:rsidR="007B52D5" w:rsidRPr="00DF3C29" w:rsidRDefault="007B52D5" w:rsidP="007B52D5">
      <w:pPr>
        <w:spacing w:line="240" w:lineRule="auto"/>
        <w:ind w:right="144"/>
        <w:rPr>
          <w:rFonts w:eastAsia="Arial" w:cstheme="minorHAnsi"/>
          <w:b/>
          <w:color w:val="404040"/>
          <w:sz w:val="22"/>
          <w:szCs w:val="22"/>
        </w:rPr>
      </w:pPr>
      <w:r w:rsidRPr="00DF3C29">
        <w:rPr>
          <w:rFonts w:eastAsia="Arial" w:cstheme="minorHAnsi"/>
          <w:b/>
          <w:color w:val="404040"/>
          <w:sz w:val="22"/>
          <w:szCs w:val="22"/>
        </w:rPr>
        <w:t xml:space="preserve">Workday Security Analyst and ITGC Controls, </w:t>
      </w:r>
      <w:r w:rsidRPr="00DF3C29">
        <w:rPr>
          <w:rFonts w:eastAsia="Arial" w:cstheme="minorHAnsi"/>
          <w:b/>
          <w:color w:val="404040"/>
          <w:sz w:val="22"/>
          <w:szCs w:val="22"/>
          <w:highlight w:val="white"/>
        </w:rPr>
        <w:t xml:space="preserve">Amazon | Arlington, VA                                           </w:t>
      </w:r>
      <w:r>
        <w:rPr>
          <w:rFonts w:eastAsia="Arial" w:cstheme="minorHAnsi"/>
          <w:b/>
          <w:color w:val="404040"/>
          <w:sz w:val="22"/>
          <w:szCs w:val="22"/>
          <w:highlight w:val="white"/>
        </w:rPr>
        <w:t xml:space="preserve">      </w:t>
      </w:r>
      <w:r w:rsidRPr="00DF3C29">
        <w:rPr>
          <w:rFonts w:eastAsia="Arial" w:cstheme="minorHAnsi"/>
          <w:b/>
          <w:color w:val="404040"/>
          <w:sz w:val="22"/>
          <w:szCs w:val="22"/>
          <w:highlight w:val="white"/>
        </w:rPr>
        <w:t xml:space="preserve"> Jan 202</w:t>
      </w:r>
      <w:r w:rsidRPr="00DF3C29">
        <w:rPr>
          <w:rFonts w:eastAsia="Arial" w:cstheme="minorHAnsi"/>
          <w:b/>
          <w:color w:val="404040"/>
          <w:sz w:val="22"/>
          <w:szCs w:val="22"/>
        </w:rPr>
        <w:t xml:space="preserve">0 – Jun 2022                                                                        </w:t>
      </w:r>
      <w:proofErr w:type="gramStart"/>
      <w:r w:rsidRPr="00DF3C29">
        <w:rPr>
          <w:rFonts w:eastAsia="Arial" w:cstheme="minorHAnsi"/>
          <w:b/>
          <w:color w:val="404040"/>
          <w:sz w:val="22"/>
          <w:szCs w:val="22"/>
        </w:rPr>
        <w:t xml:space="preserve">   (</w:t>
      </w:r>
      <w:proofErr w:type="gramEnd"/>
      <w:r w:rsidRPr="00DF3C29">
        <w:rPr>
          <w:rFonts w:eastAsia="Arial" w:cstheme="minorHAnsi"/>
          <w:b/>
          <w:color w:val="404040"/>
          <w:sz w:val="22"/>
          <w:szCs w:val="22"/>
        </w:rPr>
        <w:t>Long Term Contract)</w:t>
      </w:r>
      <w:r w:rsidRPr="00DF3C29">
        <w:rPr>
          <w:rFonts w:eastAsia="Arial" w:cstheme="minorHAnsi"/>
          <w:b/>
          <w:color w:val="404040"/>
          <w:sz w:val="22"/>
          <w:szCs w:val="22"/>
        </w:rPr>
        <w:tab/>
      </w:r>
      <w:r w:rsidRPr="00DF3C29">
        <w:rPr>
          <w:rFonts w:eastAsia="Arial" w:cstheme="minorHAnsi"/>
          <w:b/>
          <w:color w:val="404040"/>
          <w:sz w:val="22"/>
          <w:szCs w:val="22"/>
        </w:rPr>
        <w:tab/>
      </w:r>
      <w:r w:rsidRPr="00DF3C29">
        <w:rPr>
          <w:rFonts w:eastAsia="Arial" w:cstheme="minorHAnsi"/>
          <w:b/>
          <w:color w:val="404040"/>
          <w:sz w:val="22"/>
          <w:szCs w:val="22"/>
        </w:rPr>
        <w:tab/>
      </w:r>
      <w:r w:rsidRPr="00DF3C29">
        <w:rPr>
          <w:rFonts w:eastAsia="Arial" w:cstheme="minorHAnsi"/>
          <w:b/>
          <w:color w:val="404040"/>
          <w:sz w:val="22"/>
          <w:szCs w:val="22"/>
        </w:rPr>
        <w:tab/>
      </w:r>
      <w:r w:rsidRPr="00DF3C29">
        <w:rPr>
          <w:rFonts w:eastAsia="Arial" w:cstheme="minorHAnsi"/>
          <w:b/>
          <w:color w:val="404040"/>
          <w:sz w:val="22"/>
          <w:szCs w:val="22"/>
        </w:rPr>
        <w:tab/>
      </w:r>
    </w:p>
    <w:p w14:paraId="46DA1C14"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Reduced privileged assignments by 32 percent and improved access approval first pass rate from 68 percent to 92 percent by tightening governance and review criteria</w:t>
      </w:r>
    </w:p>
    <w:p w14:paraId="38740674"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Designed access governance practices across Workday roles and ITGC evidence, partnering with stakeholders to resolve control gaps and sustain compliance</w:t>
      </w:r>
    </w:p>
    <w:p w14:paraId="56286C27" w14:textId="77777777" w:rsidR="007B52D5" w:rsidRPr="00DF3C29" w:rsidRDefault="007B52D5" w:rsidP="007B52D5">
      <w:pPr>
        <w:spacing w:line="240" w:lineRule="auto"/>
        <w:ind w:right="144"/>
        <w:rPr>
          <w:rFonts w:eastAsia="Arial" w:cstheme="minorHAnsi"/>
          <w:b/>
          <w:color w:val="404040"/>
          <w:sz w:val="22"/>
          <w:szCs w:val="22"/>
          <w:highlight w:val="white"/>
        </w:rPr>
      </w:pPr>
      <w:r w:rsidRPr="00DF3C29">
        <w:rPr>
          <w:rFonts w:eastAsia="Arial" w:cstheme="minorHAnsi"/>
          <w:b/>
          <w:color w:val="404040"/>
          <w:sz w:val="22"/>
          <w:szCs w:val="22"/>
        </w:rPr>
        <w:t xml:space="preserve">Project Manager and GRC Analyst, </w:t>
      </w:r>
      <w:r w:rsidRPr="00DF3C29">
        <w:rPr>
          <w:rFonts w:eastAsia="Arial" w:cstheme="minorHAnsi"/>
          <w:b/>
          <w:color w:val="404040"/>
          <w:sz w:val="22"/>
          <w:szCs w:val="22"/>
          <w:highlight w:val="white"/>
        </w:rPr>
        <w:t xml:space="preserve">Equitable | Jersey City, NJ </w:t>
      </w:r>
      <w:r w:rsidRPr="00DF3C29">
        <w:rPr>
          <w:rFonts w:eastAsia="Arial" w:cstheme="minorHAnsi"/>
          <w:b/>
          <w:color w:val="404040"/>
          <w:sz w:val="22"/>
          <w:szCs w:val="22"/>
        </w:rPr>
        <w:tab/>
      </w:r>
      <w:r w:rsidRPr="00DF3C29">
        <w:rPr>
          <w:rFonts w:eastAsia="Arial" w:cstheme="minorHAnsi"/>
          <w:b/>
          <w:color w:val="404040"/>
          <w:sz w:val="22"/>
          <w:szCs w:val="22"/>
        </w:rPr>
        <w:tab/>
      </w:r>
      <w:r w:rsidRPr="00DF3C29">
        <w:rPr>
          <w:rFonts w:eastAsia="Arial" w:cstheme="minorHAnsi"/>
          <w:b/>
          <w:color w:val="404040"/>
          <w:sz w:val="22"/>
          <w:szCs w:val="22"/>
        </w:rPr>
        <w:tab/>
        <w:t xml:space="preserve">          </w:t>
      </w:r>
      <w:r w:rsidRPr="00DF3C29">
        <w:rPr>
          <w:rFonts w:eastAsia="Arial" w:cstheme="minorHAnsi"/>
          <w:b/>
          <w:color w:val="404040"/>
          <w:sz w:val="22"/>
          <w:szCs w:val="22"/>
        </w:rPr>
        <w:tab/>
      </w:r>
      <w:r>
        <w:rPr>
          <w:rFonts w:eastAsia="Arial" w:cstheme="minorHAnsi"/>
          <w:b/>
          <w:color w:val="404040"/>
          <w:sz w:val="22"/>
          <w:szCs w:val="22"/>
        </w:rPr>
        <w:t xml:space="preserve">             </w:t>
      </w:r>
      <w:r w:rsidRPr="00DF3C29">
        <w:rPr>
          <w:rFonts w:eastAsia="Arial" w:cstheme="minorHAnsi"/>
          <w:b/>
          <w:color w:val="404040"/>
          <w:sz w:val="22"/>
          <w:szCs w:val="22"/>
        </w:rPr>
        <w:t xml:space="preserve">  Sept 2016 – Dec 2019                                                                              </w:t>
      </w:r>
      <w:proofErr w:type="gramStart"/>
      <w:r w:rsidRPr="00DF3C29">
        <w:rPr>
          <w:rFonts w:eastAsia="Arial" w:cstheme="minorHAnsi"/>
          <w:b/>
          <w:color w:val="404040"/>
          <w:sz w:val="22"/>
          <w:szCs w:val="22"/>
        </w:rPr>
        <w:t xml:space="preserve">   (</w:t>
      </w:r>
      <w:proofErr w:type="gramEnd"/>
      <w:r w:rsidRPr="00DF3C29">
        <w:rPr>
          <w:rFonts w:eastAsia="Arial" w:cstheme="minorHAnsi"/>
          <w:b/>
          <w:color w:val="404040"/>
          <w:sz w:val="22"/>
          <w:szCs w:val="22"/>
        </w:rPr>
        <w:t>3-year Contract)</w:t>
      </w:r>
      <w:r w:rsidRPr="00DF3C29">
        <w:rPr>
          <w:rFonts w:eastAsia="Arial" w:cstheme="minorHAnsi"/>
          <w:b/>
          <w:color w:val="404040"/>
          <w:sz w:val="22"/>
          <w:szCs w:val="22"/>
        </w:rPr>
        <w:tab/>
      </w:r>
      <w:r w:rsidRPr="00DF3C29">
        <w:rPr>
          <w:rFonts w:eastAsia="Arial" w:cstheme="minorHAnsi"/>
          <w:b/>
          <w:color w:val="404040"/>
          <w:sz w:val="22"/>
          <w:szCs w:val="22"/>
        </w:rPr>
        <w:tab/>
      </w:r>
    </w:p>
    <w:p w14:paraId="67C9F01A"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lastRenderedPageBreak/>
        <w:t>• Built issue and risk workflows in ServiceNow IRM, improving on time task completion to 86 percent and reducing average time to closure by 18 days</w:t>
      </w:r>
    </w:p>
    <w:p w14:paraId="490D10C7"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Owned SOX 404 and ITGC testing across 8 in scope applications and 90 samples, closing 12 issues before external testing and supporting audit readiness</w:t>
      </w:r>
    </w:p>
    <w:p w14:paraId="15497B63"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Delivered 20 weekly leadership status reports and verified remediation through retesting of 22 issues with 100 percent acceptance</w:t>
      </w:r>
    </w:p>
    <w:p w14:paraId="3F0F3751" w14:textId="77777777" w:rsidR="007B52D5" w:rsidRPr="00DF3C29" w:rsidRDefault="007B52D5" w:rsidP="007B52D5">
      <w:pPr>
        <w:spacing w:line="240" w:lineRule="auto"/>
        <w:ind w:right="144"/>
        <w:rPr>
          <w:rFonts w:eastAsia="Arial" w:cstheme="minorHAnsi"/>
          <w:b/>
          <w:color w:val="404040"/>
          <w:sz w:val="22"/>
          <w:szCs w:val="22"/>
        </w:rPr>
      </w:pPr>
      <w:r w:rsidRPr="00DF3C29">
        <w:rPr>
          <w:rFonts w:eastAsia="Arial" w:cstheme="minorHAnsi"/>
          <w:b/>
          <w:color w:val="404040"/>
          <w:sz w:val="22"/>
          <w:szCs w:val="22"/>
        </w:rPr>
        <w:t xml:space="preserve">Additional Experience: </w:t>
      </w:r>
    </w:p>
    <w:p w14:paraId="45C9FAAA"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Business systems analysis and program coordination across finance, operations, and technology teams, supporting governance, change delivery, and compliance alignment</w:t>
      </w:r>
    </w:p>
    <w:p w14:paraId="70A2163C" w14:textId="77777777" w:rsidR="007B52D5" w:rsidRPr="00A10546" w:rsidRDefault="007B52D5" w:rsidP="007B52D5">
      <w:r>
        <w:rPr>
          <w:rFonts w:ascii="Times New Roman" w:hAnsi="Times New Roman" w:cs="Times New Roman"/>
          <w:sz w:val="24"/>
          <w:szCs w:val="24"/>
        </w:rPr>
        <w:t xml:space="preserve">----------------------------------------------------------- </w:t>
      </w:r>
      <w:r w:rsidRPr="00A10546">
        <w:rPr>
          <w:rFonts w:ascii="Times New Roman" w:hAnsi="Times New Roman" w:cs="Times New Roman"/>
          <w:caps/>
          <w:sz w:val="24"/>
          <w:szCs w:val="24"/>
        </w:rPr>
        <w:t>Portfolio</w:t>
      </w:r>
      <w:r>
        <w:rPr>
          <w:rFonts w:ascii="Times New Roman" w:hAnsi="Times New Roman" w:cs="Times New Roman"/>
          <w:sz w:val="24"/>
          <w:szCs w:val="24"/>
        </w:rPr>
        <w:t>--------------------------------------------------------</w:t>
      </w:r>
    </w:p>
    <w:p w14:paraId="153BEAC5" w14:textId="77777777" w:rsidR="007B52D5" w:rsidRDefault="007B52D5" w:rsidP="007B52D5">
      <w:r>
        <w:t xml:space="preserve">Portfolio link: </w:t>
      </w:r>
      <w:hyperlink r:id="rId6" w:history="1">
        <w:r>
          <w:rPr>
            <w:rStyle w:val="Hyperlink"/>
          </w:rPr>
          <w:t>Abayomi Asokeji, a Senior GRC and IAM Risk Lead with Security Governance expertise</w:t>
        </w:r>
      </w:hyperlink>
    </w:p>
    <w:p w14:paraId="36AA3B7E" w14:textId="77777777" w:rsidR="007B52D5" w:rsidRDefault="007B52D5" w:rsidP="007B52D5"/>
    <w:p w14:paraId="3BB925E4"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Controls matrix example aligned to NIST or ISO, with evidence requirements</w:t>
      </w:r>
    </w:p>
    <w:p w14:paraId="48EF82DB"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Risk register template and scoring rubric, including issue management workflow</w:t>
      </w:r>
    </w:p>
    <w:p w14:paraId="277BDC09"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Sample vulnerability governance dashboard screenshots and KPI definitions</w:t>
      </w:r>
    </w:p>
    <w:p w14:paraId="55B4FBE4" w14:textId="77777777" w:rsidR="007B52D5" w:rsidRPr="00A10546" w:rsidRDefault="007B52D5" w:rsidP="007B52D5">
      <w:pPr>
        <w:pStyle w:val="ListBullet"/>
        <w:numPr>
          <w:ilvl w:val="0"/>
          <w:numId w:val="0"/>
        </w:numPr>
        <w:spacing w:after="0"/>
        <w:rPr>
          <w:rFonts w:eastAsia="Arial" w:cstheme="minorHAnsi"/>
          <w:color w:val="404040"/>
          <w:sz w:val="22"/>
        </w:rPr>
      </w:pPr>
      <w:r w:rsidRPr="00A10546">
        <w:rPr>
          <w:rFonts w:eastAsia="Arial" w:cstheme="minorHAnsi"/>
          <w:color w:val="404040"/>
          <w:sz w:val="22"/>
        </w:rPr>
        <w:t>• Sample incident response plan outline and lessons learned template</w:t>
      </w:r>
    </w:p>
    <w:p w14:paraId="1B3043A1" w14:textId="77777777" w:rsidR="007B52D5" w:rsidRPr="00B8288C" w:rsidRDefault="007B52D5" w:rsidP="007B52D5">
      <w:pPr>
        <w:spacing w:line="240" w:lineRule="auto"/>
        <w:ind w:left="360" w:right="144"/>
        <w:jc w:val="both"/>
        <w:rPr>
          <w:rFonts w:eastAsia="Arial" w:cstheme="minorHAnsi"/>
          <w:color w:val="404040"/>
          <w:sz w:val="18"/>
        </w:rPr>
      </w:pPr>
    </w:p>
    <w:p w14:paraId="259F3D40" w14:textId="77777777" w:rsidR="007B52D5" w:rsidRPr="00DF3C29" w:rsidRDefault="007B52D5" w:rsidP="007B52D5">
      <w:pPr>
        <w:pStyle w:val="NormalWeb"/>
        <w:rPr>
          <w:color w:val="FFFFFF" w:themeColor="background1"/>
        </w:rPr>
      </w:pPr>
      <w:r w:rsidRPr="00DF3C29">
        <w:rPr>
          <w:color w:val="FFFFFF" w:themeColor="background1"/>
        </w:rPr>
        <w:t>NIST 800 53 | NIST 800 30 | NIST CSF | ISO 27001 | ISO 270</w:t>
      </w:r>
    </w:p>
    <w:p w14:paraId="68FD77D8" w14:textId="77777777" w:rsidR="007B52D5" w:rsidRPr="00DF3C29" w:rsidRDefault="007B52D5" w:rsidP="007B52D5">
      <w:pPr>
        <w:rPr>
          <w:color w:val="FFFFFF" w:themeColor="background1"/>
        </w:rPr>
      </w:pPr>
    </w:p>
    <w:p w14:paraId="723613B2" w14:textId="77777777" w:rsidR="00AB2189" w:rsidRDefault="00000000"/>
    <w:sectPr w:rsidR="00AB21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F92E630"/>
    <w:lvl w:ilvl="0">
      <w:start w:val="1"/>
      <w:numFmt w:val="bullet"/>
      <w:pStyle w:val="ListBullet"/>
      <w:lvlText w:val=""/>
      <w:lvlJc w:val="left"/>
      <w:pPr>
        <w:tabs>
          <w:tab w:val="num" w:pos="360"/>
        </w:tabs>
        <w:ind w:left="360" w:hanging="360"/>
      </w:pPr>
      <w:rPr>
        <w:rFonts w:ascii="Symbol" w:hAnsi="Symbol" w:hint="default"/>
      </w:rPr>
    </w:lvl>
  </w:abstractNum>
  <w:num w:numId="1" w16cid:durableId="188772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2D5"/>
    <w:rsid w:val="007B52D5"/>
    <w:rsid w:val="00C335A2"/>
    <w:rsid w:val="00CA0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6A9FAC"/>
  <w14:defaultImageDpi w14:val="32767"/>
  <w15:chartTrackingRefBased/>
  <w15:docId w15:val="{0572F1B1-B845-7343-8373-F9C45E83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B52D5"/>
    <w:pPr>
      <w:spacing w:line="288" w:lineRule="auto"/>
    </w:pPr>
    <w:rPr>
      <w:color w:val="000000" w:themeColor="text1"/>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rsid w:val="007B52D5"/>
    <w:rPr>
      <w:color w:val="0563C1" w:themeColor="hyperlink"/>
      <w:u w:val="single"/>
    </w:rPr>
  </w:style>
  <w:style w:type="paragraph" w:styleId="Title">
    <w:name w:val="Title"/>
    <w:basedOn w:val="Normal"/>
    <w:next w:val="Normal"/>
    <w:link w:val="TitleChar"/>
    <w:uiPriority w:val="10"/>
    <w:qFormat/>
    <w:rsid w:val="007B52D5"/>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7B52D5"/>
    <w:rPr>
      <w:rFonts w:asciiTheme="majorHAnsi" w:eastAsiaTheme="majorEastAsia" w:hAnsiTheme="majorHAnsi" w:cs="Times New Roman (Headings CS)"/>
      <w:caps/>
      <w:color w:val="000000" w:themeColor="text1"/>
      <w:spacing w:val="90"/>
      <w:kern w:val="28"/>
      <w:sz w:val="60"/>
      <w:szCs w:val="56"/>
    </w:rPr>
  </w:style>
  <w:style w:type="paragraph" w:styleId="NormalWeb">
    <w:name w:val="Normal (Web)"/>
    <w:basedOn w:val="Normal"/>
    <w:uiPriority w:val="99"/>
    <w:unhideWhenUsed/>
    <w:rsid w:val="007B52D5"/>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Bullet">
    <w:name w:val="List Bullet"/>
    <w:basedOn w:val="Normal"/>
    <w:uiPriority w:val="99"/>
    <w:unhideWhenUsed/>
    <w:rsid w:val="007B52D5"/>
    <w:pPr>
      <w:numPr>
        <w:numId w:val="1"/>
      </w:numPr>
      <w:spacing w:after="200" w:line="276" w:lineRule="auto"/>
      <w:contextualSpacing/>
    </w:pPr>
    <w:rPr>
      <w:rFonts w:ascii="Calibri" w:eastAsia="Calibri" w:hAnsi="Calibri"/>
      <w:color w:val="auto"/>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erprise-security-governance-and-acce.webflow.io/" TargetMode="External"/><Relationship Id="rId5" Type="http://schemas.openxmlformats.org/officeDocument/2006/relationships/hyperlink" Target="mailto:asokeji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Abayomi Asokeji</dc:creator>
  <cp:keywords/>
  <dc:description/>
  <cp:lastModifiedBy>Abayomi Asokeji</cp:lastModifiedBy>
  <cp:revision>1</cp:revision>
  <dcterms:created xsi:type="dcterms:W3CDTF">2025-12-17T07:48:00Z</dcterms:created>
  <dcterms:modified xsi:type="dcterms:W3CDTF">2025-12-17T07:48:00Z</dcterms:modified>
</cp:coreProperties>
</file>