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_rels/footer3.xml.rels" ContentType="application/vnd.openxmlformats-package.relationships+xml"/>
  <Override PartName="/word/_rels/comments.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UNIVERSIDAD NACIONAL DE COLOMBIA – SEDE PALMIRA</w:t>
      </w:r>
    </w:p>
    <w:p>
      <w:pPr>
        <w:pStyle w:val="Normal"/>
        <w:jc w:val="center"/>
        <w:rPr>
          <w:rFonts w:ascii="Times New Roman" w:hAnsi="Times New Roman" w:cs="Times New Roman"/>
          <w:b/>
          <w:bCs/>
          <w:sz w:val="24"/>
          <w:lang w:val="es-CO"/>
        </w:rPr>
      </w:pPr>
      <w:r>
        <w:rPr/>
        <w:commentReference w:id="0"/>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PROPUESTA DE DOCTORADO EN ESTUDIOS AMBIENTALES</w:t>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lang w:val="es-CO"/>
        </w:rPr>
      </w:pPr>
      <w:commentRangeStart w:id="1"/>
      <w:r>
        <w:rPr>
          <w:rFonts w:cs="Times New Roman" w:ascii="Times New Roman" w:hAnsi="Times New Roman"/>
          <w:b/>
          <w:bCs/>
          <w:sz w:val="24"/>
          <w:lang w:val="es-CO"/>
        </w:rPr>
        <w:t>MEDICIÓN, REPORTE Y VALIDACIÓN DE VARIABLES AMBIENTALES Y GASES DE EFECTO INVERNADERO EN LA VALORIZACIÓN DE RESIDUOS USANDO MOSCA SOLDADO NEGRA A PARTIR DE INTERNET DE LAS COSAS E INTELIGENCIA ARTIFICIAL</w:t>
      </w:r>
      <w:commentRangeEnd w:id="1"/>
      <w:r>
        <w:commentReference w:id="1"/>
      </w: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 xml:space="preserve">ESTUDIANTE: </w:t>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 xml:space="preserve">JOHN JAIRO LEAL GÓMEZ </w:t>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 xml:space="preserve">DIRECTORES: </w:t>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 xml:space="preserve">Ph.D. LUIS OCTAVIO GONZÁLEZ SALCEDO </w:t>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Ph.D. DIEGO FELIPE CONEJO RODRIGUEZ</w:t>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r>
    </w:p>
    <w:p>
      <w:pPr>
        <w:pStyle w:val="Normal"/>
        <w:rPr>
          <w:rFonts w:ascii="Times New Roman" w:hAnsi="Times New Roman" w:cs="Times New Roman"/>
          <w:b/>
          <w:bCs/>
          <w:sz w:val="24"/>
          <w:lang w:val="es-CO"/>
        </w:rPr>
      </w:pPr>
      <w:r>
        <w:rPr>
          <w:rFonts w:cs="Times New Roman" w:ascii="Times New Roman" w:hAnsi="Times New Roman"/>
          <w:b/>
          <w:bCs/>
          <w:sz w:val="24"/>
          <w:lang w:val="es-CO"/>
        </w:rPr>
      </w:r>
    </w:p>
    <w:p>
      <w:pPr>
        <w:pStyle w:val="Normal"/>
        <w:rPr>
          <w:rFonts w:ascii="Times New Roman" w:hAnsi="Times New Roman" w:cs="Times New Roman"/>
          <w:b/>
          <w:bCs/>
          <w:sz w:val="24"/>
          <w:lang w:val="es-CO"/>
        </w:rPr>
      </w:pPr>
      <w:r>
        <w:rPr>
          <w:rFonts w:cs="Times New Roman" w:ascii="Times New Roman" w:hAnsi="Times New Roman"/>
          <w:b/>
          <w:bCs/>
          <w:sz w:val="24"/>
          <w:lang w:val="es-CO"/>
        </w:rPr>
      </w:r>
    </w:p>
    <w:p>
      <w:pPr>
        <w:pStyle w:val="Normal"/>
        <w:rPr>
          <w:rFonts w:ascii="Times New Roman" w:hAnsi="Times New Roman" w:cs="Times New Roman"/>
          <w:b/>
          <w:bCs/>
          <w:sz w:val="24"/>
          <w:lang w:val="es-CO"/>
        </w:rPr>
      </w:pPr>
      <w:r>
        <w:rPr>
          <w:rFonts w:cs="Times New Roman" w:ascii="Times New Roman" w:hAnsi="Times New Roman"/>
          <w:b/>
          <w:bCs/>
          <w:sz w:val="24"/>
          <w:lang w:val="es-CO"/>
        </w:rPr>
      </w:r>
    </w:p>
    <w:p>
      <w:pPr>
        <w:pStyle w:val="Normal"/>
        <w:jc w:val="center"/>
        <w:rPr>
          <w:rFonts w:ascii="Times New Roman" w:hAnsi="Times New Roman" w:cs="Times New Roman"/>
          <w:b/>
          <w:bCs/>
          <w:sz w:val="24"/>
          <w:lang w:val="es-CO"/>
        </w:rPr>
      </w:pPr>
      <w:r>
        <w:rPr>
          <w:rFonts w:cs="Times New Roman" w:ascii="Times New Roman" w:hAnsi="Times New Roman"/>
          <w:b/>
          <w:bCs/>
          <w:sz w:val="24"/>
          <w:lang w:val="es-CO"/>
        </w:rPr>
        <w:t>2025</w:t>
      </w:r>
    </w:p>
    <w:p>
      <w:pPr>
        <w:pStyle w:val="Normal"/>
        <w:rPr>
          <w:rFonts w:ascii="Times New Roman" w:hAnsi="Times New Roman" w:cs="Times New Roman"/>
          <w:b/>
          <w:bCs/>
          <w:sz w:val="24"/>
          <w:lang w:val="es-CO"/>
        </w:rPr>
      </w:pPr>
      <w:r>
        <w:rPr>
          <w:rFonts w:cs="Times New Roman" w:ascii="Times New Roman" w:hAnsi="Times New Roman"/>
          <w:b/>
          <w:bCs/>
          <w:sz w:val="24"/>
          <w:lang w:val="es-CO"/>
        </w:rPr>
      </w:r>
    </w:p>
    <w:p>
      <w:pPr>
        <w:pStyle w:val="Normal"/>
        <w:rPr>
          <w:rFonts w:ascii="Times New Roman" w:hAnsi="Times New Roman" w:cs="Times New Roman"/>
          <w:b/>
          <w:bCs/>
          <w:sz w:val="24"/>
          <w:lang w:val="es-CO"/>
        </w:rPr>
      </w:pPr>
      <w:r>
        <w:rPr/>
        <w:commentReference w:id="2"/>
      </w:r>
    </w:p>
    <w:p>
      <w:pPr>
        <w:pStyle w:val="Normal"/>
        <w:rPr>
          <w:rFonts w:ascii="Times New Roman" w:hAnsi="Times New Roman" w:cs="Times New Roman"/>
          <w:sz w:val="24"/>
          <w:lang w:val="es-CO"/>
        </w:rPr>
      </w:pPr>
      <w:r>
        <w:rPr>
          <w:rFonts w:cs="Times New Roman" w:ascii="Times New Roman" w:hAnsi="Times New Roman"/>
          <w:sz w:val="24"/>
          <w:lang w:val="es-CO"/>
        </w:rPr>
      </w:r>
    </w:p>
    <w:p>
      <w:pPr>
        <w:pStyle w:val="Normal"/>
        <w:ind w:start="360"/>
        <w:rPr>
          <w:rFonts w:ascii="Times New Roman" w:hAnsi="Times New Roman" w:cs="Times New Roman"/>
          <w:b/>
          <w:bCs/>
          <w:sz w:val="24"/>
          <w:lang w:val="es-CO"/>
        </w:rPr>
      </w:pPr>
      <w:commentRangeStart w:id="3"/>
      <w:r>
        <w:rPr>
          <w:rFonts w:cs="Times New Roman" w:ascii="Times New Roman" w:hAnsi="Times New Roman"/>
          <w:b/>
          <w:bCs/>
          <w:sz w:val="24"/>
          <w:lang w:val="es-CO"/>
        </w:rPr>
        <w:t>Foco de aplicación</w:t>
      </w:r>
    </w:p>
    <w:p>
      <w:pPr>
        <w:pStyle w:val="ListParagraph"/>
        <w:rPr>
          <w:rFonts w:ascii="Times New Roman" w:hAnsi="Times New Roman" w:cs="Times New Roman"/>
          <w:sz w:val="24"/>
          <w:lang w:val="es-CO"/>
        </w:rPr>
      </w:pPr>
      <w:r>
        <w:rPr>
          <w:rFonts w:cs="Times New Roman" w:ascii="Times New Roman" w:hAnsi="Times New Roman"/>
          <w:sz w:val="24"/>
          <w:lang w:val="es-CO"/>
        </w:rPr>
        <w:t>Monitoreo agrícola sostenible inteligente.</w:t>
      </w:r>
    </w:p>
    <w:p>
      <w:pPr>
        <w:pStyle w:val="Normal"/>
        <w:ind w:start="360"/>
        <w:rPr>
          <w:rFonts w:ascii="Times New Roman" w:hAnsi="Times New Roman" w:cs="Times New Roman"/>
          <w:b/>
          <w:bCs/>
          <w:sz w:val="24"/>
          <w:lang w:val="es-CO"/>
        </w:rPr>
      </w:pPr>
      <w:r>
        <w:rPr>
          <w:rFonts w:cs="Times New Roman" w:ascii="Times New Roman" w:hAnsi="Times New Roman"/>
          <w:b/>
          <w:bCs/>
          <w:sz w:val="24"/>
          <w:lang w:val="es-CO"/>
        </w:rPr>
        <w:t>Lugar de ejecución</w:t>
      </w:r>
    </w:p>
    <w:p>
      <w:pPr>
        <w:pStyle w:val="ListParagraph"/>
        <w:rPr>
          <w:rFonts w:ascii="Times New Roman" w:hAnsi="Times New Roman" w:cs="Times New Roman"/>
          <w:sz w:val="24"/>
          <w:lang w:val="es-CO"/>
        </w:rPr>
      </w:pPr>
      <w:r>
        <w:rPr>
          <w:rFonts w:cs="Times New Roman" w:ascii="Times New Roman" w:hAnsi="Times New Roman"/>
          <w:sz w:val="24"/>
          <w:lang w:val="es-CO"/>
        </w:rPr>
        <w:t xml:space="preserve">Palmira, Valle del Cauca </w:t>
      </w:r>
    </w:p>
    <w:p>
      <w:pPr>
        <w:pStyle w:val="Normal"/>
        <w:ind w:start="360"/>
        <w:rPr>
          <w:rFonts w:ascii="Times New Roman" w:hAnsi="Times New Roman" w:cs="Times New Roman"/>
          <w:b/>
          <w:bCs/>
          <w:sz w:val="24"/>
          <w:lang w:val="es-CO"/>
        </w:rPr>
      </w:pPr>
      <w:r>
        <w:rPr>
          <w:rFonts w:cs="Times New Roman" w:ascii="Times New Roman" w:hAnsi="Times New Roman"/>
          <w:b/>
          <w:bCs/>
          <w:sz w:val="24"/>
          <w:lang w:val="es-CO"/>
        </w:rPr>
        <w:t>Duración</w:t>
      </w:r>
    </w:p>
    <w:p>
      <w:pPr>
        <w:pStyle w:val="ListParagraph"/>
        <w:rPr>
          <w:rFonts w:ascii="Times New Roman" w:hAnsi="Times New Roman" w:cs="Times New Roman"/>
          <w:sz w:val="24"/>
          <w:lang w:val="es-CO"/>
        </w:rPr>
      </w:pPr>
      <w:r>
        <w:rPr>
          <w:rFonts w:cs="Times New Roman" w:ascii="Times New Roman" w:hAnsi="Times New Roman"/>
          <w:sz w:val="24"/>
          <w:lang w:val="es-CO"/>
        </w:rPr>
        <w:t>24 meses</w:t>
      </w:r>
    </w:p>
    <w:p>
      <w:pPr>
        <w:pStyle w:val="Normal"/>
        <w:ind w:start="360"/>
        <w:rPr>
          <w:rFonts w:ascii="Times New Roman" w:hAnsi="Times New Roman" w:cs="Times New Roman"/>
          <w:b/>
          <w:bCs/>
          <w:sz w:val="24"/>
          <w:lang w:val="es-CO"/>
        </w:rPr>
      </w:pPr>
      <w:r>
        <w:rPr>
          <w:rFonts w:cs="Times New Roman" w:ascii="Times New Roman" w:hAnsi="Times New Roman"/>
          <w:b/>
          <w:bCs/>
          <w:sz w:val="24"/>
          <w:lang w:val="es-CO"/>
        </w:rPr>
        <w:t>Responsable del Proyecto</w:t>
      </w:r>
    </w:p>
    <w:p>
      <w:pPr>
        <w:pStyle w:val="ListParagraph"/>
        <w:rPr>
          <w:rFonts w:ascii="Times New Roman" w:hAnsi="Times New Roman" w:cs="Times New Roman"/>
          <w:sz w:val="24"/>
          <w:lang w:val="es-CO"/>
        </w:rPr>
      </w:pPr>
      <w:r>
        <w:rPr>
          <w:rFonts w:cs="Times New Roman" w:ascii="Times New Roman" w:hAnsi="Times New Roman"/>
          <w:sz w:val="24"/>
          <w:lang w:val="es-CO"/>
        </w:rPr>
        <w:t>John Jairo Leal Gómez</w:t>
      </w:r>
    </w:p>
    <w:p>
      <w:pPr>
        <w:pStyle w:val="Normal"/>
        <w:rPr>
          <w:rFonts w:ascii="Times New Roman" w:hAnsi="Times New Roman" w:cs="Times New Roman"/>
          <w:b/>
          <w:bCs/>
          <w:sz w:val="24"/>
          <w:lang w:val="es-CO"/>
        </w:rPr>
      </w:pPr>
      <w:r>
        <w:rPr>
          <w:rFonts w:cs="Times New Roman" w:ascii="Times New Roman" w:hAnsi="Times New Roman"/>
          <w:b/>
          <w:bCs/>
          <w:sz w:val="24"/>
          <w:lang w:val="es-CO"/>
        </w:rPr>
      </w:r>
    </w:p>
    <w:p>
      <w:pPr>
        <w:pStyle w:val="Normal"/>
        <w:rPr>
          <w:rFonts w:ascii="Times New Roman" w:hAnsi="Times New Roman" w:cs="Times New Roman"/>
          <w:b/>
          <w:bCs/>
          <w:sz w:val="24"/>
          <w:lang w:val="es-CO"/>
        </w:rPr>
      </w:pPr>
      <w:r>
        <w:rPr>
          <w:rFonts w:cs="Times New Roman" w:ascii="Times New Roman" w:hAnsi="Times New Roman"/>
          <w:b/>
          <w:bCs/>
          <w:sz w:val="24"/>
          <w:lang w:val="es-CO"/>
        </w:rPr>
        <w:t xml:space="preserve">    </w:t>
      </w:r>
      <w:r>
        <w:rPr>
          <w:rFonts w:cs="Times New Roman" w:ascii="Times New Roman" w:hAnsi="Times New Roman"/>
          <w:b/>
          <w:bCs/>
          <w:sz w:val="24"/>
          <w:lang w:val="es-CO"/>
        </w:rPr>
        <w:t>Instituciones vinculadas</w:t>
      </w:r>
    </w:p>
    <w:p>
      <w:pPr>
        <w:pStyle w:val="Normal"/>
        <w:rPr>
          <w:rFonts w:ascii="Times New Roman" w:hAnsi="Times New Roman" w:cs="Times New Roman"/>
          <w:sz w:val="24"/>
          <w:lang w:val="es-CO"/>
        </w:rPr>
      </w:pPr>
      <w:r>
        <w:rPr>
          <w:rFonts w:cs="Times New Roman" w:ascii="Times New Roman" w:hAnsi="Times New Roman"/>
          <w:b/>
          <w:bCs/>
          <w:sz w:val="24"/>
          <w:lang w:val="es-CO"/>
        </w:rPr>
        <w:t xml:space="preserve">         </w:t>
      </w:r>
      <w:r>
        <w:rPr>
          <w:rFonts w:cs="Times New Roman" w:ascii="Times New Roman" w:hAnsi="Times New Roman"/>
          <w:sz w:val="24"/>
          <w:lang w:val="es-CO"/>
        </w:rPr>
        <w:t>Universidad Nacional de Colombia – Sede Palmira</w:t>
      </w:r>
    </w:p>
    <w:p>
      <w:pPr>
        <w:pStyle w:val="Normal"/>
        <w:rPr>
          <w:rFonts w:ascii="Times New Roman" w:hAnsi="Times New Roman" w:cs="Times New Roman"/>
          <w:sz w:val="24"/>
          <w:lang w:val="es-CO"/>
        </w:rPr>
      </w:pPr>
      <w:r>
        <w:rPr>
          <w:rFonts w:cs="Times New Roman" w:ascii="Times New Roman" w:hAnsi="Times New Roman"/>
          <w:sz w:val="24"/>
          <w:lang w:val="es-CO"/>
        </w:rPr>
        <w:t xml:space="preserve">         </w:t>
      </w:r>
      <w:r>
        <w:rPr>
          <w:rFonts w:cs="Times New Roman" w:ascii="Times New Roman" w:hAnsi="Times New Roman"/>
          <w:sz w:val="24"/>
          <w:lang w:val="es-CO"/>
        </w:rPr>
        <w:t xml:space="preserve">Alianza Bioversity international – CIAT – Laboratorio de Economía Circular.  </w:t>
      </w:r>
      <w:commentRangeEnd w:id="3"/>
      <w:r>
        <w:commentReference w:id="3"/>
      </w:r>
      <w:r>
        <w:rPr>
          <w:rFonts w:cs="Times New Roman" w:ascii="Times New Roman" w:hAnsi="Times New Roman"/>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r>
    </w:p>
    <w:p>
      <w:pPr>
        <w:pStyle w:val="ListParagraph"/>
        <w:ind w:start="0"/>
        <w:rPr>
          <w:rFonts w:ascii="Times New Roman" w:hAnsi="Times New Roman" w:cs="Times New Roman"/>
          <w:b/>
          <w:bCs/>
          <w:sz w:val="24"/>
          <w:lang w:val="es-CO"/>
        </w:rPr>
      </w:pPr>
      <w:r>
        <w:rPr>
          <w:rFonts w:cs="Times New Roman" w:ascii="Times New Roman" w:hAnsi="Times New Roman"/>
          <w:b/>
          <w:bCs/>
          <w:sz w:val="24"/>
          <w:lang w:val="es-CO"/>
        </w:rPr>
        <w:t xml:space="preserve">1. Introducción </w:t>
      </w:r>
    </w:p>
    <w:p>
      <w:pPr>
        <w:pStyle w:val="ListParagraph"/>
        <w:rPr>
          <w:lang w:val="es-CO"/>
        </w:rPr>
      </w:pPr>
      <w:r>
        <w:rPr>
          <w:lang w:val="es-CO"/>
        </w:rPr>
      </w:r>
    </w:p>
    <w:p>
      <w:pPr>
        <w:pStyle w:val="Normal"/>
        <w:spacing w:lineRule="auto" w:line="360"/>
        <w:jc w:val="both"/>
        <w:rPr>
          <w:lang w:val="es-CO"/>
        </w:rPr>
      </w:pPr>
      <w:r>
        <w:rPr>
          <w:rFonts w:cs="Times New Roman" w:ascii="Times New Roman" w:hAnsi="Times New Roman"/>
          <w:sz w:val="24"/>
          <w:lang w:val="es-CO"/>
        </w:rPr>
        <w:t>La gestión de residuos es un desafío crítico en el contexto del cambio climático y la sostenibilidad ambiental debido a su impacto directo en la generación de gases de efecto invernadero (GEI), como el metano (CH₄) y el dióxido de carbono (CO₂)</w:t>
      </w:r>
      <w:commentRangeStart w:id="4"/>
      <w:r>
        <w:rPr>
          <w:rFonts w:cs="Times New Roman" w:ascii="Times New Roman" w:hAnsi="Times New Roman"/>
          <w:sz w:val="24"/>
          <w:lang w:val="es-CO"/>
        </w:rPr>
        <w:t>.</w:t>
      </w:r>
      <w:r>
        <w:rPr>
          <w:rFonts w:cs="Times New Roman" w:ascii="Times New Roman" w:hAnsi="Times New Roman"/>
          <w:sz w:val="24"/>
          <w:lang w:val="es-CO"/>
        </w:rPr>
      </w:r>
      <w:commentRangeEnd w:id="4"/>
      <w:r>
        <w:commentReference w:id="4"/>
      </w:r>
      <w:r>
        <w:rPr>
          <w:rFonts w:cs="Times New Roman" w:ascii="Times New Roman" w:hAnsi="Times New Roman"/>
          <w:sz w:val="24"/>
          <w:lang w:val="es-CO"/>
        </w:rPr>
        <w:t xml:space="preserve"> Estos residuos también contribuyen a la contaminación del suelo y el agua, afectando negativamente la biodiversidad y la salud humana (FAO, 2021; IPCC, 2014)</w:t>
      </w:r>
      <w:commentRangeStart w:id="5"/>
      <w:r>
        <w:rPr>
          <w:rFonts w:cs="Times New Roman" w:ascii="Times New Roman" w:hAnsi="Times New Roman"/>
          <w:sz w:val="24"/>
          <w:lang w:val="es-CO"/>
        </w:rPr>
        <w:t>.</w:t>
      </w:r>
      <w:r>
        <w:rPr>
          <w:rFonts w:cs="Times New Roman" w:ascii="Times New Roman" w:hAnsi="Times New Roman"/>
          <w:sz w:val="24"/>
          <w:lang w:val="es-CO"/>
        </w:rPr>
      </w:r>
      <w:commentRangeEnd w:id="5"/>
      <w:r>
        <w:commentReference w:id="5"/>
      </w:r>
      <w:r>
        <w:rPr>
          <w:rFonts w:cs="Times New Roman" w:ascii="Times New Roman" w:hAnsi="Times New Roman"/>
          <w:sz w:val="24"/>
          <w:lang w:val="es-CO"/>
        </w:rPr>
        <w:t xml:space="preserve"> El sector agrícola, responsable de aproximadamente el 24 % de las emisiones globales de GEI, enfrenta este reto principalmente por prácticas inadecuadas en la gestión de residuos, fermentación entérica y uso excesivo de fertilizantes sintéticos (Smith et al., 2014). Esta situación demanda la implementación de estrategias sostenibles e innovadoras para la correcta valorización de residuos</w:t>
      </w:r>
      <w:commentRangeStart w:id="6"/>
      <w:r>
        <w:rPr>
          <w:rFonts w:cs="Times New Roman" w:ascii="Times New Roman" w:hAnsi="Times New Roman"/>
          <w:sz w:val="24"/>
          <w:lang w:val="es-CO"/>
        </w:rPr>
        <w:t>.</w:t>
      </w:r>
      <w:commentRangeEnd w:id="6"/>
      <w:r>
        <w:commentReference w:id="6"/>
      </w:r>
      <w:r>
        <w:rPr>
          <w:rFonts w:cs="Times New Roman" w:ascii="Times New Roman" w:hAnsi="Times New Roman"/>
          <w:sz w:val="24"/>
          <w:lang w:val="es-CO"/>
        </w:rPr>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Sin embargo, medir las emisiones de GEI no es suficiente para mitigar el cambio climático. Es esencial integrar acciones concretas que contribuyan a la neutralidad de carbono, equilibrando las emisiones generadas con procesos que capten o eviten la liberación de gases contaminantes</w:t>
      </w:r>
      <w:commentRangeStart w:id="7"/>
      <w:r>
        <w:rPr>
          <w:rFonts w:cs="Times New Roman" w:ascii="Times New Roman" w:hAnsi="Times New Roman"/>
          <w:sz w:val="24"/>
          <w:lang w:val="es-CO"/>
        </w:rPr>
        <w:t xml:space="preserve">. </w:t>
      </w:r>
      <w:r>
        <w:rPr>
          <w:rFonts w:cs="Times New Roman" w:ascii="Times New Roman" w:hAnsi="Times New Roman"/>
          <w:sz w:val="24"/>
          <w:lang w:val="es-CO"/>
        </w:rPr>
      </w:r>
      <w:commentRangeEnd w:id="7"/>
      <w:r>
        <w:commentReference w:id="7"/>
      </w:r>
      <w:r>
        <w:rPr>
          <w:rFonts w:cs="Times New Roman" w:ascii="Times New Roman" w:hAnsi="Times New Roman"/>
          <w:sz w:val="24"/>
          <w:lang w:val="es-CO"/>
        </w:rPr>
        <w:t>Sin estas acciones, la simple medición no permite gestionar ni reducir efectivamente las emisiones ni implementar mejoras continuas. Alcanzar la neutralidad de carbono implica desarrollar soluciones que no solo cuantifiquen los GEI, sino que también compensen o eliminen estas emisiones para lograr un equilibrio sostenible (IPCC, 2014).</w:t>
      </w:r>
    </w:p>
    <w:p>
      <w:pPr>
        <w:pStyle w:val="Normal"/>
        <w:spacing w:lineRule="auto" w:line="360"/>
        <w:jc w:val="both"/>
        <w:rPr>
          <w:rFonts w:ascii="Times New Roman" w:hAnsi="Times New Roman" w:cs="Times New Roman"/>
          <w:sz w:val="24"/>
          <w:lang w:val="es-CO"/>
        </w:rPr>
      </w:pPr>
      <w:commentRangeStart w:id="8"/>
      <w:r>
        <w:rPr>
          <w:rFonts w:cs="Times New Roman" w:ascii="Times New Roman" w:hAnsi="Times New Roman"/>
          <w:sz w:val="24"/>
          <w:lang w:val="es-CO"/>
        </w:rPr>
        <w:t>Una solución innovadora a este desafío es la integración de tecnologías como el Internet de las Cosas (IoT) y la Inteligencia Artificial (IA) en procesos de bioconversión de residuos agrícolas mediante la mosca soldado negra (Hermetia illucens). Esta especie ha demostrado ser altamente eficiente en la transformación de residuos orgánicos en proteína y frass (larvicompost), contribuyendo a la valorización de residuos y a la reducción de emisiones de GEI (Bermúdez-Serrano et al., 2023; Chia, 2019; Barragán-Fonseca et al., 2017). Su implementación promueve un aprovechamiento sostenible de los residuos y genera productos de valor agregado</w:t>
      </w:r>
      <w:commentRangeStart w:id="9"/>
      <w:r>
        <w:rPr>
          <w:rFonts w:cs="Times New Roman" w:ascii="Times New Roman" w:hAnsi="Times New Roman"/>
          <w:sz w:val="24"/>
          <w:lang w:val="es-CO"/>
        </w:rPr>
        <w:t>.</w:t>
      </w:r>
      <w:r>
        <w:rPr>
          <w:rFonts w:cs="Times New Roman" w:ascii="Times New Roman" w:hAnsi="Times New Roman"/>
          <w:sz w:val="24"/>
          <w:lang w:val="es-CO"/>
        </w:rPr>
      </w:r>
      <w:commentRangeEnd w:id="8"/>
      <w:r>
        <w:commentReference w:id="8"/>
      </w:r>
      <w:commentRangeEnd w:id="9"/>
      <w:r>
        <w:commentReference w:id="9"/>
      </w:r>
      <w:r>
        <w:rPr>
          <w:rFonts w:cs="Times New Roman" w:ascii="Times New Roman" w:hAnsi="Times New Roman"/>
          <w:sz w:val="24"/>
          <w:lang w:val="es-CO"/>
        </w:rPr>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La incorporación de sensores IoT permite monitorear en tiempo real</w:t>
      </w:r>
      <w:commentRangeStart w:id="10"/>
      <w:r>
        <w:rPr>
          <w:rFonts w:cs="Times New Roman" w:ascii="Times New Roman" w:hAnsi="Times New Roman"/>
          <w:sz w:val="24"/>
          <w:lang w:val="es-CO"/>
        </w:rPr>
        <w:t xml:space="preserve"> </w:t>
      </w:r>
      <w:r>
        <w:rPr>
          <w:rFonts w:cs="Times New Roman" w:ascii="Times New Roman" w:hAnsi="Times New Roman"/>
          <w:sz w:val="24"/>
          <w:lang w:val="es-CO"/>
        </w:rPr>
      </w:r>
      <w:commentRangeEnd w:id="10"/>
      <w:r>
        <w:commentReference w:id="10"/>
      </w:r>
      <w:r>
        <w:rPr>
          <w:rFonts w:cs="Times New Roman" w:ascii="Times New Roman" w:hAnsi="Times New Roman"/>
          <w:sz w:val="24"/>
          <w:lang w:val="es-CO"/>
        </w:rPr>
        <w:t>variables clav</w:t>
      </w:r>
      <w:commentRangeStart w:id="11"/>
      <w:r>
        <w:rPr>
          <w:rFonts w:cs="Times New Roman" w:ascii="Times New Roman" w:hAnsi="Times New Roman"/>
          <w:sz w:val="24"/>
          <w:lang w:val="es-CO"/>
        </w:rPr>
        <w:t>e</w:t>
      </w:r>
      <w:r>
        <w:rPr>
          <w:rFonts w:cs="Times New Roman" w:ascii="Times New Roman" w:hAnsi="Times New Roman"/>
          <w:sz w:val="24"/>
          <w:lang w:val="es-CO"/>
        </w:rPr>
      </w:r>
      <w:commentRangeEnd w:id="11"/>
      <w:r>
        <w:commentReference w:id="11"/>
      </w:r>
      <w:r>
        <w:rPr>
          <w:rFonts w:cs="Times New Roman" w:ascii="Times New Roman" w:hAnsi="Times New Roman"/>
          <w:sz w:val="24"/>
          <w:lang w:val="es-CO"/>
        </w:rPr>
        <w:t xml:space="preserve"> como temperatura, humedad y emisiones de GEI, mientras que algoritmos de </w:t>
      </w:r>
      <w:commentRangeStart w:id="12"/>
      <w:r>
        <w:rPr>
          <w:rFonts w:cs="Times New Roman" w:ascii="Times New Roman" w:hAnsi="Times New Roman"/>
          <w:sz w:val="24"/>
          <w:lang w:val="es-CO"/>
        </w:rPr>
        <w:t>IA</w:t>
      </w:r>
      <w:r>
        <w:rPr>
          <w:rFonts w:cs="Times New Roman" w:ascii="Times New Roman" w:hAnsi="Times New Roman"/>
          <w:sz w:val="24"/>
          <w:lang w:val="es-CO"/>
        </w:rPr>
      </w:r>
      <w:commentRangeEnd w:id="12"/>
      <w:r>
        <w:commentReference w:id="12"/>
      </w:r>
      <w:r>
        <w:rPr>
          <w:rFonts w:cs="Times New Roman" w:ascii="Times New Roman" w:hAnsi="Times New Roman"/>
          <w:sz w:val="24"/>
          <w:lang w:val="es-CO"/>
        </w:rPr>
        <w:t xml:space="preserve"> optimizan los procesos, almacenan datos y aseguran la trazabilidad</w:t>
      </w:r>
      <w:commentRangeStart w:id="13"/>
      <w:r>
        <w:rPr>
          <w:rFonts w:cs="Times New Roman" w:ascii="Times New Roman" w:hAnsi="Times New Roman"/>
          <w:sz w:val="24"/>
          <w:lang w:val="es-CO"/>
        </w:rPr>
        <w:t>.</w:t>
      </w:r>
      <w:r>
        <w:rPr>
          <w:rFonts w:cs="Times New Roman" w:ascii="Times New Roman" w:hAnsi="Times New Roman"/>
          <w:sz w:val="24"/>
          <w:lang w:val="es-CO"/>
        </w:rPr>
      </w:r>
      <w:commentRangeEnd w:id="13"/>
      <w:r>
        <w:commentReference w:id="13"/>
      </w:r>
      <w:r>
        <w:rPr>
          <w:rFonts w:cs="Times New Roman" w:ascii="Times New Roman" w:hAnsi="Times New Roman"/>
          <w:sz w:val="24"/>
          <w:lang w:val="es-CO"/>
        </w:rPr>
        <w:t xml:space="preserve"> Esta combinación tecnológica no solo mejora la eficiencia de la bioconversión, sino que también fortalece los procesos de medición, reporte y validación (MRV) dentro de un modelo de economía circular. Este enfoque integral facilita la reducción de emisiones y el desarrollo de estrategias efectivas para alcanzar la neutralidad de carbono (Kamilaris et al., 2017).</w:t>
      </w:r>
    </w:p>
    <w:p>
      <w:pPr>
        <w:pStyle w:val="Normal"/>
        <w:spacing w:lineRule="auto" w:line="360"/>
        <w:jc w:val="both"/>
        <w:rPr>
          <w:rFonts w:ascii="Times New Roman" w:hAnsi="Times New Roman" w:cs="Times New Roman"/>
          <w:b/>
          <w:bCs/>
          <w:sz w:val="24"/>
          <w:lang w:val="es-CO"/>
        </w:rPr>
      </w:pPr>
      <w:r>
        <w:rPr>
          <w:rFonts w:cs="Times New Roman" w:ascii="Times New Roman" w:hAnsi="Times New Roman"/>
          <w:b/>
          <w:bCs/>
          <w:sz w:val="24"/>
          <w:lang w:val="es-CO"/>
        </w:rPr>
        <w:t>2. Pregunta de Investigación</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¿Cómo un sistema inteligente basado en </w:t>
      </w:r>
      <w:commentRangeStart w:id="14"/>
      <w:r>
        <w:rPr>
          <w:rFonts w:cs="Times New Roman" w:ascii="Times New Roman" w:hAnsi="Times New Roman"/>
          <w:sz w:val="24"/>
          <w:lang w:val="es-CO"/>
        </w:rPr>
        <w:t xml:space="preserve">IoT e IA </w:t>
      </w:r>
      <w:r>
        <w:rPr>
          <w:rFonts w:cs="Times New Roman" w:ascii="Times New Roman" w:hAnsi="Times New Roman"/>
          <w:sz w:val="24"/>
          <w:lang w:val="es-CO"/>
        </w:rPr>
      </w:r>
      <w:commentRangeEnd w:id="14"/>
      <w:r>
        <w:commentReference w:id="14"/>
      </w:r>
      <w:r>
        <w:rPr>
          <w:rFonts w:cs="Times New Roman" w:ascii="Times New Roman" w:hAnsi="Times New Roman"/>
          <w:sz w:val="24"/>
          <w:lang w:val="es-CO"/>
        </w:rPr>
        <w:t>puede optimizar la medición, reporte, validación y trazabilidad de GEI y variables ambientales, mejorando la gestión sostenible de residuos en los agrícolas?</w:t>
      </w:r>
    </w:p>
    <w:p>
      <w:pPr>
        <w:pStyle w:val="pf0"/>
        <w:spacing w:lineRule="auto" w:line="360" w:before="280" w:after="280"/>
        <w:jc w:val="both"/>
        <w:rPr>
          <w:b/>
          <w:bCs/>
          <w:lang w:val="es-CO"/>
        </w:rPr>
      </w:pPr>
      <w:r>
        <w:rPr>
          <w:rFonts w:eastAsia="Calibri" w:eastAsiaTheme="minorHAnsi"/>
          <w:b/>
          <w:bCs/>
          <w:szCs w:val="22"/>
          <w:lang w:val="es-CO"/>
        </w:rPr>
        <w:t>3. Planteamiento del problema</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El manejo inadecuado de residuos agrícolas representa un desafío crítico para la sostenibilidad ambiental debido a su contribución significativa a la emisión de gases de efecto invernadero (GEI), como el metano (CH₄) y el dióxido de carbono (CO₂), producto de la descomposición anaeróbica de desechos orgánicos. Además de las emisiones de GEI, esta gestión deficiente provoca contaminación del suelo y cuerpos de agua, afectando la biodiversidad y generando riesgos para la salud humana (FAO, 2021; IPCC, 2014). Aunque existen estrategias como el compostaje y la disposición controlada de residuos, estas prácticas resultan costosas, ineficientes y de difícil implementación, especialmente en zonas rurales donde los recursos tecnológicos y financieros son limitados (Smith et al., 2014). Esta situación evidencia la necesidad de soluciones sostenibles, accesibles y eficaces que no solo mitiguen las emisiones de GEI, sino que también optimicen la gestión de residuos agrícolas.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La carencia de sistemas integrados que permitan la medición, reporte, validación (MRV) y trazabilidad de GEI y de variables ambientales clav</w:t>
      </w:r>
      <w:commentRangeStart w:id="15"/>
      <w:r>
        <w:rPr>
          <w:rFonts w:cs="Times New Roman" w:ascii="Times New Roman" w:hAnsi="Times New Roman"/>
          <w:sz w:val="24"/>
          <w:lang w:val="es-CO"/>
        </w:rPr>
        <w:t>e</w:t>
      </w:r>
      <w:r>
        <w:rPr>
          <w:rFonts w:cs="Times New Roman" w:ascii="Times New Roman" w:hAnsi="Times New Roman"/>
          <w:sz w:val="24"/>
          <w:lang w:val="es-CO"/>
        </w:rPr>
      </w:r>
      <w:commentRangeEnd w:id="15"/>
      <w:r>
        <w:commentReference w:id="15"/>
      </w:r>
      <w:r>
        <w:rPr>
          <w:rFonts w:cs="Times New Roman" w:ascii="Times New Roman" w:hAnsi="Times New Roman"/>
          <w:sz w:val="24"/>
          <w:lang w:val="es-CO"/>
        </w:rPr>
        <w:t xml:space="preserve"> limita la capacidad del sector agrícola para implementar estrategias efectivas de gestión de residuos. Sin herramientas que proporcionen datos precisos y en tiempo real, resulta complejo tomar decisiones informadas para reducir el impacto ambiental. La implementación de tecnologías emergentes, como el Internet de las Cosas (IoT) y </w:t>
      </w:r>
      <w:commentRangeStart w:id="16"/>
      <w:r>
        <w:rPr>
          <w:rFonts w:cs="Times New Roman" w:ascii="Times New Roman" w:hAnsi="Times New Roman"/>
          <w:sz w:val="24"/>
          <w:lang w:val="es-CO"/>
        </w:rPr>
        <w:t>la Inteligencia Artificial (IA)</w:t>
      </w:r>
      <w:r>
        <w:rPr>
          <w:rFonts w:cs="Times New Roman" w:ascii="Times New Roman" w:hAnsi="Times New Roman"/>
          <w:sz w:val="24"/>
          <w:lang w:val="es-CO"/>
        </w:rPr>
      </w:r>
      <w:commentRangeEnd w:id="16"/>
      <w:r>
        <w:commentReference w:id="16"/>
      </w:r>
      <w:r>
        <w:rPr>
          <w:rFonts w:cs="Times New Roman" w:ascii="Times New Roman" w:hAnsi="Times New Roman"/>
          <w:sz w:val="24"/>
          <w:lang w:val="es-CO"/>
        </w:rPr>
        <w:t>, ofrece la posibilidad de superar estas limitaciones al facilitar el monitoreo continuo y automatizado de variables críticas como temperatura, humedad, pH y concentraciones de GEI (Kamilaris et al., 2017). Sin embargo, estas tecnologías aún no se han aplicado de forma integral en procesos de gestión de residuos agrícolas, lo que limita su potencial para contribuir a la neutralidad de carbono.</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Una alternativa innovadora es la combinación de IoT y algoritmos de aprendizaje automático con procesos de bioconversión de residuos </w:t>
      </w:r>
      <w:commentRangeStart w:id="17"/>
      <w:r>
        <w:rPr>
          <w:rFonts w:cs="Times New Roman" w:ascii="Times New Roman" w:hAnsi="Times New Roman"/>
          <w:sz w:val="24"/>
          <w:lang w:val="es-CO"/>
        </w:rPr>
        <w:t>mediante</w:t>
      </w:r>
      <w:r>
        <w:rPr>
          <w:rFonts w:cs="Times New Roman" w:ascii="Times New Roman" w:hAnsi="Times New Roman"/>
          <w:sz w:val="24"/>
          <w:lang w:val="es-CO"/>
        </w:rPr>
      </w:r>
      <w:commentRangeEnd w:id="17"/>
      <w:r>
        <w:commentReference w:id="17"/>
      </w:r>
      <w:r>
        <w:rPr>
          <w:rFonts w:cs="Times New Roman" w:ascii="Times New Roman" w:hAnsi="Times New Roman"/>
          <w:sz w:val="24"/>
          <w:lang w:val="es-CO"/>
        </w:rPr>
        <w:t xml:space="preserve"> la mosca soldado negra (</w:t>
      </w:r>
      <w:commentRangeStart w:id="18"/>
      <w:r>
        <w:rPr>
          <w:rFonts w:cs="Times New Roman" w:ascii="Times New Roman" w:hAnsi="Times New Roman"/>
          <w:sz w:val="24"/>
          <w:lang w:val="es-CO"/>
        </w:rPr>
        <w:t>Hermetia illucens</w:t>
      </w:r>
      <w:r>
        <w:rPr>
          <w:rFonts w:cs="Times New Roman" w:ascii="Times New Roman" w:hAnsi="Times New Roman"/>
          <w:sz w:val="24"/>
          <w:lang w:val="es-CO"/>
        </w:rPr>
      </w:r>
      <w:commentRangeEnd w:id="18"/>
      <w:r>
        <w:commentReference w:id="18"/>
      </w:r>
      <w:r>
        <w:rPr>
          <w:rFonts w:cs="Times New Roman" w:ascii="Times New Roman" w:hAnsi="Times New Roman"/>
          <w:sz w:val="24"/>
          <w:lang w:val="es-CO"/>
        </w:rPr>
        <w:t xml:space="preserve">), </w:t>
      </w:r>
      <w:commentRangeStart w:id="19"/>
      <w:r>
        <w:rPr>
          <w:rFonts w:cs="Times New Roman" w:ascii="Times New Roman" w:hAnsi="Times New Roman"/>
          <w:sz w:val="24"/>
          <w:lang w:val="es-CO"/>
        </w:rPr>
        <w:t>que</w:t>
      </w:r>
      <w:r>
        <w:rPr>
          <w:rFonts w:cs="Times New Roman" w:ascii="Times New Roman" w:hAnsi="Times New Roman"/>
          <w:sz w:val="24"/>
          <w:lang w:val="es-CO"/>
        </w:rPr>
      </w:r>
      <w:commentRangeEnd w:id="19"/>
      <w:r>
        <w:commentReference w:id="19"/>
      </w:r>
      <w:r>
        <w:rPr>
          <w:rFonts w:cs="Times New Roman" w:ascii="Times New Roman" w:hAnsi="Times New Roman"/>
          <w:sz w:val="24"/>
          <w:lang w:val="es-CO"/>
        </w:rPr>
        <w:t xml:space="preserve"> ha demostrado ser altamente eficiente en la transformación de residuos orgánicos en proteína y frass (larvicompost) (Barragán-Fonseca et al., 2017; Bermúdez-Serrano et al., 2023). La integración de sensores IoT permite recopilar datos en tiempo real sobre las condiciones ambientales, mientras que los algoritmos de </w:t>
      </w:r>
      <w:commentRangeStart w:id="20"/>
      <w:r>
        <w:rPr>
          <w:rFonts w:cs="Times New Roman" w:ascii="Times New Roman" w:hAnsi="Times New Roman"/>
          <w:sz w:val="24"/>
          <w:lang w:val="es-CO"/>
        </w:rPr>
        <w:t>IA</w:t>
      </w:r>
      <w:r>
        <w:rPr>
          <w:rFonts w:cs="Times New Roman" w:ascii="Times New Roman" w:hAnsi="Times New Roman"/>
          <w:sz w:val="24"/>
          <w:lang w:val="es-CO"/>
        </w:rPr>
      </w:r>
      <w:commentRangeEnd w:id="20"/>
      <w:r>
        <w:commentReference w:id="20"/>
      </w:r>
      <w:r>
        <w:rPr>
          <w:rFonts w:cs="Times New Roman" w:ascii="Times New Roman" w:hAnsi="Times New Roman"/>
          <w:sz w:val="24"/>
          <w:lang w:val="es-CO"/>
        </w:rPr>
        <w:t xml:space="preserve"> optimizan las condiciones de biodegradación para maximizar la eficiencia del proceso. Este enfoque no solo mejora la degradación de residuos y reduce las emisiones de GEI, sino que también impulsa la economía circular al generar productos de alto valor comercial, como insumos para alimentos para animales, compuestos bioactivos y bioproductos biodegradables (Diener et al., 2011; Salam et al., 2022).</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Frente a este panorama, surge la necesidad de diseñar e implementar un sistema integral que combine IoT </w:t>
      </w:r>
      <w:commentRangeStart w:id="21"/>
      <w:r>
        <w:rPr>
          <w:rFonts w:cs="Times New Roman" w:ascii="Times New Roman" w:hAnsi="Times New Roman"/>
          <w:sz w:val="24"/>
          <w:lang w:val="es-CO"/>
        </w:rPr>
        <w:t>e IA</w:t>
      </w:r>
      <w:r>
        <w:rPr>
          <w:rFonts w:cs="Times New Roman" w:ascii="Times New Roman" w:hAnsi="Times New Roman"/>
          <w:sz w:val="24"/>
          <w:lang w:val="es-CO"/>
        </w:rPr>
      </w:r>
      <w:commentRangeEnd w:id="21"/>
      <w:r>
        <w:commentReference w:id="21"/>
      </w:r>
      <w:r>
        <w:rPr>
          <w:rFonts w:cs="Times New Roman" w:ascii="Times New Roman" w:hAnsi="Times New Roman"/>
          <w:sz w:val="24"/>
          <w:lang w:val="es-CO"/>
        </w:rPr>
        <w:t xml:space="preserve"> para la medición, reporte, validación y trazabilidad de GEI y variables ambientales en procesos de gestión de residuos agrícolas. Este sistema permitirá optimizar los procesos de bioconversión, mejorar la precisión de las mediciones y garantizar la trazabilidad de las emisiones, contribuyendo así a la mitigación del cambio climático y a la sostenibilidad del sector agrícola.</w:t>
      </w:r>
      <w:commentRangeStart w:id="22"/>
      <w:r>
        <w:rPr>
          <w:rFonts w:cs="Times New Roman" w:ascii="Times New Roman" w:hAnsi="Times New Roman"/>
          <w:sz w:val="24"/>
          <w:lang w:val="es-CO"/>
        </w:rPr>
        <w:t xml:space="preserve"> </w:t>
      </w:r>
      <w:r>
        <w:rPr>
          <w:rFonts w:cs="Times New Roman" w:ascii="Times New Roman" w:hAnsi="Times New Roman"/>
          <w:sz w:val="24"/>
          <w:lang w:val="es-CO"/>
        </w:rPr>
      </w:r>
      <w:commentRangeEnd w:id="22"/>
      <w:r>
        <w:commentReference w:id="22"/>
      </w:r>
      <w:r>
        <w:rPr>
          <w:rFonts w:cs="Times New Roman" w:ascii="Times New Roman" w:hAnsi="Times New Roman"/>
          <w:sz w:val="24"/>
          <w:lang w:val="es-CO"/>
        </w:rPr>
        <w:t>La presente investigación busca desarrollar esta solución tecnológica innovadora, con el propósito de transformar la gestión de residuos agrícolas hacia un modelo más eficiente, sostenible y alineado con los objetivos de neutralidad de carbono.</w:t>
      </w:r>
    </w:p>
    <w:p>
      <w:pPr>
        <w:pStyle w:val="pf0"/>
        <w:spacing w:lineRule="auto" w:line="360" w:before="280" w:after="280"/>
        <w:jc w:val="both"/>
        <w:rPr>
          <w:b/>
          <w:bCs/>
          <w:lang w:val="es-CO"/>
        </w:rPr>
      </w:pPr>
      <w:r>
        <w:rPr>
          <w:rFonts w:eastAsia="Calibri" w:eastAsiaTheme="minorHAnsi"/>
          <w:b/>
          <w:bCs/>
          <w:szCs w:val="22"/>
          <w:lang w:val="es-CO"/>
        </w:rPr>
        <w:t>4 Antecedentes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A continuación, se presentan los principales antecedentes relacionados con el estudio de esta </w:t>
      </w:r>
      <w:commentRangeStart w:id="23"/>
      <w:r>
        <w:rPr>
          <w:rFonts w:cs="Times New Roman" w:ascii="Times New Roman" w:hAnsi="Times New Roman"/>
          <w:sz w:val="24"/>
          <w:lang w:val="es-CO"/>
        </w:rPr>
        <w:t>tesis</w:t>
      </w:r>
      <w:r>
        <w:rPr>
          <w:rFonts w:cs="Times New Roman" w:ascii="Times New Roman" w:hAnsi="Times New Roman"/>
          <w:sz w:val="24"/>
          <w:lang w:val="es-CO"/>
        </w:rPr>
      </w:r>
      <w:commentRangeEnd w:id="23"/>
      <w:r>
        <w:commentReference w:id="23"/>
      </w:r>
      <w:r>
        <w:rPr>
          <w:rFonts w:cs="Times New Roman" w:ascii="Times New Roman" w:hAnsi="Times New Roman"/>
          <w:sz w:val="24"/>
          <w:lang w:val="es-CO"/>
        </w:rPr>
        <w:t>, enfocados en la problemática de gestión de residuos agrícolas, el potencial de soluciones biotecnológicas y el papel de tecnologías emergentes para mitigar el impacto ambiental.</w:t>
      </w:r>
    </w:p>
    <w:p>
      <w:pPr>
        <w:pStyle w:val="Normal"/>
        <w:spacing w:lineRule="auto" w:line="360"/>
        <w:jc w:val="both"/>
        <w:rPr>
          <w:rFonts w:ascii="Times New Roman" w:hAnsi="Times New Roman" w:cs="Times New Roman"/>
          <w:sz w:val="24"/>
          <w:lang w:val="es-CO"/>
        </w:rPr>
      </w:pPr>
      <w:commentRangeStart w:id="24"/>
      <w:r>
        <w:rPr>
          <w:rFonts w:cs="Times New Roman" w:ascii="Times New Roman" w:hAnsi="Times New Roman"/>
          <w:sz w:val="24"/>
          <w:lang w:val="es-CO"/>
        </w:rPr>
        <w:t>4.1. Problemática global de los residuos agrícolas y emisiones de GEI</w:t>
      </w:r>
      <w:commentRangeEnd w:id="24"/>
      <w:r>
        <w:commentReference w:id="24"/>
      </w:r>
      <w:r>
        <w:rPr>
          <w:rFonts w:cs="Times New Roman" w:ascii="Times New Roman" w:hAnsi="Times New Roman"/>
          <w:sz w:val="24"/>
          <w:lang w:val="es-CO"/>
        </w:rPr>
      </w:r>
    </w:p>
    <w:p>
      <w:pPr>
        <w:pStyle w:val="Normal"/>
        <w:spacing w:lineRule="auto" w:line="360"/>
        <w:jc w:val="both"/>
        <w:rPr>
          <w:lang w:val="es-CO"/>
        </w:rPr>
      </w:pPr>
      <w:r>
        <w:rPr>
          <w:rFonts w:cs="Times New Roman" w:ascii="Times New Roman" w:hAnsi="Times New Roman"/>
          <w:sz w:val="24"/>
          <w:lang w:val="es-CO"/>
        </w:rPr>
        <w:t>La gestión de residuos agrícolas constituye un desafío global con implicaciones directas en el cambio climático y la sostenibilidad ambiental. Los desechos orgánicos generados en este sector son una fuente significativa de emisiones de gases de efecto invernadero (GEI), como el metano (CH₄),  producto de su descomposición anaeróbica (FAO, 2021). El Quinto Informe de Evaluación del IPCC (2014) señala que el sector agrícola es responsable de</w:t>
      </w:r>
      <w:r>
        <w:rPr>
          <w:lang w:val="es-CO"/>
        </w:rPr>
        <w:t xml:space="preserve"> </w:t>
      </w:r>
      <w:r>
        <w:rPr>
          <w:rFonts w:cs="Times New Roman" w:ascii="Times New Roman" w:hAnsi="Times New Roman"/>
          <w:sz w:val="24"/>
          <w:lang w:val="es-CO"/>
        </w:rPr>
        <w:t>aproximadamente el 24 % de las emisiones globales de GEI, siendo prácticas como la quema de residuos y el uso desmedido de fertilizantes factores agravantes de esta situación. Estas prácticas no solo incrementan las emisiones, sino que también contribuyen a la contaminación del suelo, el aire y el agua, afectando la biodiversidad y la salud humana. La magnitud de este problema ha impulsado la búsqueda de soluciones innovadoras y sostenibles que permitan una gestión eficiente de los residuos agrícolas y la reducción de sus impactos ambientales.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4.2. La Mosca Soldado Negra</w:t>
      </w:r>
      <w:commentRangeStart w:id="25"/>
      <w:r>
        <w:rPr>
          <w:rFonts w:cs="Times New Roman" w:ascii="Times New Roman" w:hAnsi="Times New Roman"/>
          <w:sz w:val="24"/>
          <w:lang w:val="es-CO"/>
        </w:rPr>
        <w:t xml:space="preserve"> </w:t>
      </w:r>
      <w:r>
        <w:rPr>
          <w:rFonts w:cs="Times New Roman" w:ascii="Times New Roman" w:hAnsi="Times New Roman"/>
          <w:sz w:val="24"/>
          <w:lang w:val="es-CO"/>
        </w:rPr>
      </w:r>
      <w:commentRangeEnd w:id="25"/>
      <w:r>
        <w:commentReference w:id="25"/>
      </w:r>
      <w:r>
        <w:rPr>
          <w:rFonts w:cs="Times New Roman" w:ascii="Times New Roman" w:hAnsi="Times New Roman"/>
          <w:sz w:val="24"/>
          <w:lang w:val="es-CO"/>
        </w:rPr>
        <w:t>(BSF) como solución biotecnológica</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La Mosca Soldado Negra (</w:t>
      </w:r>
      <w:commentRangeStart w:id="26"/>
      <w:r>
        <w:rPr>
          <w:rFonts w:cs="Times New Roman" w:ascii="Times New Roman" w:hAnsi="Times New Roman"/>
          <w:sz w:val="24"/>
          <w:lang w:val="es-CO"/>
        </w:rPr>
        <w:t>Hermetia illucens</w:t>
      </w:r>
      <w:r>
        <w:rPr>
          <w:rFonts w:cs="Times New Roman" w:ascii="Times New Roman" w:hAnsi="Times New Roman"/>
          <w:sz w:val="24"/>
          <w:lang w:val="es-CO"/>
        </w:rPr>
      </w:r>
      <w:commentRangeEnd w:id="26"/>
      <w:r>
        <w:commentReference w:id="26"/>
      </w:r>
      <w:r>
        <w:rPr>
          <w:rFonts w:cs="Times New Roman" w:ascii="Times New Roman" w:hAnsi="Times New Roman"/>
          <w:sz w:val="24"/>
          <w:lang w:val="es-CO"/>
        </w:rPr>
        <w:t>) ha emergido como una alternativa biotecnológica prometedora para la gestión sostenible de residuos orgánicos. Su capacidad para biodegradar grandes volúmenes de desechos y transformarlos en biomasa rica en proteínas y lípidos ha sido ampliamente documentada (Barragán-Fonseca et al., 2017). Este proceso no solo disminuye el volumen de residuos, sino que también reduce considerablemente las emisiones de GEI en comparación con métodos convencionales como el compostaje o la incineración. Los subproductos generados por las larvas de la BSF tienen aplicaciones en la producción de alimentos para animales, fertilizantes orgánicos y bioproductos industriales, contribuyendo a la economía circular (Diener et al., 2011; Salam et al., 2022)</w:t>
      </w:r>
      <w:commentRangeStart w:id="27"/>
      <w:r>
        <w:rPr>
          <w:rFonts w:cs="Times New Roman" w:ascii="Times New Roman" w:hAnsi="Times New Roman"/>
          <w:sz w:val="24"/>
          <w:lang w:val="es-CO"/>
        </w:rPr>
        <w:t>.</w:t>
      </w:r>
      <w:r>
        <w:rPr>
          <w:rFonts w:cs="Times New Roman" w:ascii="Times New Roman" w:hAnsi="Times New Roman"/>
          <w:sz w:val="24"/>
          <w:lang w:val="es-CO"/>
        </w:rPr>
      </w:r>
      <w:commentRangeEnd w:id="27"/>
      <w:r>
        <w:commentReference w:id="27"/>
      </w:r>
      <w:r>
        <w:rPr>
          <w:rFonts w:cs="Times New Roman" w:ascii="Times New Roman" w:hAnsi="Times New Roman"/>
          <w:sz w:val="24"/>
          <w:lang w:val="es-CO"/>
        </w:rPr>
        <w:t xml:space="preserve"> </w:t>
      </w:r>
      <w:commentRangeStart w:id="28"/>
      <w:r>
        <w:rPr>
          <w:rFonts w:cs="Times New Roman" w:ascii="Times New Roman" w:hAnsi="Times New Roman"/>
          <w:sz w:val="24"/>
          <w:lang w:val="es-CO"/>
        </w:rPr>
        <w:t>Sin embargo, su cría eficiente requiere el control preciso de variables ambientales críticas como temperatura, humedad, pH y composición del sustrato. La falta de sistemas automatizados para gestionar estas condiciones limita el potencial de la BSF como herramienta efectiva para la gestión de residuos.</w:t>
      </w:r>
      <w:commentRangeEnd w:id="28"/>
      <w:r>
        <w:commentReference w:id="28"/>
      </w:r>
      <w:r>
        <w:rPr>
          <w:rFonts w:cs="Times New Roman" w:ascii="Times New Roman" w:hAnsi="Times New Roman"/>
          <w:sz w:val="24"/>
          <w:lang w:val="es-CO"/>
        </w:rPr>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4.3. Avances en IoT </w:t>
      </w:r>
      <w:commentRangeStart w:id="29"/>
      <w:r>
        <w:rPr>
          <w:rFonts w:cs="Times New Roman" w:ascii="Times New Roman" w:hAnsi="Times New Roman"/>
          <w:sz w:val="24"/>
          <w:lang w:val="es-CO"/>
        </w:rPr>
        <w:t xml:space="preserve">e IA </w:t>
      </w:r>
      <w:r>
        <w:rPr>
          <w:rFonts w:cs="Times New Roman" w:ascii="Times New Roman" w:hAnsi="Times New Roman"/>
          <w:sz w:val="24"/>
          <w:lang w:val="es-CO"/>
        </w:rPr>
      </w:r>
      <w:commentRangeEnd w:id="29"/>
      <w:r>
        <w:commentReference w:id="29"/>
      </w:r>
      <w:r>
        <w:rPr>
          <w:rFonts w:cs="Times New Roman" w:ascii="Times New Roman" w:hAnsi="Times New Roman"/>
          <w:sz w:val="24"/>
          <w:lang w:val="es-CO"/>
        </w:rPr>
        <w:t>para la gestión sostenible de residuos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El desarrollo de tecnologías emergentes como el Internet de las Cosas (IoT) y la Inteligencia Artificial (IA) ha revolucionado el sector agrícola al permitir el monitoreo y control automatizado de procesos. Los sensores IoT permiten recopilar datos en tiempo real de variables ambientales, mientras que los </w:t>
      </w:r>
      <w:commentRangeStart w:id="30"/>
      <w:r>
        <w:rPr>
          <w:rFonts w:cs="Times New Roman" w:ascii="Times New Roman" w:hAnsi="Times New Roman"/>
          <w:sz w:val="24"/>
          <w:lang w:val="es-CO"/>
        </w:rPr>
        <w:t>algoritmos de IA</w:t>
      </w:r>
      <w:r>
        <w:rPr>
          <w:rFonts w:cs="Times New Roman" w:ascii="Times New Roman" w:hAnsi="Times New Roman"/>
          <w:sz w:val="24"/>
          <w:lang w:val="es-CO"/>
        </w:rPr>
      </w:r>
      <w:commentRangeEnd w:id="30"/>
      <w:r>
        <w:commentReference w:id="30"/>
      </w:r>
      <w:r>
        <w:rPr>
          <w:rFonts w:cs="Times New Roman" w:ascii="Times New Roman" w:hAnsi="Times New Roman"/>
          <w:sz w:val="24"/>
          <w:lang w:val="es-CO"/>
        </w:rPr>
        <w:t xml:space="preserve"> analizan grandes volúmenes de información para ajustar automáticamente las condiciones óptimas del entorno (Kamilaris et al., 2017). Estas tecnologías son clav</w:t>
      </w:r>
      <w:commentRangeStart w:id="31"/>
      <w:r>
        <w:rPr>
          <w:rFonts w:cs="Times New Roman" w:ascii="Times New Roman" w:hAnsi="Times New Roman"/>
          <w:sz w:val="24"/>
          <w:lang w:val="es-CO"/>
        </w:rPr>
        <w:t>e</w:t>
      </w:r>
      <w:r>
        <w:rPr>
          <w:rFonts w:cs="Times New Roman" w:ascii="Times New Roman" w:hAnsi="Times New Roman"/>
          <w:sz w:val="24"/>
          <w:lang w:val="es-CO"/>
        </w:rPr>
      </w:r>
      <w:commentRangeEnd w:id="31"/>
      <w:r>
        <w:commentReference w:id="31"/>
      </w:r>
      <w:r>
        <w:rPr>
          <w:rFonts w:cs="Times New Roman" w:ascii="Times New Roman" w:hAnsi="Times New Roman"/>
          <w:sz w:val="24"/>
          <w:lang w:val="es-CO"/>
        </w:rPr>
        <w:t xml:space="preserve"> para optimizar el proceso de bioconversión con BSF, mejorar la trazabilidad de datos sobre emisiones de GEI y garantizar la validación de las estrategias implementadas. Sin embargo, su aplicación integral en la gestión de residuos agrícolas es aún limitada, lo que representa una oportunidad para desarrollar soluciones innovadoras y escalables que reduzcan el impacto ambiental y contribuyan a la neutralidad de carbono (IPCC, 2014</w:t>
      </w:r>
      <w:commentRangeStart w:id="32"/>
      <w:r>
        <w:rPr>
          <w:rFonts w:cs="Times New Roman" w:ascii="Times New Roman" w:hAnsi="Times New Roman"/>
          <w:sz w:val="24"/>
          <w:lang w:val="es-CO"/>
        </w:rPr>
        <w:t>).</w:t>
      </w:r>
      <w:commentRangeEnd w:id="32"/>
      <w:r>
        <w:commentReference w:id="32"/>
      </w:r>
      <w:r>
        <w:rPr>
          <w:rFonts w:cs="Times New Roman" w:ascii="Times New Roman" w:hAnsi="Times New Roman"/>
          <w:sz w:val="24"/>
          <w:lang w:val="es-CO"/>
        </w:rPr>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4.4. Brechas tecnológicas y oportunidades de investigación</w:t>
      </w:r>
    </w:p>
    <w:p>
      <w:pPr>
        <w:pStyle w:val="Normal"/>
        <w:spacing w:lineRule="auto" w:line="360"/>
        <w:jc w:val="both"/>
        <w:rPr>
          <w:rFonts w:ascii="Times New Roman" w:hAnsi="Times New Roman" w:cs="Times New Roman"/>
          <w:sz w:val="24"/>
          <w:lang w:val="es-CO"/>
        </w:rPr>
      </w:pPr>
      <w:commentRangeStart w:id="33"/>
      <w:r>
        <w:rPr>
          <w:rFonts w:cs="Times New Roman" w:ascii="Times New Roman" w:hAnsi="Times New Roman"/>
          <w:sz w:val="24"/>
          <w:lang w:val="es-CO"/>
        </w:rPr>
        <w:t>Pese a los avances en biotecnología y digitalización, persisten brechas que dificultan la adopción de soluciones sostenibles a gran escala. Entre estas limitaciones destacan la ausencia de sistemas integrados de medición, reporte, validación (MRV) y trazabilidad de GEI, así como la escasa aplicación de IoT e IA en la gestión de residuos agrícolas (IPCC, 2014). Además, los métodos actuales de medición de emisiones son costosos y requieren equipos especializados, dificultando su implementación en entornos rurales. La falta de integración entre biotecnología y tecnologías digitales limita la optimización de procesos como la bioconversión con BSF.</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Estas brechas evidencian la necesidad de desarrollar un sistema integral que combine IoT e IA para monitorear, analizar y validar las emisiones de GEI y las variables ambientales durante la gestión de residuos agrícolas. La presente investigación busca abordar estas limitaciones mediante la creación de una solución tecnológica que permita optimizar la biodegradación de residuos, mejorar la eficiencia en la medición y reporte de emisiones, y fomentar la adopción de prácticas sostenibles en el sector agrícola.</w:t>
      </w:r>
      <w:commentRangeEnd w:id="33"/>
      <w:r>
        <w:commentReference w:id="33"/>
      </w:r>
      <w:r>
        <w:rPr>
          <w:rFonts w:cs="Times New Roman" w:ascii="Times New Roman" w:hAnsi="Times New Roman"/>
          <w:sz w:val="24"/>
          <w:lang w:val="es-CO"/>
        </w:rPr>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4.5. Brechas identificadas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Falta de sistemas integrados para el monitoreo y control de variables ambientales.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Limitaciones en la medición de gases de efecto invernadero (GEI).</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Escasa aplicación de IoT e IA en la gestión de residuos agrícolas.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Optimización deficiente en la biodegradación con Mosca Soldado Negra.</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Baja accesibilidad y escalabilidad de soluciones tecnológicas.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Débil integración entre biotecnología y tecnologías digitales.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Insuficiencia de datos estandarizados y modelos predictivos.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Impacto limitado en la mitigación del cambio climático.</w:t>
      </w:r>
    </w:p>
    <w:p>
      <w:pPr>
        <w:pStyle w:val="Normal"/>
        <w:spacing w:lineRule="auto" w:line="360"/>
        <w:jc w:val="both"/>
        <w:rPr>
          <w:lang w:val="es-CO"/>
        </w:rPr>
      </w:pPr>
      <w:r>
        <w:rPr>
          <w:rFonts w:cs="Times New Roman" w:ascii="Times New Roman" w:hAnsi="Times New Roman"/>
          <w:sz w:val="24"/>
          <w:lang w:val="es-CO"/>
        </w:rPr>
        <w:t>Estas brechas justifican la necesidad de implementar soluciones innovadoras que integren IoT e IA para mejorar la gestión de residuos agrícolas, optimizar los procesos de medición, reporte y</w:t>
      </w:r>
      <w:r>
        <w:rPr>
          <w:lang w:val="es-CO"/>
        </w:rPr>
        <w:t xml:space="preserve"> </w:t>
      </w:r>
      <w:r>
        <w:rPr>
          <w:rFonts w:cs="Times New Roman" w:ascii="Times New Roman" w:hAnsi="Times New Roman"/>
          <w:sz w:val="24"/>
          <w:lang w:val="es-CO"/>
        </w:rPr>
        <w:t>validación de GEI, y avanzar hacia un modelo de agricultura sostenible y climáticamente responsable.</w:t>
      </w:r>
    </w:p>
    <w:p>
      <w:pPr>
        <w:pStyle w:val="pf0"/>
        <w:spacing w:lineRule="auto" w:line="360" w:before="280" w:after="280"/>
        <w:jc w:val="both"/>
        <w:rPr>
          <w:rFonts w:eastAsia="Calibri" w:eastAsiaTheme="minorHAnsi"/>
          <w:b/>
          <w:bCs/>
          <w:szCs w:val="22"/>
          <w:lang w:val="es-CO"/>
        </w:rPr>
      </w:pPr>
      <w:r>
        <w:rPr>
          <w:rFonts w:eastAsia="Calibri" w:eastAsiaTheme="minorHAnsi"/>
          <w:b/>
          <w:bCs/>
          <w:szCs w:val="22"/>
          <w:lang w:val="es-CO"/>
        </w:rPr>
        <w:t>5. Objetivo General</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Desarrollar un sistema integral que </w:t>
      </w:r>
      <w:commentRangeStart w:id="34"/>
      <w:r>
        <w:rPr>
          <w:rFonts w:cs="Times New Roman" w:ascii="Times New Roman" w:hAnsi="Times New Roman"/>
          <w:sz w:val="24"/>
          <w:lang w:val="es-CO"/>
        </w:rPr>
        <w:t>combine</w:t>
      </w:r>
      <w:r>
        <w:rPr>
          <w:rFonts w:cs="Times New Roman" w:ascii="Times New Roman" w:hAnsi="Times New Roman"/>
          <w:sz w:val="24"/>
          <w:lang w:val="es-CO"/>
        </w:rPr>
      </w:r>
      <w:commentRangeEnd w:id="34"/>
      <w:r>
        <w:commentReference w:id="34"/>
      </w:r>
      <w:r>
        <w:rPr>
          <w:rFonts w:cs="Times New Roman" w:ascii="Times New Roman" w:hAnsi="Times New Roman"/>
          <w:sz w:val="24"/>
          <w:lang w:val="es-CO"/>
        </w:rPr>
        <w:t xml:space="preserve"> tecnologías de</w:t>
      </w:r>
      <w:commentRangeStart w:id="35"/>
      <w:r>
        <w:rPr>
          <w:rFonts w:cs="Times New Roman" w:ascii="Times New Roman" w:hAnsi="Times New Roman"/>
          <w:sz w:val="24"/>
          <w:lang w:val="es-CO"/>
        </w:rPr>
        <w:t xml:space="preserve"> </w:t>
      </w:r>
      <w:r>
        <w:rPr>
          <w:rFonts w:cs="Times New Roman" w:ascii="Times New Roman" w:hAnsi="Times New Roman"/>
          <w:sz w:val="24"/>
          <w:lang w:val="es-CO"/>
        </w:rPr>
      </w:r>
      <w:commentRangeEnd w:id="35"/>
      <w:r>
        <w:commentReference w:id="35"/>
      </w:r>
      <w:r>
        <w:rPr>
          <w:rFonts w:cs="Times New Roman" w:ascii="Times New Roman" w:hAnsi="Times New Roman"/>
          <w:sz w:val="24"/>
          <w:lang w:val="es-CO"/>
        </w:rPr>
        <w:t xml:space="preserve">Internet de las Cosas (IoT) </w:t>
      </w:r>
      <w:commentRangeStart w:id="36"/>
      <w:r>
        <w:rPr>
          <w:rFonts w:cs="Times New Roman" w:ascii="Times New Roman" w:hAnsi="Times New Roman"/>
          <w:sz w:val="24"/>
          <w:lang w:val="es-CO"/>
        </w:rPr>
        <w:t xml:space="preserve">e Inteligencia Artificial (IA) </w:t>
      </w:r>
      <w:r>
        <w:rPr>
          <w:rFonts w:cs="Times New Roman" w:ascii="Times New Roman" w:hAnsi="Times New Roman"/>
          <w:sz w:val="24"/>
          <w:lang w:val="es-CO"/>
        </w:rPr>
      </w:r>
      <w:commentRangeEnd w:id="36"/>
      <w:r>
        <w:commentReference w:id="36"/>
      </w:r>
      <w:r>
        <w:rPr>
          <w:rFonts w:cs="Times New Roman" w:ascii="Times New Roman" w:hAnsi="Times New Roman"/>
          <w:sz w:val="24"/>
          <w:lang w:val="es-CO"/>
        </w:rPr>
        <w:t>para la medición, reporte, validación y trazabilidad de variables ambientales y emisiones de gases de efecto invernadero (GEI) durante el proceso de bioconversión de residuos orgánicos mediante el uso de la mosca soldado negra (Hermetia illucens), con el propósito de optimizar la gestión de residuos y reducir el impacto ambiental en el sector agrícola.</w:t>
      </w:r>
      <w:bookmarkStart w:id="0" w:name="_Hlk77881334"/>
      <w:bookmarkEnd w:id="0"/>
    </w:p>
    <w:p>
      <w:pPr>
        <w:pStyle w:val="pf0"/>
        <w:spacing w:lineRule="auto" w:line="360" w:before="280" w:after="280"/>
        <w:jc w:val="both"/>
        <w:rPr>
          <w:rFonts w:eastAsia="Calibri" w:eastAsiaTheme="minorHAnsi"/>
          <w:b/>
          <w:bCs/>
          <w:szCs w:val="22"/>
          <w:lang w:val="es-CO"/>
        </w:rPr>
      </w:pPr>
      <w:r>
        <w:rPr>
          <w:rFonts w:eastAsia="Calibri" w:eastAsiaTheme="minorHAnsi"/>
          <w:b/>
          <w:bCs/>
          <w:szCs w:val="22"/>
          <w:lang w:val="es-CO"/>
        </w:rPr>
        <w:t>5.1. Objetivos específicos</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5.1.1. Diseñar y construir un sistema de adquisición de datos IoT con hardware especializado que integre sensores de alta precisión para la medición en tiempo real de variables ambientales críticas (temperatura, humedad, iluminación) y emisiones de gases de efecto invernadero (GEI) durante la bioconversión de residuos orgánicos mediante la mosca soldado negra (Hermetia illucens), asegurando la recopilación continua de datos para la optimización del proceso.</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5.1.2. Desarrollar un dashboard para el almacenamiento, visualización, análisis y gestión de los datos recopilados por los sensores IoT, que permita el monitoreo remoto, la trazabilidad de emisiones de GEI y variables ambientales, y facilite la toma de decisiones para optimizar el proceso de bioconversión.</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5.1.3.  Implementar y validar el sistema integrado en un entorno controlado, evaluando la precisión de los sensores en la medición de variables ambientales y emisiones de GEI, así como su impacto en la eficiencia del proceso de bioconversión y la reducción de emisiones, asegurando la fiabilidad y estabilidad del sistema.</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t xml:space="preserve">5.1.4. Implementar algoritmos de </w:t>
      </w:r>
      <w:commentRangeStart w:id="37"/>
      <w:r>
        <w:rPr>
          <w:rFonts w:cs="Times New Roman" w:ascii="Times New Roman" w:hAnsi="Times New Roman"/>
          <w:sz w:val="24"/>
          <w:lang w:val="es-CO"/>
        </w:rPr>
        <w:t xml:space="preserve">inteligencia artificial </w:t>
      </w:r>
      <w:r>
        <w:rPr>
          <w:rFonts w:cs="Times New Roman" w:ascii="Times New Roman" w:hAnsi="Times New Roman"/>
          <w:sz w:val="24"/>
          <w:lang w:val="es-CO"/>
        </w:rPr>
      </w:r>
      <w:commentRangeEnd w:id="37"/>
      <w:r>
        <w:commentReference w:id="37"/>
      </w:r>
      <w:r>
        <w:rPr>
          <w:rFonts w:cs="Times New Roman" w:ascii="Times New Roman" w:hAnsi="Times New Roman"/>
          <w:sz w:val="24"/>
          <w:lang w:val="es-CO"/>
        </w:rPr>
        <w:t>en el sistema de monitoreo para analizar datos en tiempo real y optimizar su eficiencia operativa.</w:t>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r>
    </w:p>
    <w:p>
      <w:pPr>
        <w:pStyle w:val="Normal"/>
        <w:spacing w:lineRule="auto" w:line="360"/>
        <w:jc w:val="both"/>
        <w:rPr>
          <w:rFonts w:ascii="Times New Roman" w:hAnsi="Times New Roman" w:cs="Times New Roman"/>
          <w:sz w:val="24"/>
          <w:lang w:val="es-CO"/>
        </w:rPr>
      </w:pPr>
      <w:r>
        <w:rPr>
          <w:rFonts w:cs="Times New Roman" w:ascii="Times New Roman" w:hAnsi="Times New Roman"/>
          <w:sz w:val="24"/>
          <w:lang w:val="es-CO"/>
        </w:rPr>
      </w:r>
    </w:p>
    <w:p>
      <w:pPr>
        <w:pStyle w:val="pf0"/>
        <w:spacing w:lineRule="auto" w:line="360" w:before="280" w:after="280"/>
        <w:jc w:val="both"/>
        <w:rPr>
          <w:rFonts w:eastAsia="Calibri" w:eastAsiaTheme="minorHAnsi"/>
          <w:b/>
          <w:bCs/>
          <w:szCs w:val="22"/>
          <w:lang w:val="es-CO"/>
        </w:rPr>
      </w:pPr>
      <w:commentRangeStart w:id="38"/>
      <w:r>
        <w:rPr>
          <w:rFonts w:eastAsia="Calibri" w:eastAsiaTheme="minorHAnsi"/>
          <w:b/>
          <w:bCs/>
          <w:szCs w:val="22"/>
          <w:lang w:val="es-CO"/>
        </w:rPr>
        <w:t>6. Metodología</w:t>
      </w:r>
      <w:commentRangeEnd w:id="38"/>
      <w:r>
        <w:commentReference w:id="38"/>
      </w:r>
      <w:r>
        <w:rPr>
          <w:rFonts w:eastAsia="Calibri" w:eastAsiaTheme="minorHAnsi"/>
          <w:b/>
          <w:bCs/>
          <w:szCs w:val="22"/>
          <w:lang w:val="es-CO"/>
        </w:rPr>
      </w:r>
    </w:p>
    <w:p>
      <w:pPr>
        <w:pStyle w:val="pf0"/>
        <w:spacing w:lineRule="auto" w:line="360" w:before="280" w:after="280"/>
        <w:jc w:val="both"/>
        <w:rPr>
          <w:lang w:val="es-CO"/>
        </w:rPr>
      </w:pPr>
      <w:r>
        <w:rPr>
          <w:lang w:val="es-CO"/>
        </w:rPr>
        <w:t xml:space="preserve">La metodología propuesta para el desarrollo del sistema integral de medición, reporte, validación y trazabilidad de gases de efecto invernadero (GEI) y variables ambientales durante el proceso de bioconversión de residuos agrícolas mediante la mosca soldado negra (Hermetia illucens) se estructura en tres fases, a saber: </w:t>
      </w:r>
    </w:p>
    <w:p>
      <w:pPr>
        <w:pStyle w:val="pf0"/>
        <w:spacing w:lineRule="auto" w:line="360" w:before="280" w:after="280"/>
        <w:jc w:val="both"/>
        <w:rPr>
          <w:lang w:val="es-CO"/>
        </w:rPr>
      </w:pPr>
      <w:r>
        <w:rPr>
          <w:lang w:val="es-CO"/>
        </w:rPr>
        <w:t>En la</w:t>
      </w:r>
      <w:r>
        <w:rPr>
          <w:b/>
          <w:bCs/>
          <w:lang w:val="es-CO"/>
        </w:rPr>
        <w:t xml:space="preserve"> Fase de Diseño</w:t>
      </w:r>
      <w:r>
        <w:rPr>
          <w:lang w:val="es-CO"/>
        </w:rPr>
        <w:t xml:space="preserve">, se elaborará el sistema de adquisición de datos que usará IoT, sensores NDIR para medir CO₂ y CH₄, sensores ambientales (temperatura, humedad e iluminación), sensor NPK, integrados a ESP32. Simultáneamente, se definirá la arquitectura del sistema para la correcta interacción entre hardware, y el dashboard. </w:t>
      </w:r>
    </w:p>
    <w:p>
      <w:pPr>
        <w:pStyle w:val="pf0"/>
        <w:spacing w:lineRule="auto" w:line="360" w:before="280" w:after="280"/>
        <w:jc w:val="both"/>
        <w:rPr>
          <w:lang w:val="es-CO"/>
        </w:rPr>
      </w:pPr>
      <w:r>
        <w:rPr>
          <w:lang w:val="es-CO"/>
        </w:rPr>
        <w:t xml:space="preserve">En la </w:t>
      </w:r>
      <w:r>
        <w:rPr>
          <w:b/>
          <w:bCs/>
          <w:lang w:val="es-CO"/>
        </w:rPr>
        <w:t>Fase de Desarrollo</w:t>
      </w:r>
      <w:r>
        <w:rPr>
          <w:lang w:val="es-CO"/>
        </w:rPr>
        <w:t>, se llevará a cabo la fabricación de prototipos electrónicos, la programación de algoritmos de adquisición y transmisión de datos, así como el diseño de un dashboard interactivo para el monitoreo remoto y la trazabilidad de datos, empleando tecnologías como Python, JavaScript, Arduino y Google Cloud. Además, se integrarán algoritmos de inteligencia artificial (IA) para analizar datos en tiempo real.</w:t>
      </w:r>
    </w:p>
    <w:p>
      <w:pPr>
        <w:pStyle w:val="pf0"/>
        <w:spacing w:lineRule="auto" w:line="360" w:before="280" w:after="280"/>
        <w:jc w:val="both"/>
        <w:rPr>
          <w:lang w:val="es-CO"/>
        </w:rPr>
      </w:pPr>
      <w:r>
        <w:rPr>
          <w:lang w:val="es-CO"/>
        </w:rPr>
        <w:t xml:space="preserve">Finalmente, en la </w:t>
      </w:r>
      <w:r>
        <w:rPr>
          <w:b/>
          <w:bCs/>
          <w:lang w:val="es-CO"/>
        </w:rPr>
        <w:t>Fase de Validación</w:t>
      </w:r>
      <w:r>
        <w:rPr>
          <w:lang w:val="es-CO"/>
        </w:rPr>
        <w:t>, el sistema será validado en un entorno controlado, donde se analizará su precisión y eficiencia en la medición de variables ambientales y GEI, comparando los resultados con métodos tradicionales. Los datos recopilados serán analizados estadísticamente para evaluar el desempeño del sistema y proponer su escalabilidad en entornos agrícolas reales.</w:t>
      </w:r>
    </w:p>
    <w:p>
      <w:pPr>
        <w:pStyle w:val="pf0"/>
        <w:spacing w:lineRule="auto" w:line="360" w:before="280" w:after="280"/>
        <w:jc w:val="both"/>
        <w:rPr>
          <w:b/>
          <w:bCs/>
          <w:lang w:val="es-CO"/>
        </w:rPr>
      </w:pPr>
      <w:r>
        <w:rPr>
          <w:b/>
          <w:bCs/>
          <w:lang w:val="es-CO"/>
        </w:rPr>
        <w:t>Descripción del proceso</w:t>
      </w:r>
    </w:p>
    <w:p>
      <w:pPr>
        <w:pStyle w:val="pf0"/>
        <w:spacing w:lineRule="auto" w:line="360" w:before="280" w:after="280"/>
        <w:jc w:val="both"/>
        <w:rPr>
          <w:lang w:val="es-CO"/>
        </w:rPr>
      </w:pPr>
      <w:r>
        <w:rPr>
          <w:lang w:val="es-CO"/>
        </w:rPr>
        <w:t>6.1. Ubicación del experimento</w:t>
      </w:r>
    </w:p>
    <w:p>
      <w:pPr>
        <w:pStyle w:val="pf0"/>
        <w:spacing w:lineRule="auto" w:line="360" w:before="280" w:after="280"/>
        <w:jc w:val="both"/>
        <w:rPr>
          <w:lang w:val="es-CO"/>
        </w:rPr>
      </w:pPr>
      <w:commentRangeStart w:id="39"/>
      <w:r>
        <w:rPr>
          <w:lang w:val="es-CO"/>
        </w:rPr>
        <w:t xml:space="preserve">El estudio se llevará a cabo en el municipio de Palmira, Valle del Cauca. en el centro internacional de agricultura tropical (CIAT).  Palmira está ubicada en el sur del Valle del Cauca, a una altitud de aproximadamente 1.000 metros sobre el nivel del mar (msnm). El clima en Palmira es un ecosistema bosque tropical seco, con temperatura promedio de 24°C y una precipitación anual de 900 a 1.000 mm. </w:t>
      </w:r>
      <w:commentRangeEnd w:id="39"/>
      <w:r>
        <w:commentReference w:id="39"/>
      </w:r>
      <w:r>
        <w:rPr>
          <w:lang w:val="es-CO"/>
        </w:rPr>
      </w:r>
    </w:p>
    <w:p>
      <w:pPr>
        <w:pStyle w:val="pf0"/>
        <w:spacing w:lineRule="auto" w:line="360" w:before="280" w:after="280"/>
        <w:jc w:val="both"/>
        <w:rPr>
          <w:lang w:val="es-CO"/>
        </w:rPr>
      </w:pPr>
      <w:r>
        <w:rPr>
          <w:lang w:val="es-CO"/>
        </w:rPr>
      </w:r>
    </w:p>
    <w:p>
      <w:pPr>
        <w:pStyle w:val="pf0"/>
        <w:spacing w:lineRule="auto" w:line="360" w:before="280" w:after="280"/>
        <w:jc w:val="both"/>
        <w:rPr>
          <w:lang w:val="es-CO"/>
        </w:rPr>
      </w:pPr>
      <w:r>
        <w:rPr>
          <w:lang w:val="es-CO"/>
        </w:rPr>
        <w:t>6.1. Experimentos de dietas en mosca soldado negra</w:t>
      </w:r>
    </w:p>
    <w:p>
      <w:pPr>
        <w:pStyle w:val="pf0"/>
        <w:spacing w:lineRule="auto" w:line="360" w:before="280" w:after="280"/>
        <w:jc w:val="both"/>
        <w:rPr>
          <w:lang w:val="es-CO"/>
        </w:rPr>
      </w:pPr>
      <w:r>
        <w:rPr>
          <w:lang w:val="es-CO"/>
        </w:rPr>
        <w:t>Para evaluar el impacto de diferentes dietas en la eficiencia del proceso de bioconversión de residuos orgánicos mediante la mosca soldado negra (</w:t>
      </w:r>
      <w:commentRangeStart w:id="40"/>
      <w:r>
        <w:rPr>
          <w:lang w:val="es-CO"/>
        </w:rPr>
        <w:t>Hermetia illucens</w:t>
      </w:r>
      <w:r>
        <w:rPr>
          <w:lang w:val="es-CO"/>
        </w:rPr>
      </w:r>
      <w:commentRangeEnd w:id="40"/>
      <w:r>
        <w:commentReference w:id="40"/>
      </w:r>
      <w:r>
        <w:rPr>
          <w:lang w:val="es-CO"/>
        </w:rPr>
        <w:t>), se realizarán experimentos controlados utilizando desechos orgánicos provenientes de diferentes fuentes, como sustrato principal. Estos residuos incluirán restos de alimentos ricos en materia orgánica, cuya composición permitirá analizar el efecto de distintas mezclas en el crecimiento larval, la tasa de conversión de residuos y la generación de biomasa</w:t>
      </w:r>
      <w:commentRangeStart w:id="41"/>
      <w:r>
        <w:rPr>
          <w:lang w:val="es-CO"/>
        </w:rPr>
        <w:t>.</w:t>
      </w:r>
      <w:r>
        <w:rPr>
          <w:lang w:val="es-CO"/>
        </w:rPr>
      </w:r>
      <w:commentRangeEnd w:id="41"/>
      <w:r>
        <w:commentReference w:id="41"/>
      </w:r>
      <w:r>
        <w:rPr>
          <w:lang w:val="es-CO"/>
        </w:rPr>
        <w:t xml:space="preserve"> Durante el proceso, se implementará un sistema de monitoreo en tiempo real mediante sensores IoT para medir variables ambientales clav</w:t>
      </w:r>
      <w:commentRangeStart w:id="42"/>
      <w:r>
        <w:rPr>
          <w:lang w:val="es-CO"/>
        </w:rPr>
        <w:t>e</w:t>
      </w:r>
      <w:r>
        <w:rPr>
          <w:lang w:val="es-CO"/>
        </w:rPr>
      </w:r>
      <w:commentRangeEnd w:id="42"/>
      <w:r>
        <w:commentReference w:id="42"/>
      </w:r>
      <w:r>
        <w:rPr>
          <w:lang w:val="es-CO"/>
        </w:rPr>
        <w:t xml:space="preserve"> como temperatura, humedad, iluminación, pH y concentración de nutrientes esenciales (NPK). </w:t>
      </w:r>
    </w:p>
    <w:p>
      <w:pPr>
        <w:pStyle w:val="pf0"/>
        <w:spacing w:lineRule="auto" w:line="360" w:before="280" w:after="280"/>
        <w:jc w:val="both"/>
        <w:rPr>
          <w:lang w:val="es-CO"/>
        </w:rPr>
      </w:pPr>
      <w:r>
        <w:rPr>
          <w:lang w:val="es-CO"/>
        </w:rPr>
        <w:t>Estos parámetros serán fundamentales para evaluar cómo las condiciones ambientales influyen en la eficiencia de la bioconversión y en las emisiones de gases de efecto invernadero (GEI). Los datos recopilados serán analizados  utilizando técnicas estadísticas y algunos de ellos con algoritmos de inteligencia artificial (IA), con el objetivo de maximizar la producción de biomasa y subproductos de valor agregado, al tiempo que se minimizan las emisiones de GEI. Esta estrategia permitirá validar la viabilidad de la mosca soldado negra como solución sostenible para la gestión de residuos alimentarios y contribuirá al diseño de un sistema automatizado de gestión de residuos en entornos agrícolas y agroindustriales.</w:t>
      </w:r>
    </w:p>
    <w:p>
      <w:pPr>
        <w:pStyle w:val="pf0"/>
        <w:spacing w:lineRule="auto" w:line="360" w:before="280" w:after="280"/>
        <w:jc w:val="both"/>
        <w:rPr>
          <w:lang w:val="es-CO"/>
        </w:rPr>
      </w:pPr>
      <w:r>
        <w:rPr>
          <w:lang w:val="es-CO"/>
        </w:rPr>
        <w:t>6.2. Diseño y desarrollo de componentes electrónicos (IoT)</w:t>
      </w:r>
    </w:p>
    <w:p>
      <w:pPr>
        <w:pStyle w:val="pf0"/>
        <w:spacing w:lineRule="auto" w:line="360" w:before="280" w:after="280"/>
        <w:jc w:val="both"/>
        <w:rPr>
          <w:lang w:val="es-CO"/>
        </w:rPr>
      </w:pPr>
      <w:r>
        <w:rPr>
          <w:lang w:val="es-CO"/>
        </w:rPr>
        <w:t xml:space="preserve">Se diseñará y desarrollará un sistema de adquisición de datos basado en Internet de las Cosas (IoT), compuesto por sensores NDIR (infrarrojos no dispersivos) para la medición de dióxido de carbono (CO₂) con un rango de detección de 0 a 5000 ppm y resolución de ± 50 ppm (Winsen Sensor, MH-410D) y sensores de gas metano (CH₄) con un rango de detección de 0 a 10% en volumen y una resolución de 0.01% en volumen (Winsen Sensor, MH-441D). Este sistema permitirá monitorear en tiempo real las concentraciones de estos gases, facilitando su análisis y control en aplicaciones como la calidad del aire, seguridad industrial y gestión ambiental.  </w:t>
      </w:r>
    </w:p>
    <w:p>
      <w:pPr>
        <w:pStyle w:val="pf0"/>
        <w:spacing w:lineRule="auto" w:line="360" w:before="280" w:after="280"/>
        <w:jc w:val="both"/>
        <w:rPr>
          <w:lang w:val="es-CO"/>
        </w:rPr>
      </w:pPr>
      <w:r>
        <w:rPr>
          <w:lang w:val="es-CO"/>
        </w:rPr>
        <w:t>Además, se integrarán sensores de temperatura y humedad como el DHT22, con una precisión de ±0.5 °C para la temperatura y ±2 % para la humedad relativa, sensores de iluminación como el BH1750 con un rango de detección de 1 a 65535 lux, y sensores de pH y nutrientes (NPK) para el monitoreo de las condiciones del sustrato, CWT soil sensor (NPK Type).</w:t>
      </w:r>
    </w:p>
    <w:p>
      <w:pPr>
        <w:pStyle w:val="pf0"/>
        <w:spacing w:lineRule="auto" w:line="360" w:before="280" w:after="280"/>
        <w:jc w:val="both"/>
        <w:rPr>
          <w:lang w:val="es-CO"/>
        </w:rPr>
      </w:pPr>
      <w:r>
        <w:rPr>
          <w:lang w:val="es-CO"/>
        </w:rPr>
        <w:t>Todos estos sensores serán integrados con microcontroladores ESP32, seleccionados por su bajo costo, flexibilidad y capacidad de procesamiento, así como por su conectividad Wi-Fi integrada para la transmisión de datos en tiempo real.  Los circuitos electrónicos serán diseñados utilizando software especializado como Eagle, lo que permitirá desarrollar prototipos funcionales y optimizados. Este sistema garantizará la recopilación continua de datos ambientales y de emisiones de GEI durante el proceso de bioconversión, mejorando la precisión y trazabilidad de las mediciones necesarias para optimizar la gestión de residuos orgánicos.</w:t>
      </w:r>
    </w:p>
    <w:p>
      <w:pPr>
        <w:pStyle w:val="pf0"/>
        <w:spacing w:lineRule="auto" w:line="360" w:before="280" w:after="280"/>
        <w:jc w:val="both"/>
        <w:rPr>
          <w:lang w:val="es-CO"/>
        </w:rPr>
      </w:pPr>
      <w:commentRangeStart w:id="43"/>
      <w:r>
        <w:rPr>
          <w:lang w:val="es-CO"/>
        </w:rPr>
        <w:t>Configuración de la red IoT: L</w:t>
      </w:r>
      <w:r>
        <w:rPr>
          <w:lang w:val="es-CO"/>
        </w:rPr>
      </w:r>
      <w:commentRangeEnd w:id="43"/>
      <w:r>
        <w:commentReference w:id="43"/>
      </w:r>
      <w:r>
        <w:rPr>
          <w:lang w:val="es-CO"/>
        </w:rPr>
        <w:t>os sensores estarán integrados en dispositivos diseñados específicamente para conectarse a una red IoT mediante protocolos de comunicación eficientes, como LoRa o Wi-Fi. Estos dispositivos permitirán la transmisión de datos en tiempo real hacia una plataforma central, optimizando la cobertura y el consumo energético según las condiciones del entorno.</w:t>
      </w:r>
    </w:p>
    <w:p>
      <w:pPr>
        <w:pStyle w:val="pf0"/>
        <w:spacing w:lineRule="auto" w:line="360" w:before="280" w:after="280"/>
        <w:jc w:val="both"/>
        <w:rPr>
          <w:lang w:val="es-CO"/>
        </w:rPr>
      </w:pPr>
      <w:r>
        <w:rPr>
          <w:lang w:val="es-CO"/>
        </w:rPr>
        <w:t>6.2. Desarrollo de la plataforma dashboard</w:t>
      </w:r>
    </w:p>
    <w:p>
      <w:pPr>
        <w:pStyle w:val="pf0"/>
        <w:spacing w:lineRule="auto" w:line="360" w:before="280" w:after="280"/>
        <w:jc w:val="both"/>
        <w:rPr>
          <w:lang w:val="es-CO"/>
        </w:rPr>
      </w:pPr>
      <w:r>
        <w:rPr>
          <w:lang w:val="es-CO"/>
        </w:rPr>
        <w:t>Se desarrollará una plataforma dashboard para el almacenamiento, visualización y gestión de los datos recopilados. La plataforma se implementará utilizando herramientas de desarrollo de software como Python, JavaScript y Node-RED, y se alojará en un servidor en la nube (Google Cloud). La interfaz de usuario permitirá visualizar gráficos en tiempo real, configurar alertas y analizar tendencias de las variables ambientales y emisiones de GEI. Además, se integrará una base de datos relacional tipo SQL para almacenar los datos históricos y facilitar su posterior análisis. Esta plataforma será fundamental para el monitoreo remoto y la toma de decisiones basada en datos.</w:t>
      </w:r>
    </w:p>
    <w:p>
      <w:pPr>
        <w:pStyle w:val="pf0"/>
        <w:spacing w:lineRule="auto" w:line="360" w:before="280" w:after="280"/>
        <w:jc w:val="both"/>
        <w:rPr>
          <w:lang w:val="es-CO"/>
        </w:rPr>
      </w:pPr>
      <w:r>
        <w:rPr>
          <w:lang w:val="es-CO"/>
        </w:rPr>
        <w:t xml:space="preserve">6.3. Implementación de algoritmos de </w:t>
      </w:r>
      <w:commentRangeStart w:id="44"/>
      <w:r>
        <w:rPr>
          <w:lang w:val="es-CO"/>
        </w:rPr>
        <w:t>Inteligencia Artificial (IA)</w:t>
      </w:r>
      <w:commentRangeEnd w:id="44"/>
      <w:r>
        <w:commentReference w:id="44"/>
      </w:r>
      <w:r>
        <w:rPr>
          <w:lang w:val="es-CO"/>
        </w:rPr>
      </w:r>
    </w:p>
    <w:p>
      <w:pPr>
        <w:pStyle w:val="pf0"/>
        <w:spacing w:lineRule="auto" w:line="360" w:before="280" w:after="280"/>
        <w:jc w:val="both"/>
        <w:rPr>
          <w:lang w:val="es-CO"/>
        </w:rPr>
      </w:pPr>
      <w:r>
        <w:rPr>
          <w:lang w:val="es-CO"/>
        </w:rPr>
        <w:t xml:space="preserve">Se implementará un algoritmo de </w:t>
      </w:r>
      <w:commentRangeStart w:id="45"/>
      <w:r>
        <w:rPr>
          <w:lang w:val="es-CO"/>
        </w:rPr>
        <w:t xml:space="preserve">Inteligencia Artificial (IA) </w:t>
      </w:r>
      <w:r>
        <w:rPr>
          <w:lang w:val="es-CO"/>
        </w:rPr>
      </w:r>
      <w:commentRangeEnd w:id="45"/>
      <w:r>
        <w:commentReference w:id="45"/>
      </w:r>
      <w:r>
        <w:rPr>
          <w:lang w:val="es-CO"/>
        </w:rPr>
        <w:t>para analizar y procesar los datos recopilados. Utilizando herramientas como TensorFlow o Scikit-learn, se entrenará un modelo de machine learning para optimizar un proceso específico, el cual se definirá posteriormente</w:t>
      </w:r>
      <w:commentRangeStart w:id="46"/>
      <w:r>
        <w:rPr>
          <w:lang w:val="es-CO"/>
        </w:rPr>
        <w:t>.</w:t>
      </w:r>
      <w:commentRangeEnd w:id="46"/>
      <w:r>
        <w:commentReference w:id="46"/>
      </w:r>
      <w:r>
        <w:rPr>
          <w:lang w:val="es-CO"/>
        </w:rPr>
      </w:r>
    </w:p>
    <w:p>
      <w:pPr>
        <w:pStyle w:val="pf0"/>
        <w:spacing w:lineRule="auto" w:line="360" w:before="280" w:after="280"/>
        <w:jc w:val="both"/>
        <w:rPr>
          <w:lang w:val="es-CO"/>
        </w:rPr>
      </w:pPr>
      <w:r>
        <w:rPr>
          <w:lang w:val="es-CO"/>
        </w:rPr>
        <w:t>6.4. Validación del sistema integrado</w:t>
      </w:r>
    </w:p>
    <w:p>
      <w:pPr>
        <w:pStyle w:val="pf0"/>
        <w:spacing w:lineRule="auto" w:line="360" w:before="280" w:after="280"/>
        <w:jc w:val="both"/>
        <w:rPr>
          <w:lang w:val="es-CO"/>
        </w:rPr>
      </w:pPr>
      <w:r>
        <w:rPr>
          <w:lang w:val="es-CO"/>
        </w:rPr>
        <w:t xml:space="preserve">El sistema integrado (sensores IoT, plataforma dashboard y algoritmos </w:t>
      </w:r>
      <w:commentRangeStart w:id="47"/>
      <w:r>
        <w:rPr>
          <w:lang w:val="es-CO"/>
        </w:rPr>
        <w:t>de IA</w:t>
      </w:r>
      <w:r>
        <w:rPr>
          <w:lang w:val="es-CO"/>
        </w:rPr>
      </w:r>
      <w:commentRangeEnd w:id="47"/>
      <w:r>
        <w:commentReference w:id="47"/>
      </w:r>
      <w:r>
        <w:rPr>
          <w:lang w:val="es-CO"/>
        </w:rPr>
        <w:t xml:space="preserve">) se validará en un entorno controlado, utilizando un método tradicional. Se monitorearán las variables ambientales y las emisiones de GEI durante un período de 30 días, comparando los resultados con mediciones de referencia realizadas con equipos especializados (analizadores de gases, termómetros y higrómetros de alta precisión). Los datos recopilados se analizarán para evaluar la precisión del sistema y su capacidad para optimizar el proceso de bioconversión. Esta validación permitirá identificar áreas de mejora y ajustar los algoritmos de </w:t>
      </w:r>
      <w:commentRangeStart w:id="48"/>
      <w:r>
        <w:rPr>
          <w:lang w:val="es-CO"/>
        </w:rPr>
        <w:t>IA</w:t>
      </w:r>
      <w:r>
        <w:rPr>
          <w:lang w:val="es-CO"/>
        </w:rPr>
      </w:r>
      <w:commentRangeEnd w:id="48"/>
      <w:r>
        <w:commentReference w:id="48"/>
      </w:r>
      <w:r>
        <w:rPr>
          <w:lang w:val="es-CO"/>
        </w:rPr>
        <w:t xml:space="preserve"> para aumentar la eficiencia del sistema.</w:t>
      </w:r>
    </w:p>
    <w:p>
      <w:pPr>
        <w:pStyle w:val="pf0"/>
        <w:spacing w:lineRule="auto" w:line="360" w:before="280" w:after="280"/>
        <w:jc w:val="both"/>
        <w:rPr>
          <w:lang w:val="es-CO"/>
        </w:rPr>
      </w:pPr>
      <w:r>
        <w:rPr>
          <w:lang w:val="es-CO"/>
        </w:rPr>
        <w:t>6.5. Análisis de resultados y propuesta de escalabilidad</w:t>
      </w:r>
    </w:p>
    <w:p>
      <w:pPr>
        <w:pStyle w:val="pf0"/>
        <w:spacing w:lineRule="auto" w:line="360" w:before="280" w:after="280"/>
        <w:jc w:val="both"/>
        <w:rPr>
          <w:lang w:val="es-CO"/>
        </w:rPr>
      </w:pPr>
      <w:r>
        <w:rPr>
          <w:lang w:val="es-CO"/>
        </w:rPr>
        <w:t>Finalmente, se analizarán los resultados para evaluar el desempeño del sistema en términos de precisión y eficiencia. Con base en estos resultados, se propondrán recomendaciones para hacer un modelo escalable, considerando factores como el costo y la facilidad de uso. Esto permitirá sentar las bases para futuras aplicaciones del sistema en entornos rurales y de pequeña escala.</w:t>
      </w:r>
    </w:p>
    <w:p>
      <w:pPr>
        <w:pStyle w:val="pf0"/>
        <w:spacing w:lineRule="auto" w:line="360" w:before="280" w:after="280"/>
        <w:jc w:val="both"/>
        <w:rPr>
          <w:lang w:val="es-CO"/>
        </w:rPr>
      </w:pPr>
      <w:r>
        <w:rPr>
          <w:lang w:val="es-CO"/>
        </w:rPr>
        <w:t>6.6. Materiales principales que se utilizarán</w:t>
      </w:r>
    </w:p>
    <w:p>
      <w:pPr>
        <w:pStyle w:val="pf0"/>
        <w:spacing w:lineRule="auto" w:line="360" w:before="280" w:after="280"/>
        <w:jc w:val="both"/>
        <w:rPr>
          <w:lang w:val="es-CO"/>
        </w:rPr>
      </w:pPr>
      <w:r>
        <w:rPr>
          <w:lang w:val="es-CO"/>
        </w:rPr>
        <w:t>Sensores: NDIR (CO₂ y CH₄), DHT22 (temperatura y humedad).</w:t>
      </w:r>
    </w:p>
    <w:p>
      <w:pPr>
        <w:pStyle w:val="pf0"/>
        <w:spacing w:lineRule="auto" w:line="360" w:before="280" w:after="280"/>
        <w:jc w:val="both"/>
        <w:rPr>
          <w:lang w:val="es-CO"/>
        </w:rPr>
      </w:pPr>
      <w:r>
        <w:rPr>
          <w:lang w:val="es-CO"/>
        </w:rPr>
        <w:t>Microcontroladores: ESP32.</w:t>
      </w:r>
    </w:p>
    <w:p>
      <w:pPr>
        <w:pStyle w:val="pf0"/>
        <w:spacing w:lineRule="auto" w:line="360" w:before="280" w:after="280"/>
        <w:jc w:val="both"/>
        <w:rPr>
          <w:lang w:val="es-CO"/>
        </w:rPr>
      </w:pPr>
      <w:r>
        <w:rPr>
          <w:lang w:val="es-CO"/>
        </w:rPr>
        <w:t>Módulos de comunicación: LoRa.</w:t>
      </w:r>
    </w:p>
    <w:p>
      <w:pPr>
        <w:pStyle w:val="pf0"/>
        <w:spacing w:lineRule="auto" w:line="360" w:before="280" w:after="280"/>
        <w:jc w:val="both"/>
        <w:rPr>
          <w:lang w:val="es-CO"/>
        </w:rPr>
      </w:pPr>
      <w:r>
        <w:rPr>
          <w:lang w:val="es-CO"/>
        </w:rPr>
        <w:t>Herramientas de software: R, Python, JavaScript, Node-RED, TensorFlow, Scikit-learn.</w:t>
      </w:r>
    </w:p>
    <w:p>
      <w:pPr>
        <w:pStyle w:val="pf0"/>
        <w:spacing w:lineRule="auto" w:line="360" w:before="280" w:after="280"/>
        <w:jc w:val="both"/>
        <w:rPr>
          <w:lang w:val="es-CO"/>
        </w:rPr>
      </w:pPr>
      <w:r>
        <w:rPr>
          <w:lang w:val="es-CO"/>
        </w:rPr>
        <w:t>Plataformas de almacenamiento: Google Cloud.</w:t>
      </w:r>
    </w:p>
    <w:p>
      <w:pPr>
        <w:pStyle w:val="pf0"/>
        <w:spacing w:lineRule="auto" w:line="360" w:before="280" w:after="280"/>
        <w:jc w:val="both"/>
        <w:rPr>
          <w:lang w:val="es-CO"/>
        </w:rPr>
      </w:pPr>
      <w:commentRangeStart w:id="49"/>
      <w:r>
        <w:rPr>
          <w:lang w:val="es-CO"/>
        </w:rPr>
        <w:t>Equipos de validación: Analizadores de gases, termómetros e higrómetros.</w:t>
      </w:r>
    </w:p>
    <w:p>
      <w:pPr>
        <w:pStyle w:val="ListParagraph"/>
        <w:tabs>
          <w:tab w:val="clear" w:pos="720"/>
          <w:tab w:val="left" w:pos="0" w:leader="none"/>
        </w:tabs>
        <w:spacing w:lineRule="auto" w:line="360"/>
        <w:ind w:start="0"/>
        <w:jc w:val="both"/>
        <w:rPr>
          <w:lang w:val="es-CO"/>
        </w:rPr>
      </w:pPr>
      <w:r>
        <w:rPr>
          <w:lang w:val="es-CO"/>
        </w:rPr>
      </w:r>
    </w:p>
    <w:p>
      <w:pPr>
        <w:pStyle w:val="ListParagraph"/>
        <w:tabs>
          <w:tab w:val="clear" w:pos="720"/>
          <w:tab w:val="left" w:pos="0" w:leader="none"/>
        </w:tabs>
        <w:spacing w:lineRule="auto" w:line="360"/>
        <w:ind w:start="0"/>
        <w:jc w:val="both"/>
        <w:rPr>
          <w:rFonts w:ascii="Times New Roman" w:hAnsi="Times New Roman" w:cs="Times New Roman"/>
          <w:sz w:val="24"/>
          <w:lang w:val="es-CO"/>
        </w:rPr>
      </w:pPr>
      <w:commentRangeStart w:id="50"/>
      <w:r>
        <w:rPr>
          <w:rFonts w:cs="Times New Roman" w:ascii="Times New Roman" w:hAnsi="Times New Roman"/>
          <w:b/>
          <w:bCs/>
          <w:sz w:val="24"/>
          <w:lang w:val="es-CO"/>
        </w:rPr>
        <w:t>7. Costos</w:t>
      </w:r>
      <w:r>
        <w:rPr>
          <w:rFonts w:cs="Times New Roman" w:ascii="Times New Roman" w:hAnsi="Times New Roman"/>
          <w:b/>
          <w:bCs/>
          <w:sz w:val="24"/>
          <w:lang w:val="es-CO"/>
        </w:rPr>
      </w:r>
      <w:commentRangeEnd w:id="49"/>
      <w:r>
        <w:commentReference w:id="49"/>
      </w:r>
      <w:commentRangeEnd w:id="50"/>
      <w:r>
        <w:commentReference w:id="50"/>
      </w:r>
      <w:r>
        <w:rPr>
          <w:rFonts w:cs="Times New Roman" w:ascii="Times New Roman" w:hAnsi="Times New Roman"/>
          <w:b/>
          <w:bCs/>
          <w:sz w:val="24"/>
          <w:lang w:val="es-CO"/>
        </w:rPr>
      </w:r>
    </w:p>
    <w:p>
      <w:pPr>
        <w:pStyle w:val="pf0"/>
        <w:spacing w:lineRule="auto" w:line="360" w:before="280" w:after="280"/>
        <w:jc w:val="both"/>
        <w:rPr>
          <w:lang w:val="es-CO"/>
        </w:rPr>
      </w:pPr>
      <w:r>
        <w:rPr>
          <w:lang w:val="es-CO"/>
        </w:rPr>
        <w:t>Categoría</w:t>
        <w:tab/>
        <w:tab/>
        <w:tab/>
        <w:tab/>
        <w:tab/>
        <w:tab/>
        <w:t>Costo Promedio (COP)</w:t>
      </w:r>
    </w:p>
    <w:p>
      <w:pPr>
        <w:pStyle w:val="pf0"/>
        <w:spacing w:lineRule="auto" w:line="360" w:before="280" w:after="280"/>
        <w:jc w:val="both"/>
        <w:rPr>
          <w:lang w:val="es-CO"/>
        </w:rPr>
      </w:pPr>
      <w:r>
        <w:rPr>
          <w:lang w:val="es-CO"/>
        </w:rPr>
        <w:t>Sensores y componentes electrónicos</w:t>
        <w:tab/>
        <w:tab/>
        <w:tab/>
        <w:tab/>
        <w:t>$6.250.000</w:t>
      </w:r>
    </w:p>
    <w:p>
      <w:pPr>
        <w:pStyle w:val="pf0"/>
        <w:spacing w:lineRule="auto" w:line="360" w:before="280" w:after="280"/>
        <w:jc w:val="both"/>
        <w:rPr>
          <w:lang w:val="es-CO"/>
        </w:rPr>
      </w:pPr>
      <w:r>
        <w:rPr>
          <w:lang w:val="es-CO"/>
        </w:rPr>
        <w:t>Desarrollo de software y plataforma</w:t>
        <w:tab/>
        <w:tab/>
        <w:tab/>
        <w:tab/>
        <w:t>$6.550.000</w:t>
      </w:r>
    </w:p>
    <w:p>
      <w:pPr>
        <w:pStyle w:val="pf0"/>
        <w:spacing w:lineRule="auto" w:line="360" w:before="280" w:after="280"/>
        <w:jc w:val="both"/>
        <w:rPr>
          <w:lang w:val="es-CO"/>
        </w:rPr>
      </w:pPr>
      <w:r>
        <w:rPr>
          <w:lang w:val="es-CO"/>
        </w:rPr>
        <w:t>Implementación de algoritmos de IA</w:t>
        <w:tab/>
        <w:tab/>
        <w:tab/>
        <w:tab/>
        <w:t>$9.200.000</w:t>
      </w:r>
    </w:p>
    <w:p>
      <w:pPr>
        <w:pStyle w:val="pf0"/>
        <w:spacing w:lineRule="auto" w:line="360" w:before="280" w:after="280"/>
        <w:jc w:val="both"/>
        <w:rPr>
          <w:lang w:val="es-CO"/>
        </w:rPr>
      </w:pPr>
      <w:r>
        <w:rPr>
          <w:lang w:val="es-CO"/>
        </w:rPr>
        <w:t>Validación del sistema</w:t>
        <w:tab/>
        <w:tab/>
        <w:tab/>
        <w:tab/>
        <w:tab/>
        <w:t>$8.500.000</w:t>
      </w:r>
    </w:p>
    <w:p>
      <w:pPr>
        <w:pStyle w:val="pf0"/>
        <w:spacing w:lineRule="auto" w:line="360" w:before="280" w:after="280"/>
        <w:jc w:val="both"/>
        <w:rPr>
          <w:lang w:val="es-CO"/>
        </w:rPr>
      </w:pPr>
      <w:r>
        <w:rPr>
          <w:lang w:val="es-CO"/>
        </w:rPr>
        <w:t>Gastos generales y logística</w:t>
        <w:tab/>
        <w:tab/>
        <w:tab/>
        <w:tab/>
        <w:tab/>
        <w:t>$3.850.000</w:t>
      </w:r>
    </w:p>
    <w:p>
      <w:pPr>
        <w:pStyle w:val="ListParagraph"/>
        <w:tabs>
          <w:tab w:val="clear" w:pos="720"/>
          <w:tab w:val="left" w:pos="0" w:leader="none"/>
        </w:tabs>
        <w:spacing w:lineRule="auto" w:line="360"/>
        <w:ind w:start="0"/>
        <w:jc w:val="both"/>
        <w:rPr>
          <w:lang w:val="es-CO"/>
        </w:rPr>
      </w:pPr>
      <w:r>
        <w:rPr>
          <w:rFonts w:cs="Times New Roman" w:ascii="Times New Roman" w:hAnsi="Times New Roman"/>
          <w:b/>
          <w:bCs/>
          <w:sz w:val="24"/>
          <w:lang w:val="es-CO"/>
        </w:rPr>
        <w:t>Total</w:t>
        <w:tab/>
        <w:tab/>
        <w:tab/>
        <w:tab/>
        <w:tab/>
        <w:tab/>
        <w:tab/>
      </w:r>
      <w:commentRangeStart w:id="51"/>
      <w:r>
        <w:rPr>
          <w:rFonts w:cs="Times New Roman" w:ascii="Times New Roman" w:hAnsi="Times New Roman"/>
          <w:b/>
          <w:bCs/>
          <w:sz w:val="24"/>
          <w:lang w:val="es-CO"/>
        </w:rPr>
        <w:t xml:space="preserve">          $34.350.000</w:t>
      </w:r>
      <w:commentRangeEnd w:id="51"/>
      <w:r>
        <w:commentReference w:id="51"/>
      </w:r>
      <w:r>
        <w:rPr>
          <w:rFonts w:cs="Times New Roman" w:ascii="Times New Roman" w:hAnsi="Times New Roman"/>
          <w:b/>
          <w:bCs/>
          <w:sz w:val="24"/>
          <w:lang w:val="es-CO"/>
        </w:rPr>
      </w:r>
    </w:p>
    <w:p>
      <w:pPr>
        <w:pStyle w:val="pf0"/>
        <w:spacing w:lineRule="auto" w:line="360" w:before="280" w:after="280"/>
        <w:jc w:val="both"/>
        <w:rPr>
          <w:lang w:val="es-CO"/>
        </w:rPr>
      </w:pPr>
      <w:r>
        <w:rPr>
          <w:lang w:val="es-CO"/>
        </w:rPr>
        <w:t>El valor total del proyecto es de aproximadamente treinta y cuatro millones trescientos cincuenta mil pesos en componentes y diseño, más los costos del laboratorio y campo.</w:t>
      </w:r>
    </w:p>
    <w:p>
      <w:pPr>
        <w:pStyle w:val="ListParagraph"/>
        <w:tabs>
          <w:tab w:val="clear" w:pos="720"/>
          <w:tab w:val="left" w:pos="0" w:leader="none"/>
        </w:tabs>
        <w:spacing w:lineRule="auto" w:line="360"/>
        <w:ind w:start="0"/>
        <w:jc w:val="both"/>
        <w:rPr>
          <w:lang w:val="es-CO"/>
        </w:rPr>
      </w:pPr>
      <w:r>
        <w:rPr>
          <w:rFonts w:cs="Times New Roman" w:ascii="Times New Roman" w:hAnsi="Times New Roman"/>
          <w:b/>
          <w:bCs/>
          <w:sz w:val="24"/>
          <w:lang w:val="es-CO"/>
        </w:rPr>
        <w:t>8. Resultados esperados</w:t>
      </w:r>
    </w:p>
    <w:p>
      <w:pPr>
        <w:pStyle w:val="pf0"/>
        <w:spacing w:lineRule="auto" w:line="360" w:before="280" w:after="280"/>
        <w:jc w:val="both"/>
        <w:rPr>
          <w:lang w:val="es-CO"/>
        </w:rPr>
      </w:pPr>
      <w:r>
        <w:rPr>
          <w:lang w:val="es-CO"/>
        </w:rPr>
        <w:t>8.1. Resultado esperados en la Configuración de la red IoT</w:t>
      </w:r>
    </w:p>
    <w:p>
      <w:pPr>
        <w:pStyle w:val="pf0"/>
        <w:spacing w:lineRule="auto" w:line="360" w:before="280" w:after="280"/>
        <w:jc w:val="both"/>
        <w:rPr>
          <w:lang w:val="es-CO"/>
        </w:rPr>
      </w:pPr>
      <w:r>
        <w:rPr>
          <w:lang w:val="es-CO"/>
        </w:rPr>
        <w:t>Los sensores estarán integrados en dispositivos diseñados específicamente para conectarse a una red IoT mediante protocolos de comunicación eficientes como LoRa o Wi-Fi. Estos dispositivos permitirán la transmisión de datos en tiempo real hacia una plataforma central, optimizando la cobertura y el consumo energético según las condiciones del entorno.</w:t>
      </w:r>
    </w:p>
    <w:p>
      <w:pPr>
        <w:pStyle w:val="pf0"/>
        <w:spacing w:lineRule="auto" w:line="360" w:before="280" w:after="280"/>
        <w:jc w:val="both"/>
        <w:rPr>
          <w:lang w:val="es-CO"/>
        </w:rPr>
      </w:pPr>
      <w:r>
        <w:rPr>
          <w:lang w:val="es-CO"/>
        </w:rPr>
        <w:t>Resultados esperados</w:t>
      </w:r>
    </w:p>
    <w:p>
      <w:pPr>
        <w:pStyle w:val="pf0"/>
        <w:spacing w:lineRule="auto" w:line="360" w:before="280" w:after="280"/>
        <w:jc w:val="both"/>
        <w:rPr>
          <w:lang w:val="es-CO"/>
        </w:rPr>
      </w:pPr>
      <w:r>
        <w:rPr>
          <w:lang w:val="es-CO"/>
        </w:rPr>
        <w:t xml:space="preserve">1. Monitoreo en tiempo real de las concentraciones de gases de efecto invernadero, como CO₂ y CH₄.  </w:t>
      </w:r>
    </w:p>
    <w:p>
      <w:pPr>
        <w:pStyle w:val="pf0"/>
        <w:spacing w:lineRule="auto" w:line="360" w:before="280" w:after="280"/>
        <w:jc w:val="both"/>
        <w:rPr>
          <w:lang w:val="es-CO"/>
        </w:rPr>
      </w:pPr>
      <w:r>
        <w:rPr>
          <w:lang w:val="es-CO"/>
        </w:rPr>
        <w:t xml:space="preserve">2. Ampliación de la cobertura de monitoreo gracias al uso de LoRa en zonas rurales o remotas donde la conectividad Wi-Fi es limitada.  </w:t>
      </w:r>
    </w:p>
    <w:p>
      <w:pPr>
        <w:pStyle w:val="pf0"/>
        <w:spacing w:lineRule="auto" w:line="360" w:before="280" w:after="280"/>
        <w:jc w:val="both"/>
        <w:rPr>
          <w:lang w:val="es-CO"/>
        </w:rPr>
      </w:pPr>
      <w:r>
        <w:rPr>
          <w:lang w:val="es-CO"/>
        </w:rPr>
        <w:t xml:space="preserve">3. Optimización del consumo energético de los dispositivos, aumentando su autonomía y reduciendo la necesidad de mantenimiento frecuente.  </w:t>
      </w:r>
    </w:p>
    <w:p>
      <w:pPr>
        <w:pStyle w:val="pf0"/>
        <w:spacing w:lineRule="auto" w:line="360" w:before="280" w:after="280"/>
        <w:jc w:val="both"/>
        <w:rPr>
          <w:lang w:val="es-CO"/>
        </w:rPr>
      </w:pPr>
      <w:r>
        <w:rPr>
          <w:lang w:val="es-CO"/>
        </w:rPr>
        <w:t xml:space="preserve">4. Obtención de datos precisos y confiables mediante sensores calibrados y validados con métodos tradicionales.  </w:t>
      </w:r>
    </w:p>
    <w:p>
      <w:pPr>
        <w:pStyle w:val="pf0"/>
        <w:spacing w:lineRule="auto" w:line="360" w:before="280" w:after="280"/>
        <w:jc w:val="both"/>
        <w:rPr>
          <w:lang w:val="es-CO"/>
        </w:rPr>
      </w:pPr>
      <w:r>
        <w:rPr>
          <w:lang w:val="es-CO"/>
        </w:rPr>
        <w:t xml:space="preserve">5. Implementación de análisis predictivo mediante inteligencia artificial para anticipar tendencias de emisiones.  </w:t>
      </w:r>
    </w:p>
    <w:p>
      <w:pPr>
        <w:pStyle w:val="pf0"/>
        <w:spacing w:lineRule="auto" w:line="360" w:before="280" w:after="280"/>
        <w:jc w:val="both"/>
        <w:rPr>
          <w:lang w:val="es-CO"/>
        </w:rPr>
      </w:pPr>
      <w:r>
        <w:rPr>
          <w:lang w:val="es-CO"/>
        </w:rPr>
        <w:t xml:space="preserve">6. Escalabilidad del sistema mediante la incorporación de más sensores sin afectar el rendimiento de la red.  </w:t>
      </w:r>
    </w:p>
    <w:p>
      <w:pPr>
        <w:pStyle w:val="pf0"/>
        <w:spacing w:lineRule="auto" w:line="360" w:before="280" w:after="280"/>
        <w:jc w:val="both"/>
        <w:rPr>
          <w:lang w:val="es-CO"/>
        </w:rPr>
      </w:pPr>
      <w:r>
        <w:rPr>
          <w:lang w:val="es-CO"/>
        </w:rPr>
        <w:t xml:space="preserve">7. Gestión eficiente y segura de los datos recolectados, con almacenamiento en la nube y visualización en dashboards.  </w:t>
      </w:r>
    </w:p>
    <w:p>
      <w:pPr>
        <w:pStyle w:val="pf0"/>
        <w:spacing w:lineRule="auto" w:line="360" w:before="280" w:after="280"/>
        <w:jc w:val="both"/>
        <w:rPr>
          <w:lang w:val="es-CO"/>
        </w:rPr>
      </w:pPr>
      <w:r>
        <w:rPr>
          <w:lang w:val="es-CO"/>
        </w:rPr>
        <w:t>8. Contribución a la mitigación del cambio climático mediante la identificación oportuna de fuentes de emisión y la mejora de procesos agrícolas.</w:t>
      </w:r>
    </w:p>
    <w:p>
      <w:pPr>
        <w:pStyle w:val="pf0"/>
        <w:spacing w:lineRule="auto" w:line="360" w:before="280" w:after="280"/>
        <w:jc w:val="both"/>
        <w:rPr>
          <w:lang w:val="es-CO"/>
        </w:rPr>
      </w:pPr>
      <w:r>
        <w:rPr>
          <w:lang w:val="es-CO"/>
        </w:rPr>
        <w:t>8.2. Productos esperados</w:t>
      </w:r>
    </w:p>
    <w:p>
      <w:pPr>
        <w:pStyle w:val="pf0"/>
        <w:spacing w:lineRule="auto" w:line="360" w:before="280" w:after="280"/>
        <w:jc w:val="both"/>
        <w:rPr>
          <w:lang w:val="es-CO"/>
        </w:rPr>
      </w:pPr>
      <w:r>
        <w:rPr>
          <w:lang w:val="es-CO"/>
        </w:rPr>
        <w:t>1. Un (1) artículo en revista especializada</w:t>
      </w:r>
    </w:p>
    <w:p>
      <w:pPr>
        <w:pStyle w:val="pf0"/>
        <w:spacing w:lineRule="auto" w:line="360" w:before="280" w:after="280"/>
        <w:jc w:val="both"/>
        <w:rPr>
          <w:lang w:val="es-CO"/>
        </w:rPr>
      </w:pPr>
      <w:r>
        <w:rPr>
          <w:lang w:val="es-CO"/>
        </w:rPr>
        <w:t>2. El desarrollo y la validación de una plataforma multipropósito, integrada en la medición de variables ambientales para la gestión de residuos.</w:t>
      </w:r>
    </w:p>
    <w:p>
      <w:pPr>
        <w:pStyle w:val="pf0"/>
        <w:spacing w:lineRule="auto" w:line="360" w:before="280" w:after="280"/>
        <w:jc w:val="both"/>
        <w:rPr>
          <w:lang w:val="es-CO"/>
        </w:rPr>
      </w:pPr>
      <w:r>
        <w:rPr>
          <w:lang w:val="es-CO"/>
        </w:rPr>
        <w:t>3.   Participación en un evento especializado relacionado con el tema de la tesis.</w:t>
      </w:r>
    </w:p>
    <w:p>
      <w:pPr>
        <w:pStyle w:val="Normal"/>
        <w:rPr>
          <w:rFonts w:ascii="Times New Roman" w:hAnsi="Times New Roman" w:cs="Times New Roman"/>
          <w:b/>
          <w:bCs/>
          <w:sz w:val="24"/>
          <w:szCs w:val="24"/>
          <w:lang w:val="es-CO"/>
        </w:rPr>
      </w:pPr>
      <w:commentRangeStart w:id="52"/>
      <w:r>
        <w:rPr>
          <w:rFonts w:cs="Times New Roman" w:ascii="Times New Roman" w:hAnsi="Times New Roman"/>
          <w:b/>
          <w:bCs/>
          <w:sz w:val="24"/>
          <w:szCs w:val="24"/>
          <w:lang w:val="es-CO"/>
        </w:rPr>
        <w:t xml:space="preserve">Referencias </w:t>
      </w:r>
      <w:commentRangeEnd w:id="52"/>
      <w:r>
        <w:commentReference w:id="52"/>
      </w:r>
      <w:r>
        <w:rPr>
          <w:rFonts w:cs="Times New Roman" w:ascii="Times New Roman" w:hAnsi="Times New Roman"/>
          <w:b/>
          <w:bCs/>
          <w:sz w:val="24"/>
          <w:szCs w:val="24"/>
          <w:lang w:val="es-CO"/>
        </w:rPr>
      </w:r>
    </w:p>
    <w:p>
      <w:pPr>
        <w:pStyle w:val="pf0"/>
        <w:spacing w:lineRule="auto" w:line="360" w:before="280" w:after="280"/>
        <w:jc w:val="both"/>
        <w:rPr/>
      </w:pPr>
      <w:r>
        <w:rPr>
          <w:lang w:val="es-CO"/>
        </w:rPr>
        <w:t xml:space="preserve">Barragan-Fonseca, K. B., Dicke, M., &amp; van Loon, J. J. (2017). </w:t>
      </w:r>
      <w:r>
        <w:rPr/>
        <w:t>Nutritional value of the black soldier fly (Hermetia illucens L.) and its suitability as animal feed–a review. Journal of Insects as Food and Feed, 3(2), 105-120.</w:t>
      </w:r>
    </w:p>
    <w:p>
      <w:pPr>
        <w:pStyle w:val="pf0"/>
        <w:spacing w:lineRule="auto" w:line="360" w:before="280" w:after="280"/>
        <w:jc w:val="both"/>
        <w:rPr/>
      </w:pPr>
      <w:r>
        <w:rPr/>
        <w:t>FAO. (2021). "Agricultural Waste Management: Challenges and Opportunities." Food and Agriculture Organization of the United Nations.</w:t>
      </w:r>
    </w:p>
    <w:p>
      <w:pPr>
        <w:pStyle w:val="pf0"/>
        <w:spacing w:lineRule="auto" w:line="360" w:before="280" w:after="280"/>
        <w:jc w:val="both"/>
        <w:rPr>
          <w:lang w:val="es-CO"/>
        </w:rPr>
      </w:pPr>
      <w:r>
        <w:rPr/>
        <w:t xml:space="preserve">Kamilaris, A., et al. (2017). "A Review on the Practice of Big Data Analysis in Agriculture." </w:t>
      </w:r>
      <w:r>
        <w:rPr>
          <w:lang w:val="es-CO"/>
        </w:rPr>
        <w:t>Computers and Electronics in Agriculture, 143, 23-37.</w:t>
      </w:r>
    </w:p>
    <w:p>
      <w:pPr>
        <w:pStyle w:val="pf0"/>
        <w:spacing w:lineRule="auto" w:line="360" w:before="280" w:after="280"/>
        <w:jc w:val="both"/>
        <w:rPr/>
      </w:pPr>
      <w:r>
        <w:rPr>
          <w:lang w:val="es-CO"/>
        </w:rPr>
        <w:t xml:space="preserve">Naciones Unidas. (2015). Objetivos de desarrollo sostenible. </w:t>
      </w:r>
      <w:r>
        <w:rPr/>
        <w:t>United Nations Statistic Division.</w:t>
      </w:r>
    </w:p>
    <w:p>
      <w:pPr>
        <w:pStyle w:val="pf0"/>
        <w:spacing w:lineRule="auto" w:line="360" w:before="280" w:after="280"/>
        <w:jc w:val="both"/>
        <w:rPr/>
      </w:pPr>
      <w:r>
        <w:rPr/>
        <w:t>Surendra, K. C., Olivier, R., Tomberlin, J. K., Jha, R., &amp; Khanal, S. K. (2016). Bioconversion of organic wastes into biodiesel and animal feed via insect farming. Renewable energy, 98, 197-202.</w:t>
      </w:r>
    </w:p>
    <w:p>
      <w:pPr>
        <w:pStyle w:val="pf0"/>
        <w:spacing w:lineRule="auto" w:line="360" w:before="280" w:after="280"/>
        <w:jc w:val="both"/>
        <w:rPr/>
      </w:pPr>
      <w:r>
        <w:rPr/>
        <w:t>IPCC. (2014). Climate Change 2014: Mitigation of Climate Change. Contribution of Working Group III to the Fifth Assessment Report of the Intergovernmental Panel on Climate Change (Capítulo 11: Agriculture, Forestry and Other Land Use (AFOLU)). Cambridge University Press.</w:t>
      </w:r>
    </w:p>
    <w:p>
      <w:pPr>
        <w:pStyle w:val="pf0"/>
        <w:spacing w:lineRule="auto" w:line="360" w:before="280" w:after="280"/>
        <w:jc w:val="both"/>
        <w:rPr/>
      </w:pPr>
      <w:r>
        <w:rPr/>
        <w:t>Quy, V. K., Hau, N. V., Anh, D. V., Quy, N. M., Ban, N. T., Lanza, S., ... &amp; Muzirafuti, A. (2022). IoT-enabled smart agriculture: architecture, applications, and challenges. Applied Sciences, 12(7), 3396.</w:t>
      </w:r>
    </w:p>
    <w:p>
      <w:pPr>
        <w:pStyle w:val="pf0"/>
        <w:spacing w:lineRule="auto" w:line="360" w:before="280" w:after="280"/>
        <w:jc w:val="both"/>
        <w:rPr/>
      </w:pPr>
      <w:r>
        <w:rPr>
          <w:lang w:val="es-CO"/>
        </w:rPr>
        <w:t xml:space="preserve">Bermúdez-Serrano, I. M., &amp; Sánchez-Velázquez, O. A. (2023). Aprovechamiento integral de la Mosca Soldado Negra: Bioconversión, sostenibilidad y desafíos emergentes. </w:t>
      </w:r>
      <w:r>
        <w:rPr/>
        <w:t>Scientia Agropecuaria, 14(4), 571-590.</w:t>
      </w:r>
    </w:p>
    <w:p>
      <w:pPr>
        <w:pStyle w:val="pf0"/>
        <w:spacing w:lineRule="auto" w:line="360" w:before="280" w:after="280"/>
        <w:jc w:val="both"/>
        <w:rPr/>
      </w:pPr>
      <w:r>
        <w:rPr/>
        <w:t>Diener, S., Zurbrügg, C., &amp; Tockner, K. (2011). Conversion of organic material by black soldier fly larvae: Establishing optimal feeding rates. Waste Management &amp; Research, 29(5), 494–498.</w:t>
      </w:r>
    </w:p>
    <w:p>
      <w:pPr>
        <w:pStyle w:val="pf0"/>
        <w:spacing w:lineRule="auto" w:line="360" w:before="280" w:after="280"/>
        <w:jc w:val="both"/>
        <w:rPr/>
      </w:pPr>
      <w:r>
        <w:rPr/>
        <w:t>Salam, M., Shahzadi, A., Zheng, H., Alam, F., Nabi, G., Dezhi, S., ... &amp; Bilal, M. (2022). Effect of different environmental conditions on the growth and development of Black Soldier Fly Larvae</w:t>
      </w:r>
      <w:r>
        <w:rPr>
          <w:rFonts w:eastAsia="Calibri" w:eastAsiaTheme="minorHAnsi"/>
          <w:szCs w:val="22"/>
        </w:rPr>
        <w:t xml:space="preserve"> </w:t>
      </w:r>
      <w:r>
        <w:rPr/>
        <w:t>and its utilization in solid waste management and pollution mitigation. Environmental Technology &amp; Innovation, 28, 102649.</w:t>
      </w:r>
    </w:p>
    <w:p>
      <w:pPr>
        <w:pStyle w:val="pf0"/>
        <w:spacing w:lineRule="auto" w:line="360" w:before="280" w:after="280"/>
        <w:jc w:val="both"/>
        <w:rPr/>
      </w:pPr>
      <w:r>
        <w:rPr/>
        <w:t>Smith, P., Bustamante, M., Ahammad, H., Clark, H., Dong, H., Elsiddig, E. A., ... &amp; Bolwig, S. (2014). Agriculture, forestry and other land use (AFOLU). In Climate change 2014: mitigation of climate change. Contribution of Working Group III to the Fifth Assessment Report of the Intergovernmental Panel on Climate Change (pp. 811-922). Cambridge University Press.</w:t>
      </w:r>
    </w:p>
    <w:p>
      <w:pPr>
        <w:pStyle w:val="pf0"/>
        <w:spacing w:lineRule="auto" w:line="360" w:before="280" w:after="280"/>
        <w:jc w:val="both"/>
        <w:rPr/>
      </w:pPr>
      <w:r>
        <w:rPr/>
        <w:t>Chia, S. Y. (2019). Black soldier fly larvae as a sustainable animal feed ingredient in Kenya (Doctoral dissertation, Wageningen University and Research).</w:t>
      </w:r>
    </w:p>
    <w:p>
      <w:pPr>
        <w:pStyle w:val="pf0"/>
        <w:spacing w:lineRule="auto" w:line="360" w:before="280" w:after="280"/>
        <w:jc w:val="both"/>
        <w:rPr/>
      </w:pPr>
      <w:r>
        <w:rPr/>
        <w:t>Chan, Y. C. (2024). Smart and sustainable IOT based humidity and temperature control system for vegetable/fruit storage (Doctoral dissertation, UTAR).</w:t>
      </w:r>
    </w:p>
    <w:p>
      <w:pPr>
        <w:pStyle w:val="pf0"/>
        <w:spacing w:lineRule="auto" w:line="360" w:before="280" w:after="280"/>
        <w:jc w:val="both"/>
        <w:rPr>
          <w:lang w:val="es-CO"/>
        </w:rPr>
      </w:pPr>
      <w:r>
        <w:rPr/>
        <w:t xml:space="preserve">Winsen Sensor. (s.f.). MH-441D methane gas sensor manual. Zhengzhou Winsen Electronics Technology Co., Ltd. </w:t>
      </w:r>
      <w:r>
        <w:rPr>
          <w:lang w:val="es-CO"/>
        </w:rPr>
        <w:t>Recuperado el 15 de enero de 2025</w:t>
      </w:r>
    </w:p>
    <w:p>
      <w:pPr>
        <w:pStyle w:val="pf0"/>
        <w:spacing w:lineRule="auto" w:line="360" w:before="280" w:after="280"/>
        <w:jc w:val="both"/>
        <w:rPr>
          <w:lang w:val="es-CO"/>
        </w:rPr>
      </w:pPr>
      <w:r>
        <w:rPr>
          <w:lang w:val="es-CO"/>
        </w:rPr>
        <w:t xml:space="preserve"> </w:t>
      </w:r>
      <w:hyperlink r:id="rId2">
        <w:r>
          <w:rPr>
            <w:rStyle w:val="Hyperlink"/>
            <w:lang w:val="es-CO"/>
          </w:rPr>
          <w:t>https://www.winsen-sensor.com/d/files/manual/mh-441d.pdf</w:t>
        </w:r>
      </w:hyperlink>
    </w:p>
    <w:p>
      <w:pPr>
        <w:pStyle w:val="pf0"/>
        <w:spacing w:lineRule="auto" w:line="360" w:before="280" w:after="280"/>
        <w:jc w:val="both"/>
        <w:rPr>
          <w:lang w:val="es-CO"/>
        </w:rPr>
      </w:pPr>
      <w:r>
        <w:rPr/>
        <w:t xml:space="preserve">Winsen Sensor. (s.f.). MH-410D carbon monoxide gas sensor manual. Zhengzhou Winsen Electronics Technology Co., Ltd. </w:t>
      </w:r>
      <w:r>
        <w:rPr>
          <w:lang w:val="es-CO"/>
        </w:rPr>
        <w:t xml:space="preserve">Recuperado el 15 de enero de 2025 </w:t>
      </w:r>
    </w:p>
    <w:p>
      <w:pPr>
        <w:pStyle w:val="pf0"/>
        <w:spacing w:lineRule="auto" w:line="360" w:before="280" w:after="280"/>
        <w:jc w:val="both"/>
        <w:rPr>
          <w:lang w:val="es-CO"/>
        </w:rPr>
      </w:pPr>
      <w:r>
        <w:rPr>
          <w:lang w:val="es-CO"/>
        </w:rPr>
        <w:t xml:space="preserve"> </w:t>
      </w:r>
      <w:hyperlink r:id="rId3">
        <w:r>
          <w:rPr>
            <w:rStyle w:val="Hyperlink"/>
            <w:lang w:val="es-CO"/>
          </w:rPr>
          <w:t>https://www.winsen-sensor.com/d/files/manual/mh-410d.pdf</w:t>
        </w:r>
      </w:hyperlink>
    </w:p>
    <w:p>
      <w:pPr>
        <w:pStyle w:val="pf0"/>
        <w:spacing w:lineRule="auto" w:line="360" w:before="280" w:after="280"/>
        <w:jc w:val="both"/>
        <w:rPr>
          <w:lang w:val="es-CO"/>
        </w:rPr>
      </w:pPr>
      <w:r>
        <w:rPr/>
        <w:t xml:space="preserve">Chengdu Wangtong Technology Co., Ltd. (s.f.). CWT soil sensor manual. </w:t>
      </w:r>
      <w:r>
        <w:rPr>
          <w:lang w:val="es-CO"/>
        </w:rPr>
        <w:t xml:space="preserve">Revisado el 15 de enero de 2025 </w:t>
      </w:r>
    </w:p>
    <w:p>
      <w:pPr>
        <w:pStyle w:val="pf0"/>
        <w:spacing w:lineRule="auto" w:line="360" w:before="280" w:after="280"/>
        <w:jc w:val="both"/>
        <w:rPr>
          <w:lang w:val="es-CO"/>
        </w:rPr>
      </w:pPr>
      <w:hyperlink r:id="rId4">
        <w:r>
          <w:rPr>
            <w:rStyle w:val="Hyperlink"/>
            <w:lang w:val="es-CO"/>
          </w:rPr>
          <w:t>https://wiki20210805.oss-cn-hongkong.aliyuncs.com/download/sensors/Smart_Agriculture/CWT%20soil%20sensor_2%20manual.zip</w:t>
        </w:r>
      </w:hyperlink>
    </w:p>
    <w:p>
      <w:pPr>
        <w:pStyle w:val="pf0"/>
        <w:spacing w:lineRule="auto" w:line="360" w:before="280" w:after="280"/>
        <w:jc w:val="both"/>
        <w:rPr>
          <w:lang w:val="es-CO"/>
        </w:rPr>
      </w:pPr>
      <w:r>
        <w:rPr>
          <w:lang w:val="es-CO"/>
        </w:rPr>
      </w:r>
    </w:p>
    <w:p>
      <w:pPr>
        <w:pStyle w:val="pf0"/>
        <w:spacing w:lineRule="auto" w:line="360" w:before="280" w:after="280"/>
        <w:jc w:val="both"/>
        <w:rPr>
          <w:lang w:val="es-CO"/>
        </w:rPr>
      </w:pPr>
      <w:r>
        <w:rPr>
          <w:lang w:val="es-CO"/>
        </w:rPr>
      </w:r>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suario" w:date="2025-01-19T09:33:00Z" w:initials="U">
    <w:p>
      <w:pPr>
        <w:overflowPunct w:val="false"/>
        <w:spacing w:before="0" w:after="0" w:lineRule="auto" w:line="240"/>
        <w:rPr/>
      </w:pPr>
      <w:r>
        <w:rPr>
          <w:rFonts w:ascii="Liberation Serif" w:hAnsi="Liberation Serif" w:eastAsia="DejaVu Sans" w:cs="DejaVu Sans"/>
          <w:sz w:val="24"/>
          <w:szCs w:val="24"/>
          <w:lang w:eastAsia="en-US" w:bidi="en-US" w:val="es-CO"/>
        </w:rPr>
        <w:t>Revisa el formato de elaboración de la portada y la contraportada.</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Portada:</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Título de la Propuesta.</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Nombres y Apellidos del Proponente.</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Línea de Investigación</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Universidad Nacional de Colombia Sede P…</w:t>
      </w:r>
    </w:p>
    <w:p>
      <w:pPr>
        <w:overflowPunct w:val="false"/>
        <w:spacing w:before="0" w:after="0" w:lineRule="auto" w:line="240"/>
        <w:rPr/>
      </w:pPr>
      <w:r>
        <w:rPr>
          <w:rFonts w:ascii="Liberation Serif" w:hAnsi="Liberation Serif" w:eastAsia="DejaVu Sans" w:cs="DejaVu Sans"/>
          <w:sz w:val="24"/>
          <w:szCs w:val="24"/>
          <w:lang w:eastAsia="en-US" w:bidi="en-US" w:val="es-CO"/>
        </w:rPr>
        <w:t>Facultad de Ingeniería y Administración</w:t>
      </w:r>
    </w:p>
    <w:p>
      <w:pPr>
        <w:overflowPunct w:val="false"/>
        <w:spacing w:before="0" w:after="0" w:lineRule="auto" w:line="240"/>
        <w:rPr/>
      </w:pPr>
      <w:r>
        <w:rPr>
          <w:rFonts w:ascii="Liberation Serif" w:hAnsi="Liberation Serif" w:eastAsia="DejaVu Sans" w:cs="DejaVu Sans"/>
          <w:sz w:val="24"/>
          <w:szCs w:val="24"/>
          <w:lang w:eastAsia="en-US" w:bidi="en-US" w:val="es-CO"/>
        </w:rPr>
        <w:t>Doctorado en Estudios Ambientales</w:t>
      </w:r>
    </w:p>
    <w:p>
      <w:pPr>
        <w:overflowPunct w:val="false"/>
        <w:spacing w:before="0" w:after="0" w:lineRule="auto" w:line="240"/>
        <w:rPr/>
      </w:pPr>
      <w:r>
        <w:rPr>
          <w:rFonts w:ascii="Liberation Serif" w:hAnsi="Liberation Serif" w:eastAsia="DejaVu Sans" w:cs="DejaVu Sans"/>
          <w:sz w:val="24"/>
          <w:szCs w:val="24"/>
          <w:lang w:eastAsia="en-US" w:bidi="en-US" w:val="es-CO"/>
        </w:rPr>
        <w:t>Palmira, 2025</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Contraportada:</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Título de la Propuesta.</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Propuesta de Tesis Doctoral, Requisito Parcial para optar a la Candidatura de Doctorado en Estudios Ambientales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Nombres y Apellidos del Proponente.</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Directores:</w:t>
      </w:r>
    </w:p>
    <w:p>
      <w:pPr>
        <w:overflowPunct w:val="false"/>
        <w:spacing w:before="0" w:after="0" w:lineRule="auto" w:line="240"/>
        <w:rPr/>
      </w:pPr>
      <w:r>
        <w:rPr>
          <w:rFonts w:ascii="Liberation Serif" w:hAnsi="Liberation Serif" w:eastAsia="DejaVu Sans" w:cs="DejaVu Sans"/>
          <w:sz w:val="24"/>
          <w:szCs w:val="24"/>
          <w:lang w:eastAsia="en-US" w:bidi="en-US" w:val="es-CO"/>
        </w:rPr>
        <w:t>Luis Octavio González Salcedo, Dr.</w:t>
      </w:r>
    </w:p>
    <w:p>
      <w:pPr>
        <w:overflowPunct w:val="false"/>
        <w:spacing w:before="0" w:after="0" w:lineRule="auto" w:line="240"/>
        <w:rPr/>
      </w:pPr>
      <w:r>
        <w:rPr>
          <w:rFonts w:ascii="Liberation Serif" w:hAnsi="Liberation Serif" w:eastAsia="DejaVu Sans" w:cs="DejaVu Sans"/>
          <w:sz w:val="24"/>
          <w:szCs w:val="24"/>
          <w:lang w:eastAsia="en-US" w:bidi="en-US" w:val="es-CO"/>
        </w:rPr>
        <w:t>Profesor Asociado</w:t>
      </w:r>
    </w:p>
    <w:p>
      <w:pPr>
        <w:overflowPunct w:val="false"/>
        <w:spacing w:before="0" w:after="0" w:lineRule="auto" w:line="240"/>
        <w:rPr/>
      </w:pPr>
      <w:r>
        <w:rPr>
          <w:rFonts w:ascii="Liberation Serif" w:hAnsi="Liberation Serif" w:eastAsia="DejaVu Sans" w:cs="DejaVu Sans"/>
          <w:sz w:val="24"/>
          <w:szCs w:val="24"/>
          <w:lang w:eastAsia="en-US" w:bidi="en-US" w:val="es-CO"/>
        </w:rPr>
        <w:t>Universidad Nacional de Colombia Sede P…</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Diego Felipe Conejo Rodríguez, PhD.</w:t>
      </w:r>
    </w:p>
    <w:p>
      <w:pPr>
        <w:overflowPunct w:val="false"/>
        <w:spacing w:before="0" w:after="0" w:lineRule="auto" w:line="240"/>
        <w:rPr/>
      </w:pPr>
      <w:r>
        <w:rPr>
          <w:rFonts w:ascii="Liberation Serif" w:hAnsi="Liberation Serif" w:eastAsia="DejaVu Sans" w:cs="DejaVu Sans"/>
          <w:sz w:val="24"/>
          <w:szCs w:val="24"/>
          <w:lang w:eastAsia="en-US" w:bidi="en-US" w:val="es-CO"/>
        </w:rPr>
        <w:t>¿Investigador Asociado? (revisar)</w:t>
      </w:r>
    </w:p>
    <w:p>
      <w:pPr>
        <w:overflowPunct w:val="false"/>
        <w:spacing w:before="0" w:after="0" w:lineRule="auto" w:line="240"/>
        <w:rPr/>
      </w:pPr>
      <w:r>
        <w:rPr>
          <w:rFonts w:ascii="Liberation Serif" w:hAnsi="Liberation Serif" w:eastAsia="DejaVu Sans" w:cs="DejaVu Sans"/>
          <w:sz w:val="24"/>
          <w:szCs w:val="24"/>
          <w:lang w:eastAsia="en-US" w:bidi="en-US" w:val="es-CO"/>
        </w:rPr>
        <w:t>CIAT (se puede colocar todo el nombre)</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Línea de Investigación</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Universidad Nacional de Colombia Sede P…</w:t>
      </w:r>
    </w:p>
    <w:p>
      <w:pPr>
        <w:overflowPunct w:val="false"/>
        <w:spacing w:before="0" w:after="0" w:lineRule="auto" w:line="240"/>
        <w:rPr/>
      </w:pPr>
      <w:r>
        <w:rPr>
          <w:rFonts w:ascii="Liberation Serif" w:hAnsi="Liberation Serif" w:eastAsia="DejaVu Sans" w:cs="DejaVu Sans"/>
          <w:sz w:val="24"/>
          <w:szCs w:val="24"/>
          <w:lang w:eastAsia="en-US" w:bidi="en-US" w:val="es-CO"/>
        </w:rPr>
        <w:t>Facultad de Ingeniería y Administración</w:t>
      </w:r>
    </w:p>
    <w:p>
      <w:pPr>
        <w:overflowPunct w:val="false"/>
        <w:spacing w:before="0" w:after="0" w:lineRule="auto" w:line="240"/>
        <w:rPr/>
      </w:pPr>
      <w:r>
        <w:rPr>
          <w:rFonts w:ascii="Liberation Serif" w:hAnsi="Liberation Serif" w:eastAsia="DejaVu Sans" w:cs="DejaVu Sans"/>
          <w:sz w:val="24"/>
          <w:szCs w:val="24"/>
          <w:lang w:eastAsia="en-US" w:bidi="en-US" w:val="es-CO"/>
        </w:rPr>
        <w:t>Doctorado en Estudios Ambientales</w:t>
      </w:r>
    </w:p>
    <w:p>
      <w:pPr>
        <w:overflowPunct w:val="false"/>
        <w:spacing w:before="0" w:after="0" w:lineRule="auto" w:line="240"/>
        <w:rPr/>
      </w:pPr>
      <w:r>
        <w:rPr>
          <w:rFonts w:ascii="Liberation Serif" w:hAnsi="Liberation Serif" w:eastAsia="DejaVu Sans" w:cs="DejaVu Sans"/>
          <w:sz w:val="24"/>
          <w:szCs w:val="24"/>
          <w:lang w:eastAsia="en-US" w:bidi="en-US" w:val="es-CO"/>
        </w:rPr>
        <w:t>Palmira, 2025</w:t>
      </w:r>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1" w:author="Usuario" w:date="2025-01-19T09:47:00Z" w:initials="U">
    <w:p>
      <w:pPr>
        <w:overflowPunct w:val="false"/>
        <w:spacing w:before="0" w:after="0" w:lineRule="auto" w:line="240"/>
        <w:rPr/>
      </w:pPr>
      <w:r>
        <w:rPr>
          <w:rFonts w:ascii="Liberation Serif" w:hAnsi="Liberation Serif" w:eastAsia="DejaVu Sans" w:cs="DejaVu Sans"/>
          <w:sz w:val="24"/>
          <w:szCs w:val="24"/>
          <w:lang w:eastAsia="en-US" w:bidi="en-US" w:val="es-CO"/>
        </w:rPr>
        <w:t>Me suena major:</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MEDICIÓN, REPORTE Y VALIDACIÓN DE VARIABLES AMBIENTALES Y GASES DE EFECTO INVERNADERO EN LA VALORIZACIÓN DE RESIDUOS BASADOS EN MOSCA SOLDADO USANDO INTELIGENCIA ARTIFICIAL</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Nota: El IoT hace parte de la IA, creo que podemos dejar el título más genérico, y en el cuerpo del documento se van decantando las tecnologías a usar.</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Otro título puede ser:</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UNA INVESTIGACIÓN DE LAS VARIABLES AMBIENTALES Y GASES DE EFECTO INVERNADERO EN LA VALORIZACIÓN DE RESIDUOS BASADOS EN MOSCA SOLDADO USANDO INTELIGENCIA ARTIFICIAL</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Nota: Acá dejamos abierta la actividad de investigación cuya dinámica se irá decantando en el cuerpo del documento, por ejemplo, en la redacción de los objetivos (general y específicos) y en la metodología.</w:t>
      </w:r>
    </w:p>
  </w:comment>
  <w:comment w:id="2" w:author="Usuario" w:date="2025-01-19T09:35:00Z" w:initials="U">
    <w:p>
      <w:pPr>
        <w:overflowPunct w:val="false"/>
        <w:spacing w:before="0" w:after="0" w:lineRule="auto" w:line="240"/>
        <w:rPr/>
      </w:pPr>
      <w:r>
        <w:rPr>
          <w:rFonts w:ascii="Liberation Serif" w:hAnsi="Liberation Serif" w:eastAsia="DejaVu Sans" w:cs="DejaVu Sans"/>
          <w:sz w:val="24"/>
          <w:szCs w:val="24"/>
          <w:lang w:eastAsia="en-US" w:bidi="en-US" w:val="es-CO"/>
        </w:rPr>
        <w:t>Cómo tu propuesta es una actividad académica, creo que la papelería debe contener elementos de la universidad. Considero que no debe ir el logo del CIAT. Si deseas puedes colocar el escudo de la universidad (¿diferente al que muestras?)</w:t>
      </w:r>
    </w:p>
  </w:comment>
  <w:comment w:id="3" w:author="Usuario" w:date="2025-01-19T09:46:00Z" w:initials="U">
    <w:p>
      <w:pPr>
        <w:overflowPunct w:val="false"/>
        <w:spacing w:before="0" w:after="0" w:lineRule="auto" w:line="240"/>
        <w:rPr/>
      </w:pPr>
      <w:r>
        <w:rPr>
          <w:rFonts w:ascii="Liberation Serif" w:hAnsi="Liberation Serif" w:eastAsia="DejaVu Sans" w:cs="DejaVu Sans"/>
          <w:sz w:val="24"/>
          <w:szCs w:val="24"/>
          <w:lang w:eastAsia="en-US" w:bidi="en-US" w:val="es-CO"/>
        </w:rPr>
        <w:t>Eliminar. Esta información la involucramos en el cuerpo del documento. Encontraremos los espacios correspondientes para escribirlos.</w:t>
      </w:r>
    </w:p>
  </w:comment>
  <w:comment w:id="4" w:author="Usuario" w:date="2025-01-19T09:54:00Z" w:initials="U">
    <w:p>
      <w:pPr>
        <w:overflowPunct w:val="false"/>
        <w:spacing w:before="0" w:after="0" w:lineRule="auto" w:line="240"/>
        <w:rPr/>
      </w:pPr>
      <w:r>
        <w:rPr>
          <w:rFonts w:ascii="Liberation Serif" w:hAnsi="Liberation Serif" w:eastAsia="DejaVu Sans" w:cs="DejaVu Sans"/>
          <w:sz w:val="24"/>
          <w:szCs w:val="24"/>
          <w:lang w:eastAsia="en-US" w:bidi="en-US" w:val="es-CO"/>
        </w:rPr>
        <w:t>Citación bibliográfica es requerida. Algunas referencias adicionales: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
        <w:r>
          <w:rPr>
            <w:rFonts w:ascii="Liberation Serif" w:hAnsi="Liberation Serif" w:eastAsia="DejaVu Sans" w:cs="DejaVu Sans"/>
            <w:sz w:val="24"/>
            <w:szCs w:val="24"/>
            <w:lang w:val="en-US" w:eastAsia="en-US" w:bidi="en-US"/>
          </w:rPr>
          <w:t>https://www.sciencedirect.com/science/article/abs/pii/S004896972403506X</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
        <w:r>
          <w:rPr>
            <w:rFonts w:ascii="Liberation Serif" w:hAnsi="Liberation Serif" w:eastAsia="DejaVu Sans" w:cs="DejaVu Sans"/>
            <w:sz w:val="24"/>
            <w:szCs w:val="24"/>
            <w:lang w:val="en-US" w:eastAsia="en-US" w:bidi="en-US"/>
          </w:rPr>
          <w:t>https://www.mdpi.com/2071-1050/15/22/15889</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5" w:author="Usuario" w:date="2025-01-19T19:38:00Z" w:initials="U">
    <w:p>
      <w:pPr>
        <w:overflowPunct w:val="false"/>
        <w:spacing w:before="0" w:after="0" w:lineRule="auto" w:line="240"/>
        <w:rPr/>
      </w:pPr>
      <w:hyperlink r:id="rId3">
        <w:r>
          <w:rPr>
            <w:rFonts w:ascii="Liberation Serif" w:hAnsi="Liberation Serif" w:eastAsia="DejaVu Sans" w:cs="DejaVu Sans"/>
            <w:sz w:val="24"/>
            <w:szCs w:val="24"/>
            <w:lang w:val="en-US" w:eastAsia="en-US" w:bidi="en-US"/>
          </w:rPr>
          <w:t>https://www.sciencedirect.com/science/article/pii/S277257232400027X</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4">
        <w:r>
          <w:rPr>
            <w:rFonts w:ascii="Liberation Serif" w:hAnsi="Liberation Serif" w:eastAsia="DejaVu Sans" w:cs="DejaVu Sans"/>
            <w:sz w:val="24"/>
            <w:szCs w:val="24"/>
            <w:lang w:val="en-US" w:eastAsia="en-US" w:bidi="en-US"/>
          </w:rPr>
          <w:t>https://royalsociety.org/~/media/policy/projects/evidence-synthesis/Ammonia/Ammonia-report.pdf</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6" w:author="Usuario" w:date="2025-01-19T19:31:00Z" w:initials="U">
    <w:p>
      <w:pPr>
        <w:overflowPunct w:val="false"/>
        <w:spacing w:before="0" w:after="0" w:lineRule="auto" w:line="240"/>
        <w:rPr/>
      </w:pPr>
      <w:r>
        <w:rPr>
          <w:rFonts w:ascii="Liberation Serif" w:hAnsi="Liberation Serif" w:eastAsia="DejaVu Sans" w:cs="DejaVu Sans"/>
          <w:sz w:val="24"/>
          <w:szCs w:val="24"/>
          <w:lang w:eastAsia="en-US" w:bidi="en-US" w:val="es-CO"/>
        </w:rPr>
        <w:t>Algunas referencias adicionales: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5">
        <w:r>
          <w:rPr>
            <w:rFonts w:ascii="Liberation Serif" w:hAnsi="Liberation Serif" w:eastAsia="DejaVu Sans" w:cs="DejaVu Sans"/>
            <w:sz w:val="24"/>
            <w:szCs w:val="24"/>
            <w:lang w:val="en-US" w:eastAsia="en-US" w:bidi="en-US"/>
          </w:rPr>
          <w:t>https://openknowledge.fao.org/server/api/core/bitstreams/cc09fbbc-eb1d-436b-a88a-bed42a1f12f3/content</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6">
        <w:r>
          <w:rPr>
            <w:rFonts w:ascii="Liberation Serif" w:hAnsi="Liberation Serif" w:eastAsia="DejaVu Sans" w:cs="DejaVu Sans"/>
            <w:sz w:val="24"/>
            <w:szCs w:val="24"/>
            <w:lang w:val="en-US" w:eastAsia="en-US" w:bidi="en-US"/>
          </w:rPr>
          <w:t>https://www.cifor-icraf.org/publications/pdf_files/OccPapers/CIFOR-ICRAF-OP-4.pdf</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7">
        <w:r>
          <w:rPr>
            <w:rFonts w:ascii="Liberation Serif" w:hAnsi="Liberation Serif" w:eastAsia="DejaVu Sans" w:cs="DejaVu Sans"/>
            <w:sz w:val="24"/>
            <w:szCs w:val="24"/>
            <w:lang w:val="en-US" w:eastAsia="en-US" w:bidi="en-US"/>
          </w:rPr>
          <w:t>https://www.frontiersin.org/journals/sustainable-food-systems/articles/10.3389/fsufs.2020.518039/full</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7" w:author="Usuario" w:date="2025-01-19T19:40:00Z" w:initials="U">
    <w:p>
      <w:pPr>
        <w:overflowPunct w:val="false"/>
        <w:spacing w:before="0" w:after="0" w:lineRule="auto" w:line="240"/>
        <w:rPr/>
      </w:pPr>
      <w:hyperlink r:id="rId8">
        <w:r>
          <w:rPr>
            <w:rFonts w:ascii="Liberation Serif" w:hAnsi="Liberation Serif" w:eastAsia="DejaVu Sans" w:cs="DejaVu Sans"/>
            <w:sz w:val="24"/>
            <w:szCs w:val="24"/>
            <w:lang w:val="en-US" w:eastAsia="en-US" w:bidi="en-US"/>
          </w:rPr>
          <w:t>https://www.sciencedirect.com/science/article/abs/pii/S0048969724025798</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9">
        <w:r>
          <w:rPr>
            <w:rFonts w:ascii="Liberation Serif" w:hAnsi="Liberation Serif" w:eastAsia="DejaVu Sans" w:cs="DejaVu Sans"/>
            <w:sz w:val="24"/>
            <w:szCs w:val="24"/>
            <w:lang w:val="en-US" w:eastAsia="en-US" w:bidi="en-US"/>
          </w:rPr>
          <w:t>https://link.springer.com/article/10.1007/s10311-020-01059-w</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0">
        <w:r>
          <w:rPr>
            <w:rFonts w:ascii="Liberation Serif" w:hAnsi="Liberation Serif" w:eastAsia="DejaVu Sans" w:cs="DejaVu Sans"/>
            <w:sz w:val="24"/>
            <w:szCs w:val="24"/>
            <w:lang w:val="en-US" w:eastAsia="en-US" w:bidi="en-US"/>
          </w:rPr>
          <w:t>https://www.mdpi.com/2076-3298/10/4/66</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8" w:author="Usuario" w:date="2025-01-19T09:59:00Z" w:initials="U">
    <w:p>
      <w:pPr>
        <w:overflowPunct w:val="false"/>
        <w:spacing w:before="0" w:after="0" w:lineRule="auto" w:line="240"/>
        <w:rPr/>
      </w:pPr>
      <w:r>
        <w:rPr>
          <w:rFonts w:ascii="Liberation Serif" w:hAnsi="Liberation Serif" w:eastAsia="DejaVu Sans" w:cs="DejaVu Sans"/>
          <w:sz w:val="24"/>
          <w:szCs w:val="24"/>
          <w:lang w:eastAsia="en-US" w:bidi="en-US" w:val="es-CO"/>
        </w:rPr>
        <w:t>Sugiero tener dos párrafos, uno sobre el proceso de bioconversión, y otro sobre la tecnología de IA. Propongo: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Diversos procesos de bioconversión de residuos agrícolas se han propuesto usando cultivos de biomasa de insectos para tal fin; al respecto, la mosca solado negra (</w:t>
      </w:r>
      <w:r>
        <w:rPr>
          <w:rFonts w:ascii="Liberation Serif" w:hAnsi="Liberation Serif" w:eastAsia="DejaVu Sans" w:cs="DejaVu Sans"/>
          <w:i/>
          <w:iCs/>
          <w:sz w:val="24"/>
          <w:szCs w:val="24"/>
          <w:lang w:eastAsia="en-US" w:bidi="en-US" w:val="es-CO"/>
        </w:rPr>
        <w:t>Hermetia illucens</w:t>
      </w:r>
      <w:r>
        <w:rPr>
          <w:rFonts w:ascii="Liberation Serif" w:hAnsi="Liberation Serif" w:eastAsia="DejaVu Sans" w:cs="DejaVu Sans"/>
          <w:sz w:val="24"/>
          <w:szCs w:val="24"/>
          <w:lang w:eastAsia="en-US" w:bidi="en-US" w:val="es-CO"/>
        </w:rPr>
        <w:t xml:space="preserve">) </w:t>
      </w:r>
      <w:r>
        <w:rPr>
          <w:rFonts w:ascii="Liberation Serif" w:hAnsi="Liberation Serif" w:eastAsia="DejaVu Sans" w:cs="Calibri"/>
          <w:sz w:val="24"/>
          <w:szCs w:val="24"/>
          <w:lang w:eastAsia="en-US" w:bidi="en-US" w:val="es-CO"/>
        </w:rPr>
        <w:t>←</w:t>
      </w:r>
      <w:r>
        <w:rPr>
          <w:rFonts w:ascii="Liberation Serif" w:hAnsi="Liberation Serif" w:eastAsia="DejaVu Sans" w:cs="DejaVu Sans"/>
          <w:sz w:val="24"/>
          <w:szCs w:val="24"/>
          <w:lang w:eastAsia="en-US" w:bidi="en-US" w:val="es-CO"/>
        </w:rPr>
        <w:t>[note el uso de cursiva para el nombre científico] ha demostrado ser altamente en la transformación de…  …. GEI (citaciones bibliográficas organizadas por año y alfabeto de la inicial del apellido del primer autor), y su implementación promueve un … … agregado.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El actual desafío ambiental descrito conlleva a proponer soluciones innovadoras, como, por ejemplo, la integración con tecnologías de la Inteligencia Artificial - IA, entre ellas el Internet de las Cosas (IoT), y otras, como algoritmos de aprendizaje automático, en dichos procesos.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9" w:author="Usuario" w:date="2025-01-19T19:42:00Z" w:initials="U">
    <w:p>
      <w:pPr>
        <w:overflowPunct w:val="false"/>
        <w:spacing w:before="0" w:after="0" w:lineRule="auto" w:line="240"/>
        <w:rPr/>
      </w:pPr>
      <w:hyperlink r:id="rId11">
        <w:r>
          <w:rPr>
            <w:rFonts w:ascii="Liberation Serif" w:hAnsi="Liberation Serif" w:eastAsia="DejaVu Sans" w:cs="DejaVu Sans"/>
            <w:sz w:val="24"/>
            <w:szCs w:val="24"/>
            <w:lang w:val="en-US" w:eastAsia="en-US" w:bidi="en-US"/>
          </w:rPr>
          <w:t>https://pmc.ncbi.nlm.nih.gov/articles/PMC10477724/</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2">
        <w:r>
          <w:rPr>
            <w:rFonts w:ascii="Liberation Serif" w:hAnsi="Liberation Serif" w:eastAsia="DejaVu Sans" w:cs="DejaVu Sans"/>
            <w:sz w:val="24"/>
            <w:szCs w:val="24"/>
            <w:lang w:val="en-US" w:eastAsia="en-US" w:bidi="en-US"/>
          </w:rPr>
          <w:t>https://www.mdpi.com/2071-1050/14/8/4565</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3">
        <w:r>
          <w:rPr>
            <w:rFonts w:ascii="Liberation Serif" w:hAnsi="Liberation Serif" w:eastAsia="DejaVu Sans" w:cs="DejaVu Sans"/>
            <w:sz w:val="24"/>
            <w:szCs w:val="24"/>
            <w:lang w:val="en-US" w:eastAsia="en-US" w:bidi="en-US"/>
          </w:rPr>
          <w:t>https://www.eawag.ch/fileadmin/Domain1/Abteilungen/sandec/publikationen/SWM/BSF/Valorisation_of_organic_solid_waste.pdf</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4">
        <w:r>
          <w:rPr>
            <w:rFonts w:ascii="Liberation Serif" w:hAnsi="Liberation Serif" w:eastAsia="DejaVu Sans" w:cs="DejaVu Sans"/>
            <w:sz w:val="24"/>
            <w:szCs w:val="24"/>
            <w:lang w:val="en-US" w:eastAsia="en-US" w:bidi="en-US"/>
          </w:rPr>
          <w:t>http://www.iwmi.org/Publications/wle/rrr/resource_recovery_and_reuse-series_16.pdf</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10" w:author="Usuario" w:date="2025-01-19T14:53:00Z" w:initials="U">
    <w:p>
      <w:pPr>
        <w:overflowPunct w:val="false"/>
        <w:spacing w:before="0" w:after="0" w:lineRule="auto" w:line="240"/>
        <w:rPr/>
      </w:pPr>
      <w:r>
        <w:rPr>
          <w:rFonts w:ascii="Liberation Serif" w:hAnsi="Liberation Serif" w:eastAsia="DejaVu Sans" w:cs="DejaVu Sans"/>
          <w:sz w:val="24"/>
          <w:szCs w:val="24"/>
          <w:lang w:eastAsia="en-US" w:bidi="en-US" w:val="es-CO"/>
        </w:rPr>
        <w:t>Vale la pena introducir acá algunas citaciones bibliográficas.</w:t>
      </w:r>
    </w:p>
  </w:comment>
  <w:comment w:id="11" w:author="Usuario" w:date="2025-01-19T14:52:00Z" w:initials="U">
    <w:p>
      <w:pPr>
        <w:overflowPunct w:val="false"/>
        <w:spacing w:before="0" w:after="0" w:lineRule="auto" w:line="240"/>
        <w:rPr/>
      </w:pPr>
      <w:r>
        <w:rPr>
          <w:rFonts w:ascii="Liberation Serif" w:hAnsi="Liberation Serif" w:eastAsia="DejaVu Sans" w:cs="DejaVu Sans"/>
          <w:sz w:val="24"/>
          <w:szCs w:val="24"/>
          <w:lang w:eastAsia="en-US" w:bidi="en-US" w:val="es-CO"/>
        </w:rPr>
        <w:t>es</w:t>
      </w:r>
    </w:p>
  </w:comment>
  <w:comment w:id="12" w:author="Usuario" w:date="2025-01-19T14:52:00Z" w:initials="U">
    <w:p>
      <w:pPr>
        <w:overflowPunct w:val="false"/>
        <w:spacing w:before="0" w:after="0" w:lineRule="auto" w:line="240"/>
        <w:rPr/>
      </w:pPr>
      <w:r>
        <w:rPr>
          <w:rFonts w:ascii="Liberation Serif" w:hAnsi="Liberation Serif" w:eastAsia="DejaVu Sans" w:cs="DejaVu Sans"/>
          <w:sz w:val="24"/>
          <w:szCs w:val="24"/>
          <w:lang w:eastAsia="en-US" w:bidi="en-US" w:val="es-CO"/>
        </w:rPr>
        <w:t>…aprendizaje automático …</w:t>
      </w:r>
    </w:p>
  </w:comment>
  <w:comment w:id="13" w:author="Usuario" w:date="2025-01-19T14:54:00Z" w:initials="U">
    <w:p>
      <w:pPr>
        <w:overflowPunct w:val="false"/>
        <w:spacing w:before="0" w:after="0" w:lineRule="auto" w:line="240"/>
        <w:rPr/>
      </w:pPr>
      <w:r>
        <w:rPr>
          <w:rFonts w:ascii="Liberation Serif" w:hAnsi="Liberation Serif" w:eastAsia="DejaVu Sans" w:cs="DejaVu Sans"/>
          <w:sz w:val="24"/>
          <w:szCs w:val="24"/>
          <w:lang w:eastAsia="en-US" w:bidi="en-US" w:val="es-CO"/>
        </w:rPr>
        <w:t>Acá también vale la pena introducir algunas citaciones bibliográficas.</w:t>
      </w:r>
    </w:p>
  </w:comment>
  <w:comment w:id="14" w:author="Usuario" w:date="2025-01-19T14:55:00Z" w:initials="U">
    <w:p>
      <w:pPr>
        <w:overflowPunct w:val="false"/>
        <w:spacing w:before="0" w:after="0" w:lineRule="auto" w:line="240"/>
        <w:rPr/>
      </w:pPr>
      <w:r>
        <w:rPr>
          <w:rFonts w:ascii="Liberation Serif" w:hAnsi="Liberation Serif" w:eastAsia="DejaVu Sans" w:cs="DejaVu Sans"/>
          <w:sz w:val="24"/>
          <w:szCs w:val="24"/>
          <w:lang w:eastAsia="en-US" w:bidi="en-US" w:val="es-CO"/>
        </w:rPr>
        <w:t>.. IoT y algoritmos de aprendizaje automático …</w:t>
      </w:r>
    </w:p>
  </w:comment>
  <w:comment w:id="15" w:author="Usuario" w:date="2025-01-19T14:56:00Z" w:initials="U">
    <w:p>
      <w:pPr>
        <w:overflowPunct w:val="false"/>
        <w:spacing w:before="0" w:after="0" w:lineRule="auto" w:line="240"/>
        <w:rPr/>
      </w:pPr>
      <w:r>
        <w:rPr>
          <w:rFonts w:ascii="Liberation Serif" w:hAnsi="Liberation Serif" w:eastAsia="DejaVu Sans" w:cs="DejaVu Sans"/>
          <w:sz w:val="24"/>
          <w:szCs w:val="24"/>
          <w:lang w:eastAsia="en-US" w:bidi="en-US" w:val="es-CO"/>
        </w:rPr>
        <w:t>es</w:t>
      </w:r>
    </w:p>
  </w:comment>
  <w:comment w:id="16" w:author="Usuario" w:date="2025-01-19T14:59:00Z" w:initials="U">
    <w:p>
      <w:pPr>
        <w:overflowPunct w:val="false"/>
        <w:spacing w:before="0" w:after="0" w:lineRule="auto" w:line="240"/>
        <w:rPr/>
      </w:pPr>
      <w:r>
        <w:rPr>
          <w:rFonts w:ascii="Liberation Serif" w:hAnsi="Liberation Serif" w:eastAsia="DejaVu Sans" w:cs="DejaVu Sans"/>
          <w:sz w:val="24"/>
          <w:szCs w:val="24"/>
          <w:lang w:eastAsia="en-US" w:bidi="en-US" w:val="es-CO"/>
        </w:rPr>
        <w:t>…algoritmos de aprendizaje autormático…,</w:t>
      </w:r>
    </w:p>
  </w:comment>
  <w:comment w:id="17" w:author="Usuario" w:date="2025-01-19T15:02:00Z" w:initials="U">
    <w:p>
      <w:pPr>
        <w:overflowPunct w:val="false"/>
        <w:spacing w:before="0" w:after="0" w:lineRule="auto" w:line="240"/>
        <w:rPr/>
      </w:pPr>
      <w:r>
        <w:rPr>
          <w:rFonts w:ascii="Liberation Serif" w:hAnsi="Liberation Serif" w:eastAsia="DejaVu Sans" w:cs="DejaVu Sans"/>
          <w:sz w:val="24"/>
          <w:szCs w:val="24"/>
          <w:lang w:eastAsia="en-US" w:bidi="en-US" w:val="es-CO"/>
        </w:rPr>
        <w:t>…que involucran</w:t>
      </w:r>
    </w:p>
  </w:comment>
  <w:comment w:id="18" w:author="Usuario" w:date="2025-01-19T15:02:00Z" w:initials="U">
    <w:p>
      <w:pPr>
        <w:overflowPunct w:val="false"/>
        <w:spacing w:before="0" w:after="0" w:lineRule="auto" w:line="240"/>
        <w:rPr/>
      </w:pPr>
      <w:r>
        <w:rPr>
          <w:rFonts w:ascii="Liberation Serif" w:hAnsi="Liberation Serif" w:eastAsia="DejaVu Sans" w:cs="DejaVu Sans"/>
          <w:sz w:val="24"/>
          <w:szCs w:val="24"/>
          <w:lang w:eastAsia="en-US" w:bidi="en-US" w:val="es-CO"/>
        </w:rPr>
        <w:t>En letra cursiva.</w:t>
      </w:r>
    </w:p>
  </w:comment>
  <w:comment w:id="19" w:author="Usuario" w:date="2025-01-19T15:02:00Z" w:initials="U">
    <w:p>
      <w:pPr>
        <w:overflowPunct w:val="false"/>
        <w:spacing w:before="0" w:after="0" w:lineRule="auto" w:line="240"/>
        <w:rPr/>
      </w:pPr>
      <w:r>
        <w:rPr>
          <w:rFonts w:ascii="Liberation Serif" w:hAnsi="Liberation Serif" w:eastAsia="DejaVu Sans" w:cs="DejaVu Sans"/>
          <w:sz w:val="24"/>
          <w:szCs w:val="24"/>
          <w:lang w:eastAsia="en-US" w:bidi="en-US" w:val="es-CO"/>
        </w:rPr>
        <w:t>… la cual…</w:t>
      </w:r>
    </w:p>
  </w:comment>
  <w:comment w:id="20" w:author="Usuario" w:date="2025-01-19T15:03:00Z" w:initials="U">
    <w:p>
      <w:pPr>
        <w:overflowPunct w:val="false"/>
        <w:spacing w:before="0" w:after="0" w:lineRule="auto" w:line="240"/>
        <w:rPr/>
      </w:pPr>
      <w:r>
        <w:rPr>
          <w:rFonts w:ascii="Liberation Serif" w:hAnsi="Liberation Serif" w:eastAsia="DejaVu Sans" w:cs="DejaVu Sans"/>
          <w:sz w:val="24"/>
          <w:szCs w:val="24"/>
          <w:lang w:eastAsia="en-US" w:bidi="en-US" w:val="es-CO"/>
        </w:rPr>
        <w:t>… aprendizaje automático…</w:t>
      </w:r>
    </w:p>
  </w:comment>
  <w:comment w:id="21" w:author="Usuario" w:date="2025-01-19T15:04:00Z" w:initials="U">
    <w:p>
      <w:pPr>
        <w:overflowPunct w:val="false"/>
        <w:spacing w:before="0" w:after="0" w:lineRule="auto" w:line="240"/>
        <w:rPr/>
      </w:pPr>
      <w:r>
        <w:rPr>
          <w:rFonts w:ascii="Liberation Serif" w:hAnsi="Liberation Serif" w:eastAsia="DejaVu Sans" w:cs="DejaVu Sans"/>
          <w:sz w:val="24"/>
          <w:szCs w:val="24"/>
          <w:lang w:eastAsia="en-US" w:bidi="en-US" w:val="es-CO"/>
        </w:rPr>
        <w:t>… y algoritmos de aprendizaje automático…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Podemos definir una abreviatura a algoritmos de aprendizaje automático como AAA</w:t>
      </w:r>
    </w:p>
  </w:comment>
  <w:comment w:id="22" w:author="Usuario" w:date="2025-01-19T15:06:00Z" w:initials="U">
    <w:p>
      <w:pPr>
        <w:overflowPunct w:val="false"/>
        <w:spacing w:before="0" w:after="0" w:lineRule="auto" w:line="240"/>
        <w:rPr/>
      </w:pPr>
      <w:r>
        <w:rPr>
          <w:rFonts w:ascii="Liberation Serif" w:hAnsi="Liberation Serif" w:eastAsia="DejaVu Sans" w:cs="DejaVu Sans"/>
          <w:sz w:val="24"/>
          <w:szCs w:val="24"/>
          <w:lang w:eastAsia="en-US" w:bidi="en-US" w:val="es-CO"/>
        </w:rPr>
        <w:t>Hacer punto final y rematar con lo que sigue en un párrafo final que puedes empezar así:</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Bajo esta premisa, la presente investigación…</w:t>
      </w:r>
    </w:p>
  </w:comment>
  <w:comment w:id="23" w:author="Usuario" w:date="2025-01-19T15:08:00Z" w:initials="U">
    <w:p>
      <w:pPr>
        <w:overflowPunct w:val="false"/>
        <w:spacing w:before="0" w:after="0" w:lineRule="auto" w:line="240"/>
        <w:rPr/>
      </w:pPr>
      <w:r>
        <w:rPr>
          <w:rFonts w:ascii="Liberation Serif" w:hAnsi="Liberation Serif" w:eastAsia="DejaVu Sans" w:cs="DejaVu Sans"/>
          <w:sz w:val="24"/>
          <w:szCs w:val="24"/>
          <w:lang w:eastAsia="en-US" w:bidi="en-US" w:val="es-CO"/>
        </w:rPr>
        <w:t>… propuesta doctoral…</w:t>
      </w:r>
    </w:p>
  </w:comment>
  <w:comment w:id="24" w:author="Usuario" w:date="2025-01-19T19:46:00Z" w:initials="U">
    <w:p>
      <w:pPr>
        <w:overflowPunct w:val="false"/>
        <w:spacing w:before="0" w:after="0" w:lineRule="auto" w:line="240"/>
        <w:rPr/>
      </w:pPr>
      <w:r>
        <w:rPr>
          <w:rFonts w:ascii="Liberation Serif" w:hAnsi="Liberation Serif" w:eastAsia="DejaVu Sans" w:cs="DejaVu Sans"/>
          <w:sz w:val="24"/>
          <w:szCs w:val="24"/>
          <w:lang w:eastAsia="en-US" w:bidi="en-US" w:val="es-CO"/>
        </w:rPr>
        <w:t>Incorporar bibliográfia más reciente.</w:t>
      </w:r>
    </w:p>
  </w:comment>
  <w:comment w:id="25" w:author="Usuario" w:date="2025-01-19T15:11:00Z" w:initials="U">
    <w:p>
      <w:pPr>
        <w:overflowPunct w:val="false"/>
        <w:spacing w:before="0" w:after="0" w:lineRule="auto" w:line="240"/>
        <w:rPr/>
      </w:pPr>
      <w:r>
        <w:rPr>
          <w:rFonts w:ascii="Liberation Serif" w:hAnsi="Liberation Serif" w:eastAsia="DejaVu Sans" w:cs="DejaVu Sans"/>
          <w:sz w:val="24"/>
          <w:szCs w:val="24"/>
          <w:lang w:eastAsia="en-US" w:bidi="en-US" w:val="es-CO"/>
        </w:rPr>
        <w:t>…, conocida como MSN o por sus siglas en inglés BSF. En el paréntesis colocar el nombre científico.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Incorporar referencias más recientes</w:t>
      </w:r>
    </w:p>
  </w:comment>
  <w:comment w:id="26" w:author="Usuario" w:date="2025-01-19T15:12:00Z" w:initials="U">
    <w:p>
      <w:pPr>
        <w:overflowPunct w:val="false"/>
        <w:spacing w:before="0" w:after="0" w:lineRule="auto" w:line="240"/>
        <w:rPr/>
      </w:pPr>
      <w:r>
        <w:rPr>
          <w:rFonts w:ascii="Liberation Serif" w:hAnsi="Liberation Serif" w:eastAsia="DejaVu Sans" w:cs="DejaVu Sans"/>
          <w:sz w:val="24"/>
          <w:szCs w:val="24"/>
          <w:lang w:eastAsia="en-US" w:bidi="en-US" w:val="es-CO"/>
        </w:rPr>
        <w:t>Letra cursiva.</w:t>
      </w:r>
    </w:p>
  </w:comment>
  <w:comment w:id="27" w:author="Usuario" w:date="2025-01-19T19:48:00Z" w:initials="U">
    <w:p>
      <w:pPr>
        <w:overflowPunct w:val="false"/>
        <w:spacing w:before="0" w:after="0" w:lineRule="auto" w:line="240"/>
        <w:rPr/>
      </w:pPr>
      <w:hyperlink r:id="rId15">
        <w:r>
          <w:rPr>
            <w:rFonts w:ascii="Liberation Serif" w:hAnsi="Liberation Serif" w:eastAsia="DejaVu Sans" w:cs="DejaVu Sans"/>
            <w:sz w:val="24"/>
            <w:szCs w:val="24"/>
            <w:lang w:val="en-US" w:eastAsia="en-US" w:bidi="en-US"/>
          </w:rPr>
          <w:t>https://www.sciencedirect.com/science/article/pii/S0956053X2400552X</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6">
        <w:r>
          <w:rPr>
            <w:rFonts w:ascii="Liberation Serif" w:hAnsi="Liberation Serif" w:eastAsia="DejaVu Sans" w:cs="DejaVu Sans"/>
            <w:sz w:val="24"/>
            <w:szCs w:val="24"/>
            <w:lang w:val="en-US" w:eastAsia="en-US" w:bidi="en-US"/>
          </w:rPr>
          <w:t>https://www.sciencedirect.com/science/article/pii/S2666202724001964</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7">
        <w:r>
          <w:rPr>
            <w:rFonts w:ascii="Liberation Serif" w:hAnsi="Liberation Serif" w:eastAsia="DejaVu Sans" w:cs="DejaVu Sans"/>
            <w:sz w:val="24"/>
            <w:szCs w:val="24"/>
            <w:lang w:val="en-US" w:eastAsia="en-US" w:bidi="en-US"/>
          </w:rPr>
          <w:t>https://www.mdpi.com/2071-1050/15/13/10383</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8">
        <w:r>
          <w:rPr>
            <w:rFonts w:ascii="Liberation Serif" w:hAnsi="Liberation Serif" w:eastAsia="DejaVu Sans" w:cs="DejaVu Sans"/>
            <w:sz w:val="24"/>
            <w:szCs w:val="24"/>
            <w:lang w:val="en-US" w:eastAsia="en-US" w:bidi="en-US"/>
          </w:rPr>
          <w:t>https://link.springer.com/article/10.1007/s10668-023-04306-6</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19">
        <w:r>
          <w:rPr>
            <w:rFonts w:ascii="Liberation Serif" w:hAnsi="Liberation Serif" w:eastAsia="DejaVu Sans" w:cs="DejaVu Sans"/>
            <w:sz w:val="24"/>
            <w:szCs w:val="24"/>
            <w:lang w:val="en-US" w:eastAsia="en-US" w:bidi="en-US"/>
          </w:rPr>
          <w:t>https://enveurope.springeropen.com/articles/10.1186/s12302-024-00861-5</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0">
        <w:r>
          <w:rPr>
            <w:rFonts w:ascii="Liberation Serif" w:hAnsi="Liberation Serif" w:eastAsia="DejaVu Sans" w:cs="DejaVu Sans"/>
            <w:sz w:val="24"/>
            <w:szCs w:val="24"/>
            <w:lang w:val="en-US" w:eastAsia="en-US" w:bidi="en-US"/>
          </w:rPr>
          <w:t>https://www.mdpi.com/2079-9276/13/12/164</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28" w:author="Usuario" w:date="2025-01-19T15:14:00Z" w:initials="U">
    <w:p>
      <w:pPr>
        <w:overflowPunct w:val="false"/>
        <w:spacing w:before="0" w:after="0" w:lineRule="auto" w:line="240"/>
        <w:rPr/>
      </w:pPr>
      <w:r>
        <w:rPr>
          <w:rFonts w:ascii="Liberation Serif" w:hAnsi="Liberation Serif" w:eastAsia="DejaVu Sans" w:cs="DejaVu Sans"/>
          <w:sz w:val="24"/>
          <w:szCs w:val="24"/>
          <w:lang w:eastAsia="en-US" w:bidi="en-US" w:val="es-CO"/>
        </w:rPr>
        <w:t>Se sugiere un amplio soporte bibliográfico de esta afirmación (por lo menos unas tres citaciones al respecto).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1">
        <w:r>
          <w:rPr>
            <w:rFonts w:ascii="Liberation Serif" w:hAnsi="Liberation Serif" w:eastAsia="DejaVu Sans" w:cs="DejaVu Sans"/>
            <w:sz w:val="24"/>
            <w:szCs w:val="24"/>
            <w:lang w:val="en-US" w:eastAsia="en-US" w:bidi="en-US"/>
          </w:rPr>
          <w:t>https://www.sciencedirect.com/science/article/pii/S2352186422001985</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2">
        <w:r>
          <w:rPr>
            <w:rFonts w:ascii="Liberation Serif" w:hAnsi="Liberation Serif" w:eastAsia="DejaVu Sans" w:cs="DejaVu Sans"/>
            <w:sz w:val="24"/>
            <w:szCs w:val="24"/>
            <w:lang w:val="en-US" w:eastAsia="en-US" w:bidi="en-US"/>
          </w:rPr>
          <w:t>https://www.mdpi.com/2076-2615/14/9/1340</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3">
        <w:r>
          <w:rPr>
            <w:rFonts w:ascii="Liberation Serif" w:hAnsi="Liberation Serif" w:eastAsia="DejaVu Sans" w:cs="DejaVu Sans"/>
            <w:sz w:val="24"/>
            <w:szCs w:val="24"/>
            <w:lang w:val="en-US" w:eastAsia="en-US" w:bidi="en-US"/>
          </w:rPr>
          <w:t>https://www.mdpi.com/2077-0472/14/1/8</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4">
        <w:r>
          <w:rPr>
            <w:rFonts w:ascii="Liberation Serif" w:hAnsi="Liberation Serif" w:eastAsia="DejaVu Sans" w:cs="DejaVu Sans"/>
            <w:sz w:val="24"/>
            <w:szCs w:val="24"/>
            <w:lang w:val="en-US" w:eastAsia="en-US" w:bidi="en-US"/>
          </w:rPr>
          <w:t>https://brill.com/view/journals/jiff/8/2/article-p113_2.xml?ebody=abstract%2Fexcerpt</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5">
        <w:r>
          <w:rPr>
            <w:rFonts w:ascii="Liberation Serif" w:hAnsi="Liberation Serif" w:eastAsia="DejaVu Sans" w:cs="DejaVu Sans"/>
            <w:sz w:val="24"/>
            <w:szCs w:val="24"/>
            <w:lang w:val="en-US" w:eastAsia="en-US" w:bidi="en-US"/>
          </w:rPr>
          <w:t>https://www.sciencedirect.com/science/article/pii/S0956053X22000010</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Lo que tienes al final de sistemas automatizados, acá hay un buen soporte de citación:</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6">
        <w:r>
          <w:rPr>
            <w:rFonts w:ascii="Liberation Serif" w:hAnsi="Liberation Serif" w:eastAsia="DejaVu Sans" w:cs="DejaVu Sans"/>
            <w:sz w:val="24"/>
            <w:szCs w:val="24"/>
            <w:lang w:val="en-US" w:eastAsia="en-US" w:bidi="en-US"/>
          </w:rPr>
          <w:t>https://edepot.wur.nl/529949</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29" w:author="Usuario" w:date="2025-01-19T15:45:00Z" w:initials="U">
    <w:p>
      <w:pPr>
        <w:overflowPunct w:val="false"/>
        <w:spacing w:before="0" w:after="0" w:lineRule="auto" w:line="240"/>
        <w:rPr/>
      </w:pPr>
      <w:r>
        <w:rPr>
          <w:rFonts w:ascii="Liberation Serif" w:hAnsi="Liberation Serif" w:eastAsia="DejaVu Sans" w:cs="DejaVu Sans"/>
          <w:sz w:val="24"/>
          <w:szCs w:val="24"/>
          <w:lang w:eastAsia="en-US" w:bidi="en-US" w:val="es-CO"/>
        </w:rPr>
        <w:t>..y AAA…</w:t>
      </w:r>
    </w:p>
  </w:comment>
  <w:comment w:id="30" w:author="Usuario" w:date="2025-01-19T16:27:00Z" w:initials="U">
    <w:p>
      <w:pPr>
        <w:overflowPunct w:val="false"/>
        <w:spacing w:before="0" w:after="0" w:lineRule="auto" w:line="240"/>
        <w:rPr/>
      </w:pPr>
      <w:r>
        <w:rPr>
          <w:rFonts w:ascii="Liberation Serif" w:hAnsi="Liberation Serif" w:eastAsia="DejaVu Sans" w:cs="DejaVu Sans"/>
          <w:sz w:val="24"/>
          <w:szCs w:val="24"/>
          <w:lang w:eastAsia="en-US" w:bidi="en-US" w:val="es-CO"/>
        </w:rPr>
        <w:t>AAA</w:t>
      </w:r>
    </w:p>
  </w:comment>
  <w:comment w:id="31" w:author="Usuario" w:date="2025-01-19T16:27:00Z" w:initials="U">
    <w:p>
      <w:pPr>
        <w:overflowPunct w:val="false"/>
        <w:spacing w:before="0" w:after="0" w:lineRule="auto" w:line="240"/>
        <w:rPr/>
      </w:pPr>
      <w:r>
        <w:rPr>
          <w:rFonts w:ascii="Liberation Serif" w:hAnsi="Liberation Serif" w:eastAsia="DejaVu Sans" w:cs="DejaVu Sans"/>
          <w:sz w:val="24"/>
          <w:szCs w:val="24"/>
          <w:lang w:eastAsia="en-US" w:bidi="en-US" w:val="es-CO"/>
        </w:rPr>
        <w:t>es</w:t>
      </w:r>
    </w:p>
  </w:comment>
  <w:comment w:id="32" w:author="Usuario" w:date="2025-01-19T16:30:00Z" w:initials="U">
    <w:p>
      <w:pPr>
        <w:overflowPunct w:val="false"/>
        <w:spacing w:before="0" w:after="0" w:lineRule="auto" w:line="240"/>
        <w:rPr/>
      </w:pPr>
      <w:r>
        <w:rPr>
          <w:rFonts w:ascii="Liberation Serif" w:hAnsi="Liberation Serif" w:eastAsia="DejaVu Sans" w:cs="DejaVu Sans"/>
          <w:sz w:val="24"/>
          <w:szCs w:val="24"/>
          <w:lang w:eastAsia="en-US" w:bidi="en-US" w:val="es-CO"/>
        </w:rPr>
        <w:t>Existe en la literatura publicaciones que ya están mencionando el uso de IoT integrado a la MSN, vale la pena revisar y que falta sobre esto (posiblemente lo que falte es la unión con los AAA). ¿Parece que IoT lo están usando para monitorear el crecimiento de larvas de la MSN, pero tal vez no para tu propuesta? Ojo, revisar para ajustar lo que buscas en tu propuesta frontera del conocimiento, ¿que corremos de esta frontera? Ya algunos integran principalmente IoT con visión computacional. ¿con que faltaría integrar la IoT? ¿redes neuronales o lógica difusa?</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7">
        <w:r>
          <w:rPr>
            <w:rFonts w:ascii="Liberation Serif" w:hAnsi="Liberation Serif" w:eastAsia="DejaVu Sans" w:cs="DejaVu Sans"/>
            <w:sz w:val="24"/>
            <w:szCs w:val="24"/>
            <w:lang w:val="en-US" w:eastAsia="en-US" w:bidi="en-US"/>
          </w:rPr>
          <w:t>https://www.sciencedirect.com/science/article/abs/pii/S1876107022000347</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8">
        <w:r>
          <w:rPr>
            <w:rFonts w:ascii="Liberation Serif" w:hAnsi="Liberation Serif" w:eastAsia="DejaVu Sans" w:cs="DejaVu Sans"/>
            <w:sz w:val="24"/>
            <w:szCs w:val="24"/>
            <w:lang w:val="en-US" w:eastAsia="en-US" w:bidi="en-US"/>
          </w:rPr>
          <w:t>https://ieeexplore.ieee.org/document/10467464</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29">
        <w:r>
          <w:rPr>
            <w:rFonts w:ascii="Liberation Serif" w:hAnsi="Liberation Serif" w:eastAsia="DejaVu Sans" w:cs="DejaVu Sans"/>
            <w:sz w:val="24"/>
            <w:szCs w:val="24"/>
            <w:lang w:val="en-US" w:eastAsia="en-US" w:bidi="en-US"/>
          </w:rPr>
          <w:t>https://learning-gate.com/index.php/2576-8484/article/view/2182</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0">
        <w:r>
          <w:rPr>
            <w:rFonts w:ascii="Liberation Serif" w:hAnsi="Liberation Serif" w:eastAsia="DejaVu Sans" w:cs="DejaVu Sans"/>
            <w:sz w:val="24"/>
            <w:szCs w:val="24"/>
            <w:lang w:val="en-US" w:eastAsia="en-US" w:bidi="en-US"/>
          </w:rPr>
          <w:t>https://air.ashesi.edu.gh/items/6980d143-44c1-46d8-9e41-69d3a148e7af</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1">
        <w:r>
          <w:rPr>
            <w:rFonts w:ascii="Liberation Serif" w:hAnsi="Liberation Serif" w:eastAsia="DejaVu Sans" w:cs="DejaVu Sans"/>
            <w:sz w:val="24"/>
            <w:szCs w:val="24"/>
            <w:lang w:val="en-US" w:eastAsia="en-US" w:bidi="en-US"/>
          </w:rPr>
          <w:t>https://dissertations.mak.ac.ug/handle/20.500.12281/16551?show=full</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sobre el uso en general de IA con mosca soldado y posiblemente otros insectos, hay reportes al respecto. Algunos documentos son review, que creo te debemos revisar. Acá algunos documentos para que revises: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2">
        <w:r>
          <w:rPr>
            <w:rFonts w:ascii="Liberation Serif" w:hAnsi="Liberation Serif" w:eastAsia="DejaVu Sans" w:cs="DejaVu Sans"/>
            <w:sz w:val="24"/>
            <w:szCs w:val="24"/>
            <w:lang w:val="en-US" w:eastAsia="en-US" w:bidi="en-US"/>
          </w:rPr>
          <w:t>https://www.sciencedirect.com/science/article/pii/S0168169923008918</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33" w:author="Usuario" w:date="2025-01-19T19:52:00Z" w:initials="U">
    <w:p>
      <w:pPr>
        <w:overflowPunct w:val="false"/>
        <w:spacing w:before="0" w:after="0" w:lineRule="auto" w:line="240"/>
        <w:rPr/>
      </w:pPr>
      <w:r>
        <w:rPr>
          <w:rFonts w:ascii="Liberation Serif" w:hAnsi="Liberation Serif" w:eastAsia="DejaVu Sans" w:cs="DejaVu Sans"/>
          <w:sz w:val="24"/>
          <w:szCs w:val="24"/>
          <w:lang w:eastAsia="en-US" w:bidi="en-US" w:val="es-CO"/>
        </w:rPr>
        <w:t>revisar las ideas acá plasmadas, ya que la citación es del 2014, ajustar la idea basado en las publicaciones más recientes.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3">
        <w:r>
          <w:rPr>
            <w:rFonts w:ascii="Liberation Serif" w:hAnsi="Liberation Serif" w:eastAsia="DejaVu Sans" w:cs="DejaVu Sans"/>
            <w:sz w:val="24"/>
            <w:szCs w:val="24"/>
            <w:lang w:val="en-US" w:eastAsia="en-US" w:bidi="en-US"/>
          </w:rPr>
          <w:t>file:///C:/Users/Usuario/Downloads/fbioe-12-1404776.pdf</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4">
        <w:r>
          <w:rPr>
            <w:rFonts w:ascii="Liberation Serif" w:hAnsi="Liberation Serif" w:eastAsia="DejaVu Sans" w:cs="DejaVu Sans"/>
            <w:sz w:val="24"/>
            <w:szCs w:val="24"/>
            <w:lang w:val="en-US" w:eastAsia="en-US" w:bidi="en-US"/>
          </w:rPr>
          <w:t>https://www.intechopen.com/chapters/1143229</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5">
        <w:r>
          <w:rPr>
            <w:rFonts w:ascii="Liberation Serif" w:hAnsi="Liberation Serif" w:eastAsia="DejaVu Sans" w:cs="DejaVu Sans"/>
            <w:sz w:val="24"/>
            <w:szCs w:val="24"/>
            <w:lang w:val="en-US" w:eastAsia="en-US" w:bidi="en-US"/>
          </w:rPr>
          <w:t>https://www.researchgate.net/publication/343131554_A_Review_of_the_Measurement_Method_Analysis_and_Implementation_Policy_of_Carbon_Dioxide_Emission_from_Transportation</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6">
        <w:r>
          <w:rPr>
            <w:rFonts w:ascii="Liberation Serif" w:hAnsi="Liberation Serif" w:eastAsia="DejaVu Sans" w:cs="DejaVu Sans"/>
            <w:sz w:val="24"/>
            <w:szCs w:val="24"/>
            <w:lang w:val="en-US" w:eastAsia="en-US" w:bidi="en-US"/>
          </w:rPr>
          <w:t>https://www.mdpi.com/2071-1050/15/16/12353</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7">
        <w:r>
          <w:rPr>
            <w:rFonts w:ascii="Liberation Serif" w:hAnsi="Liberation Serif" w:eastAsia="DejaVu Sans" w:cs="DejaVu Sans"/>
            <w:sz w:val="24"/>
            <w:szCs w:val="24"/>
            <w:lang w:val="en-US" w:eastAsia="en-US" w:bidi="en-US"/>
          </w:rPr>
          <w:t>https://www.sciencedirect.com/science/article/pii/S2949750724000385</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8">
        <w:r>
          <w:rPr>
            <w:rFonts w:ascii="Liberation Serif" w:hAnsi="Liberation Serif" w:eastAsia="DejaVu Sans" w:cs="DejaVu Sans"/>
            <w:sz w:val="24"/>
            <w:szCs w:val="24"/>
            <w:lang w:val="en-US" w:eastAsia="en-US" w:bidi="en-US"/>
          </w:rPr>
          <w:t>https://www.sciencedirect.com/science/article/pii/S2772375524000364</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39">
        <w:r>
          <w:rPr>
            <w:rFonts w:ascii="Liberation Serif" w:hAnsi="Liberation Serif" w:eastAsia="DejaVu Sans" w:cs="DejaVu Sans"/>
            <w:sz w:val="24"/>
            <w:szCs w:val="24"/>
            <w:lang w:val="en-US" w:eastAsia="en-US" w:bidi="en-US"/>
          </w:rPr>
          <w:t>https://www.frontiersin.org/journals/environmental-science/articles/10.3389/fenvs.2024.1336088/full</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40">
        <w:r>
          <w:rPr>
            <w:rFonts w:ascii="Liberation Serif" w:hAnsi="Liberation Serif" w:eastAsia="DejaVu Sans" w:cs="DejaVu Sans"/>
            <w:sz w:val="24"/>
            <w:szCs w:val="24"/>
            <w:lang w:val="en-US" w:eastAsia="en-US" w:bidi="en-US"/>
          </w:rPr>
          <w:t>https://www.mdpi.com/2077-0472/13/7/1464</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hyperlink r:id="rId41">
        <w:r>
          <w:rPr>
            <w:rFonts w:ascii="Liberation Serif" w:hAnsi="Liberation Serif" w:eastAsia="DejaVu Sans" w:cs="DejaVu Sans"/>
            <w:sz w:val="24"/>
            <w:szCs w:val="24"/>
            <w:lang w:val="en-US" w:eastAsia="en-US" w:bidi="en-US"/>
          </w:rPr>
          <w:t>https://www.sciencedirect.com/science/article/abs/pii/S0168169922003106?via%3Dihub</w:t>
        </w:r>
      </w:hyperlink>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34" w:author="Usuario" w:date="2025-01-19T17:35:00Z" w:initials="U">
    <w:p>
      <w:pPr>
        <w:overflowPunct w:val="false"/>
        <w:spacing w:before="0" w:after="0" w:lineRule="auto" w:line="240"/>
        <w:rPr/>
      </w:pPr>
      <w:r>
        <w:rPr>
          <w:rFonts w:ascii="Liberation Serif" w:hAnsi="Liberation Serif" w:eastAsia="DejaVu Sans" w:cs="DejaVu Sans"/>
          <w:sz w:val="24"/>
          <w:szCs w:val="24"/>
          <w:lang w:val="en-US" w:eastAsia="en-US" w:bidi="en-US"/>
        </w:rPr>
        <w:t>…involucre</w:t>
      </w:r>
    </w:p>
    <w:p>
      <w:pPr>
        <w:overflowPunct w:val="false"/>
        <w:spacing w:before="0" w:after="0" w:lineRule="auto" w:line="240"/>
        <w:rPr/>
      </w:pPr>
      <w:r>
        <w:rPr>
          <w:rFonts w:ascii="Liberation Serif" w:hAnsi="Liberation Serif" w:eastAsia="DejaVu Sans" w:cs="DejaVu Sans"/>
          <w:sz w:val="24"/>
          <w:szCs w:val="24"/>
          <w:lang w:eastAsia="en-US" w:bidi="en-US" w:val="es-CO"/>
        </w:rPr>
        <w:t>…incluya</w:t>
      </w:r>
    </w:p>
    <w:p>
      <w:pPr>
        <w:overflowPunct w:val="false"/>
        <w:spacing w:before="0" w:after="0" w:lineRule="auto" w:line="240"/>
        <w:rPr/>
      </w:pPr>
      <w:r>
        <w:rPr>
          <w:rFonts w:ascii="Liberation Serif" w:hAnsi="Liberation Serif" w:eastAsia="DejaVu Sans" w:cs="DejaVu Sans"/>
          <w:sz w:val="24"/>
          <w:szCs w:val="24"/>
          <w:lang w:eastAsia="en-US" w:bidi="en-US" w:val="es-CO"/>
        </w:rPr>
        <w:t>…incorpore</w:t>
      </w:r>
    </w:p>
    <w:p>
      <w:pPr>
        <w:overflowPunct w:val="false"/>
        <w:spacing w:before="0" w:after="0" w:lineRule="auto" w:line="240"/>
        <w:rPr/>
      </w:pPr>
      <w:r>
        <w:rPr>
          <w:rFonts w:ascii="Liberation Serif" w:hAnsi="Liberation Serif" w:eastAsia="DejaVu Sans" w:cs="DejaVu Sans"/>
          <w:sz w:val="24"/>
          <w:szCs w:val="24"/>
          <w:lang w:eastAsia="en-US" w:bidi="en-US" w:val="es-CO"/>
        </w:rPr>
        <w:t>…introduzca</w:t>
      </w:r>
    </w:p>
  </w:comment>
  <w:comment w:id="35" w:author="Usuario" w:date="2025-01-19T17:34:00Z" w:initials="U">
    <w:p>
      <w:pPr>
        <w:overflowPunct w:val="false"/>
        <w:spacing w:before="0" w:after="0" w:lineRule="auto" w:line="240"/>
        <w:rPr/>
      </w:pPr>
      <w:r>
        <w:rPr>
          <w:rFonts w:ascii="Liberation Serif" w:hAnsi="Liberation Serif" w:eastAsia="DejaVu Sans" w:cs="DejaVu Sans"/>
          <w:sz w:val="24"/>
          <w:szCs w:val="24"/>
          <w:lang w:eastAsia="en-US" w:bidi="en-US" w:val="es-CO"/>
        </w:rPr>
        <w:t>…Inteligencia Artificial, como…</w:t>
      </w:r>
    </w:p>
  </w:comment>
  <w:comment w:id="36" w:author="Usuario" w:date="2025-01-19T17:34:00Z" w:initials="U">
    <w:p>
      <w:pPr>
        <w:overflowPunct w:val="false"/>
        <w:spacing w:before="0" w:after="0" w:lineRule="auto" w:line="240"/>
        <w:rPr/>
      </w:pPr>
      <w:r>
        <w:rPr>
          <w:rFonts w:ascii="Liberation Serif" w:hAnsi="Liberation Serif" w:eastAsia="DejaVu Sans" w:cs="DejaVu Sans"/>
          <w:sz w:val="24"/>
          <w:szCs w:val="24"/>
          <w:lang w:eastAsia="en-US" w:bidi="en-US" w:val="es-CO"/>
        </w:rPr>
        <w:t>…algoritmos de aprendizaje automático (AAA) …</w:t>
      </w:r>
    </w:p>
  </w:comment>
  <w:comment w:id="37" w:author="Usuario" w:date="2025-01-19T17:37:00Z" w:initials="U">
    <w:p>
      <w:pPr>
        <w:overflowPunct w:val="false"/>
        <w:spacing w:before="0" w:after="0" w:lineRule="auto" w:line="240"/>
        <w:rPr/>
      </w:pPr>
      <w:r>
        <w:rPr>
          <w:rFonts w:ascii="Liberation Serif" w:hAnsi="Liberation Serif" w:eastAsia="DejaVu Sans" w:cs="DejaVu Sans"/>
          <w:sz w:val="24"/>
          <w:szCs w:val="24"/>
          <w:lang w:val="en-US" w:eastAsia="en-US" w:bidi="en-US"/>
        </w:rPr>
        <w:t>… aprendizaje automático</w:t>
      </w:r>
    </w:p>
  </w:comment>
  <w:comment w:id="38" w:author="Usuario" w:date="2025-01-19T17:37:00Z" w:initials="U">
    <w:p>
      <w:pPr>
        <w:overflowPunct w:val="false"/>
        <w:spacing w:before="0" w:after="0" w:lineRule="auto" w:line="240"/>
        <w:rPr/>
      </w:pPr>
      <w:r>
        <w:rPr>
          <w:rFonts w:ascii="Liberation Serif" w:hAnsi="Liberation Serif" w:eastAsia="DejaVu Sans" w:cs="DejaVu Sans"/>
          <w:sz w:val="24"/>
          <w:szCs w:val="24"/>
          <w:lang w:eastAsia="en-US" w:bidi="en-US" w:val="es-CO"/>
        </w:rPr>
        <w:t>Pasar a la siguiente página el título.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Sugiero el título de Marco Metodológico, y plantea la siguiente estructura:</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6.1.- Ubicación del Proyecto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6.2.- Métodos y Materiales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Acá planteas las tres fases del proyecto, para cada fase integra lo que tienes como procedimientos y materiales.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6.3.- Cronograma de Actividades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6.4.- Presupuesto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6.5.- Difusión del Conocimiento y Productos Esperados.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Te voy a hacer comentarios sobre lo que tienes para que lo incorpores cuando hagas la estructura que te propongo.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val="en-US" w:eastAsia="en-US" w:bidi="en-US"/>
        </w:rPr>
      </w:r>
    </w:p>
  </w:comment>
  <w:comment w:id="39" w:author="Usuario" w:date="2025-01-19T17:59:00Z" w:initials="U">
    <w:p>
      <w:pPr>
        <w:overflowPunct w:val="false"/>
        <w:spacing w:before="0" w:after="0" w:lineRule="auto" w:line="240"/>
        <w:rPr/>
      </w:pPr>
      <w:r>
        <w:rPr>
          <w:rFonts w:ascii="Liberation Serif" w:hAnsi="Liberation Serif" w:eastAsia="DejaVu Sans" w:cs="DejaVu Sans"/>
          <w:sz w:val="24"/>
          <w:szCs w:val="24"/>
          <w:lang w:eastAsia="en-US" w:bidi="en-US" w:val="es-CO"/>
        </w:rPr>
        <w:t>La investigación se realizará en el campus del Centro Internacional de Agricultura Tropical (CIA) ubicado en la zona plana del Municipio de Palmira. Palmira se encuentra ubicada en el suroriente del Departamento del Valle del Cauca – Colombia, tiene una altitud aproximadamente de 1.000 msnm, su clima es … …, con una temperatura promedia de … … y una precipitación anual promedia de …</w:t>
      </w:r>
    </w:p>
  </w:comment>
  <w:comment w:id="40" w:author="Usuario" w:date="2025-01-19T18:03:00Z" w:initials="U">
    <w:p>
      <w:pPr>
        <w:overflowPunct w:val="false"/>
        <w:spacing w:before="0" w:after="0" w:lineRule="auto" w:line="240"/>
        <w:rPr/>
      </w:pPr>
      <w:r>
        <w:rPr>
          <w:rFonts w:ascii="Liberation Serif" w:hAnsi="Liberation Serif" w:eastAsia="DejaVu Sans" w:cs="DejaVu Sans"/>
          <w:sz w:val="24"/>
          <w:szCs w:val="24"/>
          <w:lang w:eastAsia="en-US" w:bidi="en-US" w:val="es-CO"/>
        </w:rPr>
        <w:t>Letra cursiva.</w:t>
      </w:r>
    </w:p>
  </w:comment>
  <w:comment w:id="41" w:author="Usuario" w:date="2025-01-19T18:05:00Z" w:initials="U">
    <w:p>
      <w:pPr>
        <w:overflowPunct w:val="false"/>
        <w:spacing w:before="0" w:after="0" w:lineRule="auto" w:line="240"/>
        <w:rPr/>
      </w:pPr>
      <w:r>
        <w:rPr>
          <w:rFonts w:ascii="Liberation Serif" w:hAnsi="Liberation Serif" w:eastAsia="DejaVu Sans" w:cs="DejaVu Sans"/>
          <w:sz w:val="24"/>
          <w:szCs w:val="24"/>
          <w:lang w:eastAsia="en-US" w:bidi="en-US" w:val="es-CO"/>
        </w:rPr>
        <w:t>¿sobre las diferentes dietas, tienes alguna información de lo que se implementará? ¿o se puede mencionar un soporte bibliográfico sobre las dietas a incorporar?</w:t>
      </w:r>
    </w:p>
  </w:comment>
  <w:comment w:id="42" w:author="Usuario" w:date="2025-01-19T18:03:00Z" w:initials="U">
    <w:p>
      <w:pPr>
        <w:overflowPunct w:val="false"/>
        <w:spacing w:before="0" w:after="0" w:lineRule="auto" w:line="240"/>
        <w:rPr/>
      </w:pPr>
      <w:r>
        <w:rPr>
          <w:rFonts w:ascii="Liberation Serif" w:hAnsi="Liberation Serif" w:eastAsia="DejaVu Sans" w:cs="DejaVu Sans"/>
          <w:sz w:val="24"/>
          <w:szCs w:val="24"/>
          <w:lang w:eastAsia="en-US" w:bidi="en-US" w:val="es-CO"/>
        </w:rPr>
        <w:t>es</w:t>
      </w:r>
    </w:p>
  </w:comment>
  <w:comment w:id="43" w:author="Usuario" w:date="2025-01-19T19:12:00Z" w:initials="U">
    <w:p>
      <w:pPr>
        <w:overflowPunct w:val="false"/>
        <w:spacing w:before="0" w:after="0" w:lineRule="auto" w:line="240"/>
        <w:rPr/>
      </w:pPr>
      <w:r>
        <w:rPr>
          <w:rFonts w:ascii="Liberation Serif" w:hAnsi="Liberation Serif" w:eastAsia="DejaVu Sans" w:cs="DejaVu Sans"/>
          <w:sz w:val="24"/>
          <w:szCs w:val="24"/>
          <w:lang w:eastAsia="en-US" w:bidi="en-US" w:val="es-CO"/>
        </w:rPr>
        <w:t>Para configurar la red IoT los…</w:t>
      </w:r>
    </w:p>
  </w:comment>
  <w:comment w:id="44" w:author="Usuario" w:date="2025-01-19T19:13:00Z" w:initials="U">
    <w:p>
      <w:pPr>
        <w:overflowPunct w:val="false"/>
        <w:spacing w:before="0" w:after="0" w:lineRule="auto" w:line="240"/>
        <w:rPr/>
      </w:pPr>
      <w:r>
        <w:rPr>
          <w:rFonts w:ascii="Liberation Serif" w:hAnsi="Liberation Serif" w:eastAsia="DejaVu Sans" w:cs="DejaVu Sans"/>
          <w:sz w:val="24"/>
          <w:szCs w:val="24"/>
          <w:lang w:val="en-US" w:eastAsia="en-US" w:bidi="en-US"/>
        </w:rPr>
        <w:t>… Aprendizaje Automático (AAA)</w:t>
      </w:r>
    </w:p>
  </w:comment>
  <w:comment w:id="45" w:author="Usuario" w:date="2025-01-19T19:14:00Z" w:initials="U">
    <w:p>
      <w:pPr>
        <w:overflowPunct w:val="false"/>
        <w:spacing w:before="0" w:after="0" w:lineRule="auto" w:line="240"/>
        <w:rPr/>
      </w:pPr>
      <w:r>
        <w:rPr>
          <w:rFonts w:ascii="Liberation Serif" w:hAnsi="Liberation Serif" w:eastAsia="DejaVu Sans" w:cs="DejaVu Sans"/>
          <w:sz w:val="24"/>
          <w:szCs w:val="24"/>
          <w:lang w:val="en-US" w:eastAsia="en-US" w:bidi="en-US"/>
        </w:rPr>
        <w:t>…Aprendizaje Automático (AAA)…</w:t>
      </w:r>
    </w:p>
  </w:comment>
  <w:comment w:id="46" w:author="Usuario" w:date="2025-01-19T19:14:00Z" w:initials="U">
    <w:p>
      <w:pPr>
        <w:overflowPunct w:val="false"/>
        <w:spacing w:before="0" w:after="0" w:lineRule="auto" w:line="240"/>
        <w:rPr/>
      </w:pPr>
      <w:r>
        <w:rPr>
          <w:rFonts w:ascii="Liberation Serif" w:hAnsi="Liberation Serif" w:eastAsia="DejaVu Sans" w:cs="DejaVu Sans"/>
          <w:sz w:val="24"/>
          <w:szCs w:val="24"/>
          <w:lang w:eastAsia="en-US" w:bidi="en-US" w:val="es-CO"/>
        </w:rPr>
        <w:t>Se usará como lenguaje computacional …</w:t>
      </w:r>
    </w:p>
  </w:comment>
  <w:comment w:id="47" w:author="Usuario" w:date="2025-01-19T19:15:00Z" w:initials="U">
    <w:p>
      <w:pPr>
        <w:overflowPunct w:val="false"/>
        <w:spacing w:before="0" w:after="0" w:lineRule="auto" w:line="240"/>
        <w:rPr/>
      </w:pPr>
      <w:r>
        <w:rPr>
          <w:rFonts w:ascii="Liberation Serif" w:hAnsi="Liberation Serif" w:eastAsia="DejaVu Sans" w:cs="DejaVu Sans"/>
          <w:sz w:val="24"/>
          <w:szCs w:val="24"/>
          <w:lang w:val="en-US" w:eastAsia="en-US" w:bidi="en-US"/>
        </w:rPr>
        <w:t>AA</w:t>
      </w:r>
    </w:p>
  </w:comment>
  <w:comment w:id="48" w:author="Usuario" w:date="2025-01-19T19:15:00Z" w:initials="U">
    <w:p>
      <w:pPr>
        <w:overflowPunct w:val="false"/>
        <w:spacing w:before="0" w:after="0" w:lineRule="auto" w:line="240"/>
        <w:rPr/>
      </w:pPr>
      <w:r>
        <w:rPr>
          <w:rFonts w:ascii="Liberation Serif" w:hAnsi="Liberation Serif" w:eastAsia="DejaVu Sans" w:cs="DejaVu Sans"/>
          <w:sz w:val="24"/>
          <w:szCs w:val="24"/>
          <w:lang w:val="en-US" w:eastAsia="en-US" w:bidi="en-US"/>
        </w:rPr>
        <w:t>AA</w:t>
      </w:r>
    </w:p>
  </w:comment>
  <w:comment w:id="49" w:author="Usuario" w:date="2025-01-19T19:16:00Z" w:initials="U">
    <w:p>
      <w:pPr>
        <w:overflowPunct w:val="false"/>
        <w:spacing w:before="0" w:after="0" w:lineRule="auto" w:line="240"/>
        <w:rPr/>
      </w:pPr>
      <w:r>
        <w:rPr>
          <w:rFonts w:ascii="Liberation Serif" w:hAnsi="Liberation Serif" w:eastAsia="DejaVu Sans" w:cs="DejaVu Sans"/>
          <w:sz w:val="24"/>
          <w:szCs w:val="24"/>
          <w:lang w:eastAsia="en-US" w:bidi="en-US" w:val="es-CO"/>
        </w:rPr>
        <w:t>Entre estos dos va el cronograma de actividades.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La Tabla #, muestra el cronograma de actividades, el cual se ha proyectado para 24 meses.</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Muestras la tabla con el cronograma.</w:t>
      </w:r>
    </w:p>
  </w:comment>
  <w:comment w:id="50" w:author="Usuario" w:date="2025-01-19T19:18:00Z" w:initials="U">
    <w:p>
      <w:pPr>
        <w:overflowPunct w:val="false"/>
        <w:spacing w:before="0" w:after="0" w:lineRule="auto" w:line="240"/>
        <w:rPr/>
      </w:pPr>
      <w:r>
        <w:rPr>
          <w:rFonts w:ascii="Liberation Serif" w:hAnsi="Liberation Serif" w:eastAsia="DejaVu Sans" w:cs="DejaVu Sans"/>
          <w:sz w:val="24"/>
          <w:szCs w:val="24"/>
          <w:lang w:val="en-US" w:eastAsia="en-US" w:bidi="en-US"/>
        </w:rPr>
        <w:t>Presupuesto</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La Tabla #, muestra el presupuesto de la investigación doctoral.</w:t>
      </w:r>
    </w:p>
    <w:p>
      <w:pPr>
        <w:overflowPunct w:val="false"/>
        <w:spacing w:before="0" w:after="0" w:lineRule="auto" w:line="240"/>
        <w:rPr/>
      </w:pPr>
      <w:r>
        <w:rPr>
          <w:rFonts w:ascii="Liberation Serif" w:hAnsi="Liberation Serif" w:eastAsia="DejaVu Sans" w:cs="DejaVu Sans"/>
          <w:sz w:val="24"/>
          <w:szCs w:val="24"/>
          <w:lang w:val="en-US" w:eastAsia="en-US" w:bidi="en-US"/>
        </w:rPr>
      </w:r>
    </w:p>
    <w:p>
      <w:pPr>
        <w:overflowPunct w:val="false"/>
        <w:spacing w:before="0" w:after="0" w:lineRule="auto" w:line="240"/>
        <w:rPr/>
      </w:pPr>
      <w:r>
        <w:rPr>
          <w:rFonts w:ascii="Liberation Serif" w:hAnsi="Liberation Serif" w:eastAsia="DejaVu Sans" w:cs="DejaVu Sans"/>
          <w:sz w:val="24"/>
          <w:szCs w:val="24"/>
          <w:lang w:eastAsia="en-US" w:bidi="en-US" w:val="es-CO"/>
        </w:rPr>
        <w:t xml:space="preserve">Elabora un presupuesto considerando lo tienes allí, pero es importante incluir valores en especie y en efectivo. Los valores en especie pueden incluir los costos del investigador y de los directores. Puedes colocar columnas o notas donde allí involucras las instituciones. Por ejemplo, mi costo como director en dos años sería un costo en especie aportado por UNAL, mientras el costo de Conejo sería un costo en especie aportado por CIAT. </w:t>
      </w:r>
    </w:p>
  </w:comment>
  <w:comment w:id="51" w:author="Usuario" w:date="2025-01-19T19:24:00Z" w:initials="U">
    <w:p>
      <w:pPr>
        <w:overflowPunct w:val="false"/>
        <w:spacing w:before="0" w:after="0" w:lineRule="auto" w:line="240"/>
        <w:rPr/>
      </w:pPr>
      <w:r>
        <w:rPr>
          <w:rFonts w:ascii="Liberation Serif" w:hAnsi="Liberation Serif" w:eastAsia="DejaVu Sans" w:cs="DejaVu Sans"/>
          <w:sz w:val="24"/>
          <w:szCs w:val="24"/>
          <w:lang w:eastAsia="en-US" w:bidi="en-US" w:val="es-CO"/>
        </w:rPr>
        <w:t>Puedes guiarte, por ejemplo, la beca que le dieron a los becarios de MINCIENCIAS; para sostenerlos mensualmente, lo cual sería tu costo como estudiante doctoral. Me parece que está algo bajo.</w:t>
      </w:r>
    </w:p>
  </w:comment>
  <w:comment w:id="52" w:author="Usuario" w:date="2025-01-19T19:26:00Z" w:initials="U">
    <w:p>
      <w:pPr>
        <w:overflowPunct w:val="false"/>
        <w:spacing w:before="0" w:after="0" w:lineRule="auto" w:line="240"/>
        <w:rPr/>
      </w:pPr>
      <w:r>
        <w:rPr>
          <w:rFonts w:ascii="Liberation Serif" w:hAnsi="Liberation Serif" w:eastAsia="DejaVu Sans" w:cs="DejaVu Sans"/>
          <w:sz w:val="24"/>
          <w:szCs w:val="24"/>
          <w:lang w:eastAsia="en-US" w:bidi="en-US" w:val="es-CO"/>
        </w:rPr>
        <w:t>Deberías tener por lo menos unas 35 o 50 citaciones, jeje. Trata de tener referencias de revistas, incluye el doi. Te sugiero que tengas de cada párrafo unas dos o tres referencias.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17">
          <wp:simplePos x="0" y="0"/>
          <wp:positionH relativeFrom="margin">
            <wp:posOffset>5250815</wp:posOffset>
          </wp:positionH>
          <wp:positionV relativeFrom="margin">
            <wp:posOffset>8261350</wp:posOffset>
          </wp:positionV>
          <wp:extent cx="914400" cy="781050"/>
          <wp:effectExtent l="0" t="0" r="0" b="0"/>
          <wp:wrapSquare wrapText="bothSides"/>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1"/>
                  <a:srcRect l="0" t="7178" r="0" b="7439"/>
                  <a:stretch>
                    <a:fillRect/>
                  </a:stretch>
                </pic:blipFill>
                <pic:spPr bwMode="auto">
                  <a:xfrm>
                    <a:off x="0" y="0"/>
                    <a:ext cx="914400" cy="781050"/>
                  </a:xfrm>
                  <a:prstGeom prst="rect">
                    <a:avLst/>
                  </a:prstGeom>
                  <a:noFill/>
                </pic:spPr>
              </pic:pic>
            </a:graphicData>
          </a:graphic>
        </wp:anchor>
      </w:drawing>
      <w:drawing>
        <wp:anchor behindDoc="0" distT="0" distB="0" distL="114300" distR="114300" simplePos="0" locked="0" layoutInCell="0" allowOverlap="1" relativeHeight="33">
          <wp:simplePos x="0" y="0"/>
          <wp:positionH relativeFrom="column">
            <wp:posOffset>6350</wp:posOffset>
          </wp:positionH>
          <wp:positionV relativeFrom="paragraph">
            <wp:posOffset>-141605</wp:posOffset>
          </wp:positionV>
          <wp:extent cx="1478280" cy="633730"/>
          <wp:effectExtent l="0" t="0" r="0" b="0"/>
          <wp:wrapTight wrapText="bothSides">
            <wp:wrapPolygon edited="0">
              <wp:start x="-60" y="0"/>
              <wp:lineTo x="-60" y="20633"/>
              <wp:lineTo x="21389" y="20633"/>
              <wp:lineTo x="21389" y="0"/>
              <wp:lineTo x="-60" y="0"/>
            </wp:wrapPolygon>
          </wp:wrapTight>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2"/>
                  <a:srcRect l="0" t="23919" r="0" b="24538"/>
                  <a:stretch>
                    <a:fillRect/>
                  </a:stretch>
                </pic:blipFill>
                <pic:spPr bwMode="auto">
                  <a:xfrm>
                    <a:off x="0" y="0"/>
                    <a:ext cx="1478280" cy="63373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17">
          <wp:simplePos x="0" y="0"/>
          <wp:positionH relativeFrom="margin">
            <wp:posOffset>5250815</wp:posOffset>
          </wp:positionH>
          <wp:positionV relativeFrom="margin">
            <wp:posOffset>8261350</wp:posOffset>
          </wp:positionV>
          <wp:extent cx="914400" cy="781050"/>
          <wp:effectExtent l="0" t="0" r="0" b="0"/>
          <wp:wrapSquare wrapText="bothSides"/>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
                  <a:srcRect l="0" t="7178" r="0" b="7439"/>
                  <a:stretch>
                    <a:fillRect/>
                  </a:stretch>
                </pic:blipFill>
                <pic:spPr bwMode="auto">
                  <a:xfrm>
                    <a:off x="0" y="0"/>
                    <a:ext cx="914400" cy="781050"/>
                  </a:xfrm>
                  <a:prstGeom prst="rect">
                    <a:avLst/>
                  </a:prstGeom>
                  <a:noFill/>
                </pic:spPr>
              </pic:pic>
            </a:graphicData>
          </a:graphic>
        </wp:anchor>
      </w:drawing>
      <w:drawing>
        <wp:anchor behindDoc="0" distT="0" distB="0" distL="114300" distR="114300" simplePos="0" locked="0" layoutInCell="0" allowOverlap="1" relativeHeight="33">
          <wp:simplePos x="0" y="0"/>
          <wp:positionH relativeFrom="column">
            <wp:posOffset>6350</wp:posOffset>
          </wp:positionH>
          <wp:positionV relativeFrom="paragraph">
            <wp:posOffset>-141605</wp:posOffset>
          </wp:positionV>
          <wp:extent cx="1478280" cy="633730"/>
          <wp:effectExtent l="0" t="0" r="0" b="0"/>
          <wp:wrapTight wrapText="bothSides">
            <wp:wrapPolygon edited="0">
              <wp:start x="-60" y="0"/>
              <wp:lineTo x="-60" y="20633"/>
              <wp:lineTo x="21389" y="20633"/>
              <wp:lineTo x="21389" y="0"/>
              <wp:lineTo x="-60" y="0"/>
            </wp:wrapPolygon>
          </wp:wrapTight>
          <wp:docPr id="4"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title=""/>
                  <pic:cNvPicPr>
                    <a:picLocks noChangeAspect="1" noChangeArrowheads="1"/>
                  </pic:cNvPicPr>
                </pic:nvPicPr>
                <pic:blipFill>
                  <a:blip r:embed="rId2"/>
                  <a:srcRect l="0" t="23919" r="0" b="24538"/>
                  <a:stretch>
                    <a:fillRect/>
                  </a:stretch>
                </pic:blipFill>
                <pic:spPr bwMode="auto">
                  <a:xfrm>
                    <a:off x="0" y="0"/>
                    <a:ext cx="1478280" cy="633730"/>
                  </a:xfrm>
                  <a:prstGeom prst="rect">
                    <a:avLst/>
                  </a:prstGeom>
                  <a:noFill/>
                </pic:spPr>
              </pic:pic>
            </a:graphicData>
          </a:graphic>
        </wp:anchor>
      </w:drawing>
    </w:r>
  </w:p>
</w:ft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b5e82"/>
    <w:rPr>
      <w:color w:val="0000FF"/>
      <w:u w:val="single"/>
    </w:rPr>
  </w:style>
  <w:style w:type="character" w:styleId="cf01" w:customStyle="1">
    <w:name w:val="cf01"/>
    <w:basedOn w:val="DefaultParagraphFont"/>
    <w:qFormat/>
    <w:rsid w:val="0068651a"/>
    <w:rPr>
      <w:rFonts w:ascii="Segoe UI" w:hAnsi="Segoe UI" w:cs="Segoe UI"/>
      <w:sz w:val="18"/>
      <w:szCs w:val="18"/>
    </w:rPr>
  </w:style>
  <w:style w:type="character" w:styleId="cf11" w:customStyle="1">
    <w:name w:val="cf11"/>
    <w:basedOn w:val="DefaultParagraphFont"/>
    <w:qFormat/>
    <w:rsid w:val="0068651a"/>
    <w:rPr>
      <w:rFonts w:ascii="Segoe UI" w:hAnsi="Segoe UI" w:cs="Segoe UI"/>
      <w:i/>
      <w:iCs/>
      <w:sz w:val="18"/>
      <w:szCs w:val="18"/>
    </w:rPr>
  </w:style>
  <w:style w:type="character" w:styleId="CommentReference">
    <w:name w:val="annotation reference"/>
    <w:basedOn w:val="DefaultParagraphFont"/>
    <w:uiPriority w:val="99"/>
    <w:semiHidden/>
    <w:unhideWhenUsed/>
    <w:qFormat/>
    <w:rsid w:val="00d16fe6"/>
    <w:rPr>
      <w:sz w:val="16"/>
      <w:szCs w:val="16"/>
    </w:rPr>
  </w:style>
  <w:style w:type="character" w:styleId="TextocomentarioCar" w:customStyle="1">
    <w:name w:val="Texto comentario Car"/>
    <w:basedOn w:val="DefaultParagraphFont"/>
    <w:link w:val="CommentText"/>
    <w:uiPriority w:val="99"/>
    <w:qFormat/>
    <w:rsid w:val="00d16fe6"/>
    <w:rPr>
      <w:sz w:val="20"/>
      <w:szCs w:val="20"/>
    </w:rPr>
  </w:style>
  <w:style w:type="character" w:styleId="EncabezadoCar" w:customStyle="1">
    <w:name w:val="Encabezado Car"/>
    <w:basedOn w:val="DefaultParagraphFont"/>
    <w:link w:val="Header"/>
    <w:uiPriority w:val="99"/>
    <w:qFormat/>
    <w:rsid w:val="005b2253"/>
    <w:rPr/>
  </w:style>
  <w:style w:type="character" w:styleId="PiedepginaCar" w:customStyle="1">
    <w:name w:val="Pie de página Car"/>
    <w:basedOn w:val="DefaultParagraphFont"/>
    <w:link w:val="Footer"/>
    <w:uiPriority w:val="99"/>
    <w:qFormat/>
    <w:rsid w:val="005b2253"/>
    <w:rPr/>
  </w:style>
  <w:style w:type="character" w:styleId="AsuntodelcomentarioCar" w:customStyle="1">
    <w:name w:val="Asunto del comentario Car"/>
    <w:basedOn w:val="TextocomentarioCar"/>
    <w:link w:val="annotationsubject"/>
    <w:uiPriority w:val="99"/>
    <w:semiHidden/>
    <w:qFormat/>
    <w:rsid w:val="00f213d6"/>
    <w:rPr>
      <w:b/>
      <w:bCs/>
      <w:sz w:val="20"/>
      <w:szCs w:val="20"/>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character" w:styleId="UnresolvedMention">
    <w:name w:val="Unresolved Mention"/>
    <w:basedOn w:val="DefaultParagraphFont"/>
    <w:uiPriority w:val="99"/>
    <w:semiHidden/>
    <w:unhideWhenUsed/>
    <w:qFormat/>
    <w:rsid w:val="000a1e04"/>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ListParagraph">
    <w:name w:val="List Paragraph"/>
    <w:basedOn w:val="Normal"/>
    <w:uiPriority w:val="34"/>
    <w:qFormat/>
    <w:rsid w:val="00ca5919"/>
    <w:pPr>
      <w:spacing w:before="0" w:after="160"/>
      <w:ind w:start="720"/>
      <w:contextualSpacing/>
    </w:pPr>
    <w:rPr/>
  </w:style>
  <w:style w:type="paragraph" w:styleId="Default" w:customStyle="1">
    <w:name w:val="Default"/>
    <w:qFormat/>
    <w:rsid w:val="00a41c31"/>
    <w:pPr>
      <w:widowControl/>
      <w:suppressAutoHyphens w:val="true"/>
      <w:bidi w:val="0"/>
      <w:spacing w:before="0" w:after="0"/>
      <w:jc w:val="start"/>
    </w:pPr>
    <w:rPr>
      <w:rFonts w:ascii="Cambria" w:hAnsi="Cambria" w:eastAsia="Calibri" w:cs="Cambria"/>
      <w:color w:val="000000"/>
      <w:kern w:val="0"/>
      <w:sz w:val="24"/>
      <w:szCs w:val="24"/>
      <w:lang w:val="en-US" w:eastAsia="en-US" w:bidi="ar-SA"/>
    </w:rPr>
  </w:style>
  <w:style w:type="paragraph" w:styleId="pf0" w:customStyle="1">
    <w:name w:val="pf0"/>
    <w:basedOn w:val="Normal"/>
    <w:qFormat/>
    <w:rsid w:val="0068651a"/>
    <w:pPr>
      <w:spacing w:lineRule="auto" w:line="240" w:beforeAutospacing="1" w:afterAutospacing="1"/>
    </w:pPr>
    <w:rPr>
      <w:rFonts w:ascii="Times New Roman" w:hAnsi="Times New Roman" w:eastAsia="Times New Roman" w:cs="Times New Roman"/>
      <w:sz w:val="24"/>
      <w:szCs w:val="24"/>
    </w:rPr>
  </w:style>
  <w:style w:type="paragraph" w:styleId="CommentText">
    <w:name w:val="annotation text"/>
    <w:basedOn w:val="Normal"/>
    <w:link w:val="TextocomentarioCar"/>
    <w:uiPriority w:val="99"/>
    <w:unhideWhenUsed/>
    <w:rsid w:val="00d16fe6"/>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Normal"/>
    <w:link w:val="EncabezadoCar"/>
    <w:uiPriority w:val="99"/>
    <w:unhideWhenUsed/>
    <w:rsid w:val="005b2253"/>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5b2253"/>
    <w:pPr>
      <w:tabs>
        <w:tab w:val="clear" w:pos="720"/>
        <w:tab w:val="center" w:pos="4680" w:leader="none"/>
        <w:tab w:val="right" w:pos="9360" w:leader="none"/>
      </w:tabs>
      <w:spacing w:lineRule="auto" w:line="240" w:before="0" w:after="0"/>
    </w:pPr>
    <w:rPr/>
  </w:style>
  <w:style w:type="paragraph" w:styleId="annotationsubject">
    <w:name w:val="annotation subject"/>
    <w:basedOn w:val="CommentText"/>
    <w:next w:val="CommentText"/>
    <w:link w:val="AsuntodelcomentarioCar"/>
    <w:uiPriority w:val="99"/>
    <w:semiHidden/>
    <w:unhideWhenUsed/>
    <w:qFormat/>
    <w:rsid w:val="00f213d6"/>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a41c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comments.xml.rels><?xml version="1.0" encoding="UTF-8"?>
<Relationships xmlns="http://schemas.openxmlformats.org/package/2006/relationships"><Relationship Id="rId1" Type="http://schemas.openxmlformats.org/officeDocument/2006/relationships/hyperlink" Target="https://www.sciencedirect.com/science/article/abs/pii/S004896972403506X" TargetMode="External"/><Relationship Id="rId2" Type="http://schemas.openxmlformats.org/officeDocument/2006/relationships/hyperlink" Target="https://www.mdpi.com/2071-1050/15/22/15889" TargetMode="External"/><Relationship Id="rId3" Type="http://schemas.openxmlformats.org/officeDocument/2006/relationships/hyperlink" Target="https://www.sciencedirect.com/science/article/pii/S277257232400027X" TargetMode="External"/><Relationship Id="rId4" Type="http://schemas.openxmlformats.org/officeDocument/2006/relationships/hyperlink" Target="https://royalsociety.org/~/media/policy/projects/evidence-synthesis/Ammonia/Ammonia-report.pdf" TargetMode="External"/><Relationship Id="rId5" Type="http://schemas.openxmlformats.org/officeDocument/2006/relationships/hyperlink" Target="https://openknowledge.fao.org/server/api/core/bitstreams/cc09fbbc-eb1d-436b-a88a-bed42a1f12f3/content" TargetMode="External"/><Relationship Id="rId6" Type="http://schemas.openxmlformats.org/officeDocument/2006/relationships/hyperlink" Target="https://www.cifor-icraf.org/publications/pdf_files/OccPapers/CIFOR-ICRAF-OP-4.pdf" TargetMode="External"/><Relationship Id="rId7" Type="http://schemas.openxmlformats.org/officeDocument/2006/relationships/hyperlink" Target="https://www.frontiersin.org/journals/sustainable-food-systems/articles/10.3389/fsufs.2020.518039/full" TargetMode="External"/><Relationship Id="rId8" Type="http://schemas.openxmlformats.org/officeDocument/2006/relationships/hyperlink" Target="https://www.sciencedirect.com/science/article/abs/pii/S0048969724025798" TargetMode="External"/><Relationship Id="rId9" Type="http://schemas.openxmlformats.org/officeDocument/2006/relationships/hyperlink" Target="https://link.springer.com/article/10.1007/s10311-020-01059-w" TargetMode="External"/><Relationship Id="rId10" Type="http://schemas.openxmlformats.org/officeDocument/2006/relationships/hyperlink" Target="https://www.mdpi.com/2076-3298/10/4/66" TargetMode="External"/><Relationship Id="rId11" Type="http://schemas.openxmlformats.org/officeDocument/2006/relationships/hyperlink" Target="https://pmc.ncbi.nlm.nih.gov/articles/PMC10477724/" TargetMode="External"/><Relationship Id="rId12" Type="http://schemas.openxmlformats.org/officeDocument/2006/relationships/hyperlink" Target="https://www.mdpi.com/2071-1050/14/8/4565" TargetMode="External"/><Relationship Id="rId13" Type="http://schemas.openxmlformats.org/officeDocument/2006/relationships/hyperlink" Target="https://www.eawag.ch/fileadmin/Domain1/Abteilungen/sandec/publikationen/SWM/BSF/Valorisation_of_organic_solid_waste.pdf" TargetMode="External"/><Relationship Id="rId14" Type="http://schemas.openxmlformats.org/officeDocument/2006/relationships/hyperlink" Target="http://www.iwmi.org/Publications/wle/rrr/resource_recovery_and_reuse-series_16.pdf" TargetMode="External"/><Relationship Id="rId15" Type="http://schemas.openxmlformats.org/officeDocument/2006/relationships/hyperlink" Target="https://www.sciencedirect.com/science/article/pii/S0956053X2400552X" TargetMode="External"/><Relationship Id="rId16" Type="http://schemas.openxmlformats.org/officeDocument/2006/relationships/hyperlink" Target="https://www.sciencedirect.com/science/article/pii/S2666202724001964" TargetMode="External"/><Relationship Id="rId17" Type="http://schemas.openxmlformats.org/officeDocument/2006/relationships/hyperlink" Target="https://www.mdpi.com/2071-1050/15/13/10383" TargetMode="External"/><Relationship Id="rId18" Type="http://schemas.openxmlformats.org/officeDocument/2006/relationships/hyperlink" Target="https://link.springer.com/article/10.1007/s10668-023-04306-6" TargetMode="External"/><Relationship Id="rId19" Type="http://schemas.openxmlformats.org/officeDocument/2006/relationships/hyperlink" Target="https://enveurope.springeropen.com/articles/10.1186/s12302-024-00861-5" TargetMode="External"/><Relationship Id="rId20" Type="http://schemas.openxmlformats.org/officeDocument/2006/relationships/hyperlink" Target="https://www.mdpi.com/2079-9276/13/12/164" TargetMode="External"/><Relationship Id="rId21" Type="http://schemas.openxmlformats.org/officeDocument/2006/relationships/hyperlink" Target="https://www.sciencedirect.com/science/article/pii/S2352186422001985" TargetMode="External"/><Relationship Id="rId22" Type="http://schemas.openxmlformats.org/officeDocument/2006/relationships/hyperlink" Target="https://www.mdpi.com/2076-2615/14/9/1340" TargetMode="External"/><Relationship Id="rId23" Type="http://schemas.openxmlformats.org/officeDocument/2006/relationships/hyperlink" Target="https://www.mdpi.com/2077-0472/14/1/8" TargetMode="External"/><Relationship Id="rId24" Type="http://schemas.openxmlformats.org/officeDocument/2006/relationships/hyperlink" Target="https://brill.com/view/journals/jiff/8/2/article-p113_2.xml?ebody=abstract%2Fexcerpt" TargetMode="External"/><Relationship Id="rId25" Type="http://schemas.openxmlformats.org/officeDocument/2006/relationships/hyperlink" Target="https://www.sciencedirect.com/science/article/pii/S0956053X22000010" TargetMode="External"/><Relationship Id="rId26" Type="http://schemas.openxmlformats.org/officeDocument/2006/relationships/hyperlink" Target="https://edepot.wur.nl/529949" TargetMode="External"/><Relationship Id="rId27" Type="http://schemas.openxmlformats.org/officeDocument/2006/relationships/hyperlink" Target="https://www.sciencedirect.com/science/article/abs/pii/S1876107022000347" TargetMode="External"/><Relationship Id="rId28" Type="http://schemas.openxmlformats.org/officeDocument/2006/relationships/hyperlink" Target="https://ieeexplore.ieee.org/document/10467464" TargetMode="External"/><Relationship Id="rId29" Type="http://schemas.openxmlformats.org/officeDocument/2006/relationships/hyperlink" Target="https://learning-gate.com/index.php/2576-8484/article/view/2182" TargetMode="External"/><Relationship Id="rId30" Type="http://schemas.openxmlformats.org/officeDocument/2006/relationships/hyperlink" Target="https://air.ashesi.edu.gh/items/6980d143-44c1-46d8-9e41-69d3a148e7af" TargetMode="External"/><Relationship Id="rId31" Type="http://schemas.openxmlformats.org/officeDocument/2006/relationships/hyperlink" Target="https://dissertations.mak.ac.ug/handle/20.500.12281/16551?show=full" TargetMode="External"/><Relationship Id="rId32" Type="http://schemas.openxmlformats.org/officeDocument/2006/relationships/hyperlink" Target="https://www.sciencedirect.com/science/article/pii/S0168169923008918" TargetMode="External"/><Relationship Id="rId33" Type="http://schemas.openxmlformats.org/officeDocument/2006/relationships/hyperlink" Target="../../../../../C:/Users/Usuario/Downloads/fbioe-12-1404776.pdf" TargetMode="External"/><Relationship Id="rId34" Type="http://schemas.openxmlformats.org/officeDocument/2006/relationships/hyperlink" Target="https://www.intechopen.com/chapters/1143229" TargetMode="External"/><Relationship Id="rId35" Type="http://schemas.openxmlformats.org/officeDocument/2006/relationships/hyperlink" Target="https://www.researchgate.net/publication/343131554_A_Review_of_the_Measurement_Method_Analysis_and_Implementation_Policy_of_Carbon_Dioxide_Emission_from_Transportation" TargetMode="External"/><Relationship Id="rId36" Type="http://schemas.openxmlformats.org/officeDocument/2006/relationships/hyperlink" Target="https://www.mdpi.com/2071-1050/15/16/12353" TargetMode="External"/><Relationship Id="rId37" Type="http://schemas.openxmlformats.org/officeDocument/2006/relationships/hyperlink" Target="https://www.sciencedirect.com/science/article/pii/S2949750724000385" TargetMode="External"/><Relationship Id="rId38" Type="http://schemas.openxmlformats.org/officeDocument/2006/relationships/hyperlink" Target="https://www.sciencedirect.com/science/article/pii/S2772375524000364" TargetMode="External"/><Relationship Id="rId39" Type="http://schemas.openxmlformats.org/officeDocument/2006/relationships/hyperlink" Target="https://www.frontiersin.org/journals/environmental-science/articles/10.3389/fenvs.2024.1336088/full" TargetMode="External"/><Relationship Id="rId40" Type="http://schemas.openxmlformats.org/officeDocument/2006/relationships/hyperlink" Target="https://www.mdpi.com/2077-0472/13/7/1464" TargetMode="External"/><Relationship Id="rId41" Type="http://schemas.openxmlformats.org/officeDocument/2006/relationships/hyperlink" Target="https://www.sciencedirect.com/science/article/abs/pii/S0168169922003106?via%3Dihub"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insen-sensor.com/d/files/manual/mh-441d.pdf" TargetMode="External"/><Relationship Id="rId3" Type="http://schemas.openxmlformats.org/officeDocument/2006/relationships/hyperlink" Target="https://www.winsen-sensor.com/d/files/manual/mh-410d.pdf" TargetMode="External"/><Relationship Id="rId4" Type="http://schemas.openxmlformats.org/officeDocument/2006/relationships/hyperlink" Target="https://wiki20210805.oss-cn-hongkong.aliyuncs.com/download/sensors/Smart_Agriculture/CWT%20soil%20sensor_2%20manual.zip"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foot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AE0FA-A67A-4E71-B67B-22DA3F419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Application>LibreOffice/24.8.4.2$Linux_X86_64 LibreOffice_project/480$Build-2</Application>
  <AppVersion>15.0000</AppVersion>
  <Pages>16</Pages>
  <Words>4095</Words>
  <Characters>24037</Characters>
  <CharactersWithSpaces>28075</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2022-01-15T23:25:00Z</dcterms:created>
  <dc:creator>Conejo, Diego Felipe (Alliance Bioversity-CIAT)</dc:creator>
  <dc:description/>
  <dc:language>es-CO</dc:language>
  <cp:lastModifiedBy/>
  <dcterms:modified xsi:type="dcterms:W3CDTF">2025-01-15T22:28:08Z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