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jc w:val="both"/>
        <w:rPr>
          <w:rFonts w:ascii="Poppins" w:cs="Poppins" w:eastAsia="Poppins" w:hAnsi="Poppins"/>
          <w:b w:val="1"/>
          <w:sz w:val="46"/>
          <w:szCs w:val="46"/>
        </w:rPr>
      </w:pPr>
      <w:bookmarkStart w:colFirst="0" w:colLast="0" w:name="_l66rargf592c" w:id="0"/>
      <w:bookmarkEnd w:id="0"/>
      <w:r w:rsidDel="00000000" w:rsidR="00000000" w:rsidRPr="00000000">
        <w:rPr>
          <w:rFonts w:ascii="Poppins" w:cs="Poppins" w:eastAsia="Poppins" w:hAnsi="Poppins"/>
          <w:b w:val="1"/>
          <w:sz w:val="46"/>
          <w:szCs w:val="46"/>
          <w:rtl w:val="0"/>
        </w:rPr>
        <w:t xml:space="preserve">Análisis del Churn en Fintech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jc w:val="both"/>
        <w:rPr>
          <w:rFonts w:ascii="Poppins" w:cs="Poppins" w:eastAsia="Poppins" w:hAnsi="Poppins"/>
          <w:sz w:val="34"/>
          <w:szCs w:val="34"/>
        </w:rPr>
      </w:pPr>
      <w:bookmarkStart w:colFirst="0" w:colLast="0" w:name="_iuovhjvvu0pk" w:id="1"/>
      <w:bookmarkEnd w:id="1"/>
      <w:r w:rsidDel="00000000" w:rsidR="00000000" w:rsidRPr="00000000">
        <w:rPr>
          <w:rFonts w:ascii="Poppins" w:cs="Poppins" w:eastAsia="Poppins" w:hAnsi="Poppins"/>
          <w:sz w:val="34"/>
          <w:szCs w:val="34"/>
          <w:rtl w:val="0"/>
        </w:rPr>
        <w:t xml:space="preserve">Necesidad del cliente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Las fintech y los bancos digitales enfrentan el desafío de mantener a sus clientes activos en un mercado altamente competitivo.</w:t>
        <w:br w:type="textWrapping"/>
        <w:t xml:space="preserve"> La pérdida de usuarios impacta directamente en los ingresos y en la rentabilidad a largo plazo.</w:t>
        <w:br w:type="textWrapping"/>
        <w:t xml:space="preserve"> Por ello, resulta clave identificar patrones de abandono (churn) y diseñar campañas de retención oportunas y personalizadas.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="240" w:lineRule="auto"/>
        <w:jc w:val="both"/>
        <w:rPr>
          <w:rFonts w:ascii="Poppins" w:cs="Poppins" w:eastAsia="Poppins" w:hAnsi="Poppins"/>
          <w:sz w:val="34"/>
          <w:szCs w:val="34"/>
        </w:rPr>
      </w:pPr>
      <w:bookmarkStart w:colFirst="0" w:colLast="0" w:name="_grs0lwz6v2wj" w:id="2"/>
      <w:bookmarkEnd w:id="2"/>
      <w:r w:rsidDel="00000000" w:rsidR="00000000" w:rsidRPr="00000000">
        <w:rPr>
          <w:rFonts w:ascii="Poppins" w:cs="Poppins" w:eastAsia="Poppins" w:hAnsi="Poppins"/>
          <w:sz w:val="34"/>
          <w:szCs w:val="34"/>
          <w:rtl w:val="0"/>
        </w:rPr>
        <w:t xml:space="preserve">Descripción del conjunto de datos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Los datos analizados corresponden a una aplicación fintech de Estados Unidos que permite realizar depósitos, retiros y ofrece un sistema de recompensas y referidos.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En este contexto, es importante destacar que el sistema de scoring crediticio estadounidense asigna una puntuación a cada cliente en función de su comportamiento financiero (historial de pagos, uso de crédito, tiempo de antigüedad, entre otros).</w:t>
        <w:br w:type="textWrapping"/>
        <w:t xml:space="preserve"> Un mayor credit score refleja un menor riesgo financiero y mejora las posibilidades de acceder a productos como préstamos o tarjetas con mejores condiciones.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uso frecuente de la app por ejemplo, mediante compras o pagos con la tarjeta, contribuye a incrementar ese score lo cual incentiva la fidelización del usuario.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240" w:lineRule="auto"/>
        <w:jc w:val="both"/>
        <w:rPr>
          <w:rFonts w:ascii="Poppins" w:cs="Poppins" w:eastAsia="Poppins" w:hAnsi="Poppins"/>
          <w:sz w:val="34"/>
          <w:szCs w:val="34"/>
        </w:rPr>
      </w:pPr>
      <w:bookmarkStart w:colFirst="0" w:colLast="0" w:name="_9zhjgsyyxff7" w:id="3"/>
      <w:bookmarkEnd w:id="3"/>
      <w:r w:rsidDel="00000000" w:rsidR="00000000" w:rsidRPr="00000000">
        <w:rPr>
          <w:rFonts w:ascii="Poppins" w:cs="Poppins" w:eastAsia="Poppins" w:hAnsi="Poppins"/>
          <w:sz w:val="34"/>
          <w:szCs w:val="34"/>
          <w:rtl w:val="0"/>
        </w:rPr>
        <w:t xml:space="preserve">Insights clave del análisis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240" w:lineRule="auto"/>
        <w:jc w:val="both"/>
        <w:rPr>
          <w:rFonts w:ascii="Poppins" w:cs="Poppins" w:eastAsia="Poppins" w:hAnsi="Poppins"/>
          <w:color w:val="000000"/>
          <w:sz w:val="26"/>
          <w:szCs w:val="26"/>
        </w:rPr>
      </w:pPr>
      <w:bookmarkStart w:colFirst="0" w:colLast="0" w:name="_5i2mqaqd6kq8" w:id="4"/>
      <w:bookmarkEnd w:id="4"/>
      <w:r w:rsidDel="00000000" w:rsidR="00000000" w:rsidRPr="00000000">
        <w:rPr>
          <w:rFonts w:ascii="Poppins" w:cs="Poppins" w:eastAsia="Poppins" w:hAnsi="Poppins"/>
          <w:color w:val="000000"/>
          <w:sz w:val="26"/>
          <w:szCs w:val="26"/>
          <w:rtl w:val="0"/>
        </w:rPr>
        <w:t xml:space="preserve">Tasa general de abandono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 un total de 25.000 clientes, 11.000 abandonaron la plataforma, lo que representa un churn rate del 45,2 %.</w:t>
        <w:br w:type="textWrapping"/>
        <w:t xml:space="preserve"> Este valor se encuentra por encima del promedio esperado para el sector fintech, que suele oscilar entre 15 % y 30 %, lo cual indica una alta oportunidad de mejora en la retención.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before="280" w:line="240" w:lineRule="auto"/>
        <w:jc w:val="both"/>
        <w:rPr>
          <w:rFonts w:ascii="Poppins" w:cs="Poppins" w:eastAsia="Poppins" w:hAnsi="Poppins"/>
        </w:rPr>
      </w:pPr>
      <w:bookmarkStart w:colFirst="0" w:colLast="0" w:name="_3zhfv81c0rvq" w:id="5"/>
      <w:bookmarkEnd w:id="5"/>
      <w:r w:rsidDel="00000000" w:rsidR="00000000" w:rsidRPr="00000000">
        <w:rPr>
          <w:rFonts w:ascii="Poppins" w:cs="Poppins" w:eastAsia="Poppins" w:hAnsi="Poppins"/>
          <w:rtl w:val="0"/>
        </w:rPr>
        <w:t xml:space="preserve">Segmentación sociodemográfica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análisis por edad muestra un patrón en forma de “U”: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Churn alto en los usuarios jóvenes (20–30 años), posiblemente por baja fidelización o búsqueda de beneficios inmediatos.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Churn nuevamente alto en mayores de 60 años, asociado a menor adopción digital.</w:t>
        <w:br w:type="textWrapping"/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Oportunidad:</w:t>
        <w:br w:type="textWrapping"/>
        <w:t xml:space="preserve"> Personalizar las estrategias de comunicación y onboarding para estos grupos extremos.</w:t>
        <w:br w:type="textWrapping"/>
        <w:t xml:space="preserve"> En el caso de los clientes jóvenes, se recomienda ofrecer herramientas que mejoren su score crediticio y faciliten el acceso a préstamos, junto con campañas educativas sobre finanzas personales.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before="280" w:line="240" w:lineRule="auto"/>
        <w:jc w:val="both"/>
        <w:rPr>
          <w:rFonts w:ascii="Poppins" w:cs="Poppins" w:eastAsia="Poppins" w:hAnsi="Poppins"/>
        </w:rPr>
      </w:pPr>
      <w:bookmarkStart w:colFirst="0" w:colLast="0" w:name="_fv6bvrwujnfh" w:id="6"/>
      <w:bookmarkEnd w:id="6"/>
      <w:r w:rsidDel="00000000" w:rsidR="00000000" w:rsidRPr="00000000">
        <w:rPr>
          <w:rFonts w:ascii="Poppins" w:cs="Poppins" w:eastAsia="Poppins" w:hAnsi="Poppins"/>
          <w:rtl w:val="0"/>
        </w:rPr>
        <w:t xml:space="preserve">Churn por score crediticio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Se observa una relación inversa entre el score crediticio y la tasa de abandono.</w:t>
        <w:br w:type="textWrapping"/>
        <w:t xml:space="preserve"> Los clientes con score inferior a 400 presentan tanto alto riesgo financiero como mayor probabilidad de fuga.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Oportunidad:</w:t>
        <w:br w:type="textWrapping"/>
        <w:t xml:space="preserve"> Implementar campañas de acompañamiento financiero y productos personalizados para clientes con bajo score.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240" w:lineRule="auto"/>
        <w:jc w:val="both"/>
        <w:rPr>
          <w:rFonts w:ascii="Poppins" w:cs="Poppins" w:eastAsia="Poppins" w:hAnsi="Poppins"/>
          <w:color w:val="000000"/>
          <w:sz w:val="26"/>
          <w:szCs w:val="26"/>
        </w:rPr>
      </w:pPr>
      <w:bookmarkStart w:colFirst="0" w:colLast="0" w:name="_aryhgd8x6znf" w:id="7"/>
      <w:bookmarkEnd w:id="7"/>
      <w:r w:rsidDel="00000000" w:rsidR="00000000" w:rsidRPr="00000000">
        <w:rPr>
          <w:rFonts w:ascii="Poppins" w:cs="Poppins" w:eastAsia="Poppins" w:hAnsi="Poppins"/>
          <w:color w:val="000000"/>
          <w:sz w:val="26"/>
          <w:szCs w:val="26"/>
          <w:rtl w:val="0"/>
        </w:rPr>
        <w:t xml:space="preserve">Compras en comercios adheridos</w:t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churn disminuye drásticamente a medida que aumenta el número de compras con comercios asociados.</w:t>
        <w:br w:type="textWrapping"/>
        <w:t xml:space="preserve"> A partir de 300–400 compras, la tasa de abandono se estabiliza cerca del 20 %, definiendo un “umbral de engagement saludable”.</w:t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Interpretación:</w:t>
        <w:br w:type="textWrapping"/>
        <w:t xml:space="preserve"> La actividad transaccional frecuente actúa como un indicador clave de retención.</w:t>
        <w:br w:type="textWrapping"/>
        <w:t xml:space="preserve"> Por ello, incentivar el uso de la app para compras cotidianas es una estrategia efectiva para reducir la fuga.</w:t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before="280" w:line="240" w:lineRule="auto"/>
        <w:jc w:val="both"/>
        <w:rPr>
          <w:rFonts w:ascii="Poppins" w:cs="Poppins" w:eastAsia="Poppins" w:hAnsi="Poppins"/>
        </w:rPr>
      </w:pPr>
      <w:bookmarkStart w:colFirst="0" w:colLast="0" w:name="_r766djbrs5hn" w:id="8"/>
      <w:bookmarkEnd w:id="8"/>
      <w:r w:rsidDel="00000000" w:rsidR="00000000" w:rsidRPr="00000000">
        <w:rPr>
          <w:rFonts w:ascii="Poppins" w:cs="Poppins" w:eastAsia="Poppins" w:hAnsi="Poppins"/>
          <w:rtl w:val="0"/>
        </w:rPr>
        <w:t xml:space="preserve">Factores asociados al churn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40" w:before="240" w:line="240" w:lineRule="auto"/>
        <w:jc w:val="both"/>
        <w:rPr>
          <w:rFonts w:ascii="Poppins" w:cs="Poppins" w:eastAsia="Poppins" w:hAnsi="Poppins"/>
        </w:rPr>
      </w:pPr>
      <w:bookmarkStart w:colFirst="0" w:colLast="0" w:name="_m0rdogk9y5oj" w:id="9"/>
      <w:bookmarkEnd w:id="9"/>
      <w:r w:rsidDel="00000000" w:rsidR="00000000" w:rsidRPr="00000000">
        <w:rPr>
          <w:rFonts w:ascii="Poppins" w:cs="Poppins" w:eastAsia="Poppins" w:hAnsi="Poppins"/>
          <w:rtl w:val="0"/>
        </w:rPr>
        <w:t xml:space="preserve">Programa de referidos</w:t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Los clientes referidos muestran un churn promedio significativamente menor que los no referidos.</w:t>
        <w:br w:type="textWrapping"/>
        <w:t xml:space="preserve"> Esto confirma que la recomendación entre pares funciona como un mecanismo de fidelización natural.</w:t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Oportunidad:</w:t>
        <w:br w:type="textWrapping"/>
        <w:t xml:space="preserve"> Ampliar los incentivos de los programas de referidos, tanto para quienes invitan como para quienes ingresan a través de este canal.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40" w:before="240" w:line="240" w:lineRule="auto"/>
        <w:jc w:val="both"/>
        <w:rPr>
          <w:rFonts w:ascii="Poppins" w:cs="Poppins" w:eastAsia="Poppins" w:hAnsi="Poppins"/>
        </w:rPr>
      </w:pPr>
      <w:bookmarkStart w:colFirst="0" w:colLast="0" w:name="_uikg43k8uc1" w:id="10"/>
      <w:bookmarkEnd w:id="10"/>
      <w:r w:rsidDel="00000000" w:rsidR="00000000" w:rsidRPr="00000000">
        <w:rPr>
          <w:rFonts w:ascii="Poppins" w:cs="Poppins" w:eastAsia="Poppins" w:hAnsi="Poppins"/>
          <w:rtl w:val="0"/>
        </w:rPr>
        <w:t xml:space="preserve">Frecuencia de pago</w:t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Los clientes con pagos semanales representan la mayoría, pero también concentran un churn más alto.</w:t>
        <w:br w:type="textWrapping"/>
        <w:t xml:space="preserve"> Esto puede deberse a fricción financiera o menor estabilidad económica.</w:t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Oportunidad:</w:t>
        <w:br w:type="textWrapping"/>
        <w:t xml:space="preserve"> Promover modalidades de pago más cómodas, como la bi-semanal o mensual, podría reducir la carga percibida y mejorar la retención.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40" w:before="240" w:line="240" w:lineRule="auto"/>
        <w:jc w:val="both"/>
        <w:rPr>
          <w:rFonts w:ascii="Poppins" w:cs="Poppins" w:eastAsia="Poppins" w:hAnsi="Poppins"/>
        </w:rPr>
      </w:pPr>
      <w:bookmarkStart w:colFirst="0" w:colLast="0" w:name="_h0q1kbuvubvn" w:id="11"/>
      <w:bookmarkEnd w:id="11"/>
      <w:r w:rsidDel="00000000" w:rsidR="00000000" w:rsidRPr="00000000">
        <w:rPr>
          <w:rFonts w:ascii="Poppins" w:cs="Poppins" w:eastAsia="Poppins" w:hAnsi="Poppins"/>
          <w:rtl w:val="0"/>
        </w:rPr>
        <w:t xml:space="preserve">Vivienda y estabilidad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Los usuarios con vivienda propia presentan un churn significativamente menor que los inquilinos.</w:t>
        <w:br w:type="textWrapping"/>
        <w:t xml:space="preserve"> Esto sugiere que la estabilidad habitacional se correlaciona positivamente con la permanencia en la plataforma.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="240" w:lineRule="auto"/>
        <w:jc w:val="both"/>
        <w:rPr>
          <w:rFonts w:ascii="Poppins" w:cs="Poppins" w:eastAsia="Poppins" w:hAnsi="Poppins"/>
          <w:sz w:val="34"/>
          <w:szCs w:val="34"/>
        </w:rPr>
      </w:pPr>
      <w:bookmarkStart w:colFirst="0" w:colLast="0" w:name="_5rzcebe4xmrw" w:id="12"/>
      <w:bookmarkEnd w:id="12"/>
      <w:r w:rsidDel="00000000" w:rsidR="00000000" w:rsidRPr="00000000">
        <w:rPr>
          <w:rFonts w:ascii="Poppins" w:cs="Poppins" w:eastAsia="Poppins" w:hAnsi="Poppins"/>
          <w:sz w:val="34"/>
          <w:szCs w:val="34"/>
          <w:rtl w:val="0"/>
        </w:rPr>
        <w:t xml:space="preserve">Conclusiones</w:t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análisis permitió identificar segmentos críticos de usuarios con alto riesgo de abandono y los factores más influyentes sobre la retención.</w:t>
        <w:br w:type="textWrapping"/>
        <w:t xml:space="preserve"> Las estrategias recomendadas incluyen: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Personalización de mensajes y beneficios según edad y score crediticio.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Expansión del programa de referidos como herramienta de fidelización.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Incentivos para aumentar la frecuencia de compras y uso de la app.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Revisión de modalidades de pago y acompañamiento a usuarios con inestabilidad económica.</w:t>
      </w:r>
    </w:p>
    <w:p w:rsidR="00000000" w:rsidDel="00000000" w:rsidP="00000000" w:rsidRDefault="00000000" w:rsidRPr="00000000" w14:paraId="0000002C">
      <w:pPr>
        <w:spacing w:after="240" w:before="240" w:lin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implementación de estas acciones podría reducir el churn general en al menos 10–15 puntos porcentuales, acercando la fintech al promedio del sector.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