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C197" w14:textId="77777777" w:rsidR="00954ABE" w:rsidRPr="00954ABE" w:rsidRDefault="00954ABE" w:rsidP="00954ABE">
      <w:pPr>
        <w:spacing w:line="276" w:lineRule="auto"/>
        <w:jc w:val="both"/>
      </w:pPr>
      <w:r w:rsidRPr="00954ABE">
        <w:rPr>
          <w:b/>
          <w:bCs/>
        </w:rPr>
        <w:t>Bogotá D.C.,</w:t>
      </w:r>
      <w:r w:rsidR="00670E68">
        <w:rPr>
          <w:b/>
          <w:bCs/>
        </w:rPr>
        <w:t xml:space="preserve"> agosto</w:t>
      </w:r>
      <w:r w:rsidRPr="00954ABE">
        <w:rPr>
          <w:b/>
          <w:bCs/>
        </w:rPr>
        <w:t xml:space="preserve"> de 2026</w:t>
      </w:r>
    </w:p>
    <w:p w14:paraId="3FA0B2F8" w14:textId="77777777" w:rsidR="00954ABE" w:rsidRDefault="00954ABE" w:rsidP="00954ABE">
      <w:pPr>
        <w:spacing w:line="276" w:lineRule="auto"/>
        <w:rPr>
          <w:b/>
          <w:bCs/>
        </w:rPr>
      </w:pPr>
      <w:r w:rsidRPr="00954ABE">
        <w:t>Señor</w:t>
      </w:r>
      <w:r w:rsidRPr="00954ABE">
        <w:br/>
      </w:r>
      <w:r w:rsidRPr="00954ABE">
        <w:rPr>
          <w:b/>
          <w:bCs/>
        </w:rPr>
        <w:t>RODRIGO LARA</w:t>
      </w:r>
      <w:r>
        <w:rPr>
          <w:b/>
          <w:bCs/>
        </w:rPr>
        <w:t xml:space="preserve"> RESTREPO</w:t>
      </w:r>
    </w:p>
    <w:p w14:paraId="12FEAA57" w14:textId="77777777" w:rsidR="00954ABE" w:rsidRPr="00954ABE" w:rsidRDefault="00954ABE" w:rsidP="00954ABE">
      <w:pPr>
        <w:spacing w:line="276" w:lineRule="auto"/>
      </w:pPr>
      <w:r w:rsidRPr="00954ABE">
        <w:br/>
        <w:t>Ministro del Interior y Director Encargado de la Unidad Nacional de Protección</w:t>
      </w:r>
      <w:r w:rsidRPr="00954ABE">
        <w:br/>
        <w:t>Ciudad</w:t>
      </w:r>
    </w:p>
    <w:p w14:paraId="4ED981B4" w14:textId="4EE5C4BD" w:rsidR="00954ABE" w:rsidRPr="00954ABE" w:rsidRDefault="00FA7A4F" w:rsidP="00954ABE">
      <w:pPr>
        <w:spacing w:line="276" w:lineRule="auto"/>
        <w:jc w:val="both"/>
      </w:pPr>
      <w:r>
        <w:rPr>
          <w:b/>
          <w:bCs/>
        </w:rPr>
        <w:t>Referencia</w:t>
      </w:r>
      <w:r w:rsidR="00954ABE" w:rsidRPr="00954ABE">
        <w:rPr>
          <w:b/>
          <w:bCs/>
        </w:rPr>
        <w:t xml:space="preserve">: Estado del Programa de Protección Especializada de Seguridad y Protección para población </w:t>
      </w:r>
      <w:r w:rsidR="00D97355">
        <w:rPr>
          <w:b/>
          <w:bCs/>
        </w:rPr>
        <w:t xml:space="preserve">del decreto 299 de 2017 </w:t>
      </w:r>
    </w:p>
    <w:p w14:paraId="5E24A9C2" w14:textId="77777777" w:rsidR="00FA7A4F" w:rsidRDefault="00AA1E49" w:rsidP="00F6281D">
      <w:pPr>
        <w:spacing w:line="276" w:lineRule="auto"/>
        <w:jc w:val="both"/>
      </w:pPr>
      <w:r w:rsidRPr="00AA1E49">
        <w:t xml:space="preserve">Respetado </w:t>
      </w:r>
      <w:proofErr w:type="gramStart"/>
      <w:r w:rsidRPr="00AA1E49">
        <w:t>Ministro</w:t>
      </w:r>
      <w:proofErr w:type="gramEnd"/>
      <w:r w:rsidR="00FA7A4F">
        <w:t xml:space="preserve">: </w:t>
      </w:r>
    </w:p>
    <w:p w14:paraId="1EB74F8A" w14:textId="7E552E31" w:rsidR="00954ABE" w:rsidRPr="00F6281D" w:rsidRDefault="00954ABE" w:rsidP="00F6281D">
      <w:pPr>
        <w:spacing w:line="276" w:lineRule="auto"/>
        <w:jc w:val="both"/>
        <w:rPr>
          <w:lang w:val="es-MX"/>
        </w:rPr>
      </w:pPr>
      <w:r w:rsidRPr="00954ABE">
        <w:t>La Delegación del Partido Político Comunes ante la Mesa Técnica de Seguridad y Protección (MTSP)</w:t>
      </w:r>
      <w:r w:rsidR="00FA7A4F">
        <w:t>,</w:t>
      </w:r>
      <w:r w:rsidRPr="00954ABE">
        <w:t xml:space="preserve"> se permite presentar </w:t>
      </w:r>
      <w:r w:rsidR="00AA1E49">
        <w:t>un informe sobre el</w:t>
      </w:r>
      <w:r w:rsidRPr="00954ABE">
        <w:t xml:space="preserve"> estado actual del Programa de Protección Especializada de Seguridad y Protección, creado mediante el Decreto 299 de 2017, y en cumplimiento de los mandatos establecidos en el Punto 3.4.7.4 del Acuerdo Final </w:t>
      </w:r>
      <w:r w:rsidR="00FA7A4F">
        <w:t xml:space="preserve">para la Terminación del Conflicto y la Construcción de una </w:t>
      </w:r>
      <w:r w:rsidR="00F6281D">
        <w:t>Paz</w:t>
      </w:r>
      <w:r w:rsidR="00FA7A4F">
        <w:t xml:space="preserve"> Estable y Duradera y q</w:t>
      </w:r>
      <w:r w:rsidR="00F6281D">
        <w:t xml:space="preserve">ue tiene como propósito generar las garantías de seguridad a la </w:t>
      </w:r>
      <w:r w:rsidR="00F6281D" w:rsidRPr="00F6281D">
        <w:rPr>
          <w:lang w:val="es-MX"/>
        </w:rPr>
        <w:t>población objeto de protección</w:t>
      </w:r>
      <w:r w:rsidR="00FA7A4F">
        <w:rPr>
          <w:lang w:val="es-MX"/>
        </w:rPr>
        <w:t>:</w:t>
      </w:r>
      <w:r w:rsidR="00F6281D" w:rsidRPr="00F6281D">
        <w:rPr>
          <w:lang w:val="es-MX"/>
        </w:rPr>
        <w:t xml:space="preserve"> </w:t>
      </w:r>
      <w:r w:rsidR="00FA7A4F">
        <w:rPr>
          <w:lang w:val="es-MX"/>
        </w:rPr>
        <w:t>“…</w:t>
      </w:r>
      <w:r w:rsidR="00F6281D" w:rsidRPr="00F6281D">
        <w:rPr>
          <w:lang w:val="es-MX"/>
        </w:rPr>
        <w:t>a las y los integrantes, del nuevo movimiento o partido político que surja del tránsito de las FARC-EP a la actividad política legal, sus actividades y sedes, a las y los antiguos integrantes de las FARC-EP que se reincorporen a la vida civil, así como a las familias de todos los anteriores de acuerdo con el nivel de riesgo.</w:t>
      </w:r>
    </w:p>
    <w:p w14:paraId="7973161B" w14:textId="77777777" w:rsidR="00954ABE" w:rsidRPr="00954ABE" w:rsidRDefault="00954ABE" w:rsidP="00954ABE">
      <w:pPr>
        <w:spacing w:line="276" w:lineRule="auto"/>
        <w:jc w:val="both"/>
        <w:rPr>
          <w:b/>
          <w:bCs/>
        </w:rPr>
      </w:pPr>
      <w:r w:rsidRPr="00954ABE">
        <w:rPr>
          <w:b/>
          <w:bCs/>
        </w:rPr>
        <w:t>1. Contexto Normativo y Judicial</w:t>
      </w:r>
    </w:p>
    <w:p w14:paraId="314B2D53" w14:textId="7E27E121" w:rsidR="00954ABE" w:rsidRPr="00954ABE" w:rsidRDefault="00F6281D" w:rsidP="00954ABE">
      <w:pPr>
        <w:spacing w:line="276" w:lineRule="auto"/>
        <w:jc w:val="both"/>
      </w:pPr>
      <w:r w:rsidRPr="00F6281D">
        <w:t xml:space="preserve">El marco de protección de los firmantes de paz se fundamenta en el artículo 22 de la Constitución Política y los Acto Legislativo 01 de 2016 y 02 de 2017, que otorgó al Acuerdo Final </w:t>
      </w:r>
      <w:r>
        <w:t xml:space="preserve">de Paz </w:t>
      </w:r>
      <w:r w:rsidRPr="00F6281D">
        <w:t>el carácter de norma constitucional, integrándolo al bloque de constitucionalidad.</w:t>
      </w:r>
      <w:r>
        <w:t xml:space="preserve"> </w:t>
      </w:r>
      <w:r w:rsidR="00954ABE" w:rsidRPr="00954ABE">
        <w:t>Este ordenamiento se ha desarrollado mediante los siguientes instrumentos normativos:</w:t>
      </w:r>
    </w:p>
    <w:p w14:paraId="2C168672" w14:textId="77777777" w:rsidR="00954ABE" w:rsidRDefault="00954ABE" w:rsidP="00954ABE">
      <w:pPr>
        <w:numPr>
          <w:ilvl w:val="0"/>
          <w:numId w:val="9"/>
        </w:numPr>
        <w:spacing w:line="276" w:lineRule="auto"/>
        <w:jc w:val="both"/>
      </w:pPr>
      <w:r w:rsidRPr="00954ABE">
        <w:rPr>
          <w:b/>
          <w:bCs/>
        </w:rPr>
        <w:t>Decreto 299 de 2017</w:t>
      </w:r>
      <w:r w:rsidRPr="00954ABE">
        <w:t>: Crea el Programa de Protección Especializada y establece la MTSP como instancia permanente para su desarrollo y seguimiento.</w:t>
      </w:r>
    </w:p>
    <w:p w14:paraId="2AD4B977" w14:textId="77777777" w:rsidR="00F6281D" w:rsidRPr="00F03085" w:rsidRDefault="00F6281D" w:rsidP="00954ABE">
      <w:pPr>
        <w:numPr>
          <w:ilvl w:val="0"/>
          <w:numId w:val="9"/>
        </w:numPr>
        <w:spacing w:line="276" w:lineRule="auto"/>
        <w:jc w:val="both"/>
      </w:pPr>
      <w:r w:rsidRPr="00F6281D">
        <w:rPr>
          <w:b/>
          <w:bCs/>
        </w:rPr>
        <w:t xml:space="preserve">Decreto 300 de 2017: </w:t>
      </w:r>
      <w:r w:rsidRPr="00F03085">
        <w:t xml:space="preserve">Por el cual se modifica la estructura de la Unidad Nacional de Protección – UNP, Se crea la Subdirección Especializada de Seguridad y Protección (derogado por el decreto 019 de 2026) </w:t>
      </w:r>
    </w:p>
    <w:p w14:paraId="77308D37" w14:textId="775B3E7D" w:rsidR="00954ABE" w:rsidRPr="00F03085" w:rsidRDefault="00954ABE" w:rsidP="00954ABE">
      <w:pPr>
        <w:numPr>
          <w:ilvl w:val="0"/>
          <w:numId w:val="9"/>
        </w:numPr>
        <w:spacing w:line="276" w:lineRule="auto"/>
        <w:jc w:val="both"/>
      </w:pPr>
      <w:r w:rsidRPr="00954ABE">
        <w:rPr>
          <w:b/>
          <w:bCs/>
        </w:rPr>
        <w:t>Decreto 301 de 2017</w:t>
      </w:r>
      <w:r w:rsidRPr="00954ABE">
        <w:t>: Establece el carácter de confianza del Partido Político Comunes sobre el personal de la Subdirección Especializada de Seguridad y Protección (SESP), en concordancia con el numeral 3.4.7.4.3 del Acuerdo Final que creó un cuerpo de seguridad de naturaleza mixta .</w:t>
      </w:r>
      <w:r w:rsidR="00F6281D" w:rsidRPr="00F6281D">
        <w:rPr>
          <w:b/>
          <w:bCs/>
        </w:rPr>
        <w:t xml:space="preserve"> </w:t>
      </w:r>
      <w:r w:rsidR="00F6281D" w:rsidRPr="00F03085">
        <w:t>(derogado por el decreto 020 de 2026)</w:t>
      </w:r>
    </w:p>
    <w:p w14:paraId="1CA673F7" w14:textId="77777777" w:rsidR="00954ABE" w:rsidRPr="00954ABE" w:rsidRDefault="00954ABE" w:rsidP="00954ABE">
      <w:pPr>
        <w:numPr>
          <w:ilvl w:val="0"/>
          <w:numId w:val="9"/>
        </w:numPr>
        <w:spacing w:line="276" w:lineRule="auto"/>
        <w:jc w:val="both"/>
      </w:pPr>
      <w:r w:rsidRPr="00954ABE">
        <w:rPr>
          <w:b/>
          <w:bCs/>
        </w:rPr>
        <w:lastRenderedPageBreak/>
        <w:t>Decreto Ley 895 de 2017</w:t>
      </w:r>
      <w:r w:rsidRPr="00954ABE">
        <w:t>: Crea el Sistema Integral de Seguridad para el Ejercicio de la Política (SISEP).</w:t>
      </w:r>
    </w:p>
    <w:p w14:paraId="38BB7D4F" w14:textId="77777777" w:rsidR="00954ABE" w:rsidRPr="00954ABE" w:rsidRDefault="00954ABE" w:rsidP="00954ABE">
      <w:pPr>
        <w:numPr>
          <w:ilvl w:val="0"/>
          <w:numId w:val="9"/>
        </w:numPr>
        <w:spacing w:line="276" w:lineRule="auto"/>
        <w:jc w:val="both"/>
      </w:pPr>
      <w:r w:rsidRPr="00954ABE">
        <w:rPr>
          <w:b/>
          <w:bCs/>
        </w:rPr>
        <w:t>Resolución Conjunta 0096 de 2024</w:t>
      </w:r>
      <w:r w:rsidRPr="00954ABE">
        <w:t>: Adopta el Plan Estratégico de Seguridad y Protección (PESP).</w:t>
      </w:r>
    </w:p>
    <w:p w14:paraId="0BC30A7B" w14:textId="77777777" w:rsidR="00954ABE" w:rsidRDefault="00954ABE" w:rsidP="00954ABE">
      <w:pPr>
        <w:numPr>
          <w:ilvl w:val="0"/>
          <w:numId w:val="9"/>
        </w:numPr>
        <w:spacing w:line="276" w:lineRule="auto"/>
        <w:jc w:val="both"/>
      </w:pPr>
      <w:r w:rsidRPr="00954ABE">
        <w:rPr>
          <w:b/>
          <w:bCs/>
        </w:rPr>
        <w:t>Decreto 638 de 2025</w:t>
      </w:r>
      <w:r w:rsidRPr="00954ABE">
        <w:t>: Reglamenta el Programa de Protección Integral (PPI) bajo el enfoque de seguridad humana.</w:t>
      </w:r>
    </w:p>
    <w:p w14:paraId="5F6CD2C3" w14:textId="37D74167" w:rsidR="00D97997" w:rsidRPr="00954ABE" w:rsidRDefault="00D97997" w:rsidP="00954ABE">
      <w:pPr>
        <w:numPr>
          <w:ilvl w:val="0"/>
          <w:numId w:val="9"/>
        </w:numPr>
        <w:spacing w:line="276" w:lineRule="auto"/>
        <w:jc w:val="both"/>
      </w:pPr>
      <w:r>
        <w:rPr>
          <w:b/>
          <w:bCs/>
        </w:rPr>
        <w:t>Decreto 1945 de agosto de 2026</w:t>
      </w:r>
      <w:r w:rsidRPr="00D97997">
        <w:t>:</w:t>
      </w:r>
      <w:r>
        <w:t xml:space="preserve"> Por medio del cual se precisa la naturaleza de la Subdirección Especializada de Seguridad y Protección, y de sus empleos, en cumplimiento del Acuerdo Final para la Terminación del Conflicto y la Construcción de una Paz, Estable y Duradera.</w:t>
      </w:r>
    </w:p>
    <w:p w14:paraId="5475CECC" w14:textId="77777777" w:rsidR="00954ABE" w:rsidRPr="00954ABE" w:rsidRDefault="00954ABE" w:rsidP="00954ABE">
      <w:pPr>
        <w:spacing w:line="276" w:lineRule="auto"/>
        <w:jc w:val="both"/>
        <w:rPr>
          <w:b/>
          <w:bCs/>
        </w:rPr>
      </w:pPr>
      <w:r w:rsidRPr="00954ABE">
        <w:rPr>
          <w:b/>
          <w:bCs/>
        </w:rPr>
        <w:t>1.1. Pronunciamientos de la Corte Constitucional</w:t>
      </w:r>
    </w:p>
    <w:p w14:paraId="468B5834" w14:textId="6AB1F9F3" w:rsidR="00954ABE" w:rsidRDefault="00954ABE" w:rsidP="00954ABE">
      <w:pPr>
        <w:spacing w:line="276" w:lineRule="auto"/>
        <w:jc w:val="both"/>
      </w:pPr>
      <w:r w:rsidRPr="00954ABE">
        <w:t xml:space="preserve">La Honorable Corte Constitucional ha emitido fallos estructurales que enmarcan las obligaciones del Estado </w:t>
      </w:r>
      <w:r w:rsidR="00F03085">
        <w:t xml:space="preserve">entre otros </w:t>
      </w:r>
      <w:r w:rsidRPr="00954ABE">
        <w:t>en esta materia:</w:t>
      </w:r>
    </w:p>
    <w:p w14:paraId="4129FCD5" w14:textId="77777777" w:rsidR="00F03085" w:rsidRPr="00954ABE" w:rsidRDefault="00F03085" w:rsidP="00954ABE">
      <w:pPr>
        <w:spacing w:line="276" w:lineRule="auto"/>
        <w:jc w:val="both"/>
      </w:pPr>
    </w:p>
    <w:p w14:paraId="6AC3928A" w14:textId="77777777" w:rsidR="00954ABE" w:rsidRPr="00954ABE" w:rsidRDefault="00954ABE" w:rsidP="00954ABE">
      <w:pPr>
        <w:numPr>
          <w:ilvl w:val="0"/>
          <w:numId w:val="10"/>
        </w:numPr>
        <w:spacing w:line="276" w:lineRule="auto"/>
        <w:jc w:val="both"/>
      </w:pPr>
      <w:r w:rsidRPr="00954ABE">
        <w:rPr>
          <w:b/>
          <w:bCs/>
        </w:rPr>
        <w:t>Sentencia SU-020 de 2022</w:t>
      </w:r>
      <w:r w:rsidRPr="00954ABE">
        <w:t xml:space="preserve">: Declaró el </w:t>
      </w:r>
      <w:r w:rsidRPr="00954ABE">
        <w:rPr>
          <w:b/>
          <w:bCs/>
        </w:rPr>
        <w:t>Estado de Cosas Inconstitucional</w:t>
      </w:r>
      <w:r w:rsidRPr="00954ABE">
        <w:t xml:space="preserve"> en la implementación del componente de garantías de seguridad para la población signataria del Acuerdo Final de Paz . El alto tribunal determinó que el incumplimiento grave, recurrente y prolongado de las garantías pactadas ha generado violaciones sistemáticas a los derechos fundamentales de vida, integridad y seguridad de los excombatientes.</w:t>
      </w:r>
    </w:p>
    <w:p w14:paraId="6BD99531" w14:textId="77777777" w:rsidR="00954ABE" w:rsidRPr="00954ABE" w:rsidRDefault="00954ABE" w:rsidP="00954ABE">
      <w:pPr>
        <w:numPr>
          <w:ilvl w:val="0"/>
          <w:numId w:val="10"/>
        </w:numPr>
        <w:spacing w:line="276" w:lineRule="auto"/>
        <w:jc w:val="both"/>
      </w:pPr>
      <w:r w:rsidRPr="00954ABE">
        <w:rPr>
          <w:b/>
          <w:bCs/>
        </w:rPr>
        <w:t>Auto 826 de 2024</w:t>
      </w:r>
      <w:r w:rsidRPr="00954ABE">
        <w:t>: La Sala Especial de Seguimiento estableció que el sistema de seguimiento es un subcomponente esencial de las garantías de seguridad y definió los ejes para superar el Estado de Cosas Inconstitucional declarado.</w:t>
      </w:r>
    </w:p>
    <w:p w14:paraId="607EAB50" w14:textId="77777777" w:rsidR="00F03085" w:rsidRDefault="00954ABE" w:rsidP="00F03085">
      <w:pPr>
        <w:numPr>
          <w:ilvl w:val="0"/>
          <w:numId w:val="10"/>
        </w:numPr>
        <w:spacing w:line="276" w:lineRule="auto"/>
        <w:jc w:val="both"/>
      </w:pPr>
      <w:r w:rsidRPr="00954ABE">
        <w:rPr>
          <w:b/>
          <w:bCs/>
        </w:rPr>
        <w:t>Auto 1417 de 2025</w:t>
      </w:r>
      <w:r w:rsidRPr="00954ABE">
        <w:t xml:space="preserve">: La Corte identificó </w:t>
      </w:r>
      <w:r w:rsidRPr="00954ABE">
        <w:rPr>
          <w:b/>
          <w:bCs/>
        </w:rPr>
        <w:t>cinco bloqueos institucionales</w:t>
      </w:r>
      <w:r w:rsidRPr="00954ABE">
        <w:t xml:space="preserve"> que impiden el adecuado seguimiento y emitió 16 órdenes correctivas, exigiendo:</w:t>
      </w:r>
    </w:p>
    <w:p w14:paraId="5DC5735A" w14:textId="432AEACE" w:rsidR="00F03085" w:rsidRPr="00954ABE" w:rsidRDefault="00F03085" w:rsidP="00F03085">
      <w:pPr>
        <w:pStyle w:val="Prrafodelista"/>
        <w:numPr>
          <w:ilvl w:val="0"/>
          <w:numId w:val="17"/>
        </w:numPr>
        <w:spacing w:line="276" w:lineRule="auto"/>
        <w:jc w:val="both"/>
      </w:pPr>
      <w:r w:rsidRPr="00F03085">
        <w:t>Presupuesto e instalaciones para la Mesa Técnica de Seguridad y Protección.</w:t>
      </w:r>
    </w:p>
    <w:p w14:paraId="7007C7C0" w14:textId="77777777" w:rsidR="00954ABE" w:rsidRPr="00954ABE" w:rsidRDefault="00954ABE" w:rsidP="00954ABE">
      <w:pPr>
        <w:numPr>
          <w:ilvl w:val="1"/>
          <w:numId w:val="10"/>
        </w:numPr>
        <w:spacing w:line="276" w:lineRule="auto"/>
        <w:jc w:val="both"/>
      </w:pPr>
      <w:r w:rsidRPr="00954ABE">
        <w:t>Evaluar la capacidad y jerarquía de la Unidad de Implementación del Acuerdo de Paz.</w:t>
      </w:r>
    </w:p>
    <w:p w14:paraId="7586F60D" w14:textId="34A50E11" w:rsidR="00954ABE" w:rsidRPr="00954ABE" w:rsidRDefault="00954ABE" w:rsidP="00954ABE">
      <w:pPr>
        <w:numPr>
          <w:ilvl w:val="1"/>
          <w:numId w:val="10"/>
        </w:numPr>
        <w:spacing w:line="276" w:lineRule="auto"/>
        <w:jc w:val="both"/>
      </w:pPr>
      <w:r w:rsidRPr="00954ABE">
        <w:t xml:space="preserve">Garantizar el funcionamiento regular del </w:t>
      </w:r>
      <w:r w:rsidR="00D97997" w:rsidRPr="00954ABE">
        <w:t>C</w:t>
      </w:r>
      <w:r w:rsidR="00D97997">
        <w:t>omisión de Seguimiento, Impulso y Verificación a la Implementación - C</w:t>
      </w:r>
      <w:r w:rsidRPr="00954ABE">
        <w:t>SIVI y el S</w:t>
      </w:r>
      <w:r w:rsidR="00D97997">
        <w:t>istema Integral para el Ejercicio de la Política - SISEP</w:t>
      </w:r>
    </w:p>
    <w:p w14:paraId="559A40BD" w14:textId="77777777" w:rsidR="00954ABE" w:rsidRPr="00954ABE" w:rsidRDefault="00954ABE" w:rsidP="00954ABE">
      <w:pPr>
        <w:numPr>
          <w:ilvl w:val="1"/>
          <w:numId w:val="10"/>
        </w:numPr>
        <w:spacing w:line="276" w:lineRule="auto"/>
        <w:jc w:val="both"/>
      </w:pPr>
      <w:r w:rsidRPr="00954ABE">
        <w:t>Fortalecer los indicadores del Plan Marco de Implementación.</w:t>
      </w:r>
    </w:p>
    <w:p w14:paraId="19B281C8" w14:textId="77777777" w:rsidR="00954ABE" w:rsidRPr="00954ABE" w:rsidRDefault="00954ABE" w:rsidP="00954ABE">
      <w:pPr>
        <w:numPr>
          <w:ilvl w:val="1"/>
          <w:numId w:val="10"/>
        </w:numPr>
        <w:spacing w:line="276" w:lineRule="auto"/>
        <w:jc w:val="both"/>
      </w:pPr>
      <w:r w:rsidRPr="00954ABE">
        <w:t>Asegurar la articulación presupuestal del sistema de seguimiento.</w:t>
      </w:r>
    </w:p>
    <w:p w14:paraId="70299771" w14:textId="77777777" w:rsidR="00954ABE" w:rsidRPr="00954ABE" w:rsidRDefault="00954ABE" w:rsidP="00954ABE">
      <w:pPr>
        <w:spacing w:line="276" w:lineRule="auto"/>
        <w:jc w:val="both"/>
        <w:rPr>
          <w:b/>
          <w:bCs/>
        </w:rPr>
      </w:pPr>
      <w:r w:rsidRPr="00954ABE">
        <w:rPr>
          <w:b/>
          <w:bCs/>
        </w:rPr>
        <w:lastRenderedPageBreak/>
        <w:t>1.2. Jurisdicción Especial para la Paz (JEP)</w:t>
      </w:r>
    </w:p>
    <w:p w14:paraId="06A3B653" w14:textId="1DC0DE05" w:rsidR="00954ABE" w:rsidRDefault="00954ABE" w:rsidP="00954ABE">
      <w:pPr>
        <w:spacing w:line="276" w:lineRule="auto"/>
        <w:jc w:val="both"/>
      </w:pPr>
      <w:r w:rsidRPr="00954ABE">
        <w:t>La JEP ha emitido múltiples medidas cautelares para proteger a comparecientes y testigos en riesgo, ordenando la articulación entre la Comisión Nacional de Garantías de Seguridad (CNGS), la UNP y la M</w:t>
      </w:r>
      <w:r w:rsidR="00D97997">
        <w:t xml:space="preserve">esa </w:t>
      </w:r>
      <w:r w:rsidR="00D97997" w:rsidRPr="00954ABE">
        <w:t>T</w:t>
      </w:r>
      <w:r w:rsidR="00D97997">
        <w:t>écnica de Seguridad y Protección, MT</w:t>
      </w:r>
      <w:r w:rsidRPr="00954ABE">
        <w:t>SP para garantizar su protección efectiva en zonas de alta conflictividad.</w:t>
      </w:r>
    </w:p>
    <w:p w14:paraId="3EB95CE4" w14:textId="77777777" w:rsidR="006B026E" w:rsidRPr="00954ABE" w:rsidRDefault="006B026E" w:rsidP="00954ABE">
      <w:pPr>
        <w:spacing w:line="276" w:lineRule="auto"/>
        <w:jc w:val="both"/>
      </w:pPr>
    </w:p>
    <w:p w14:paraId="519653C3" w14:textId="77777777" w:rsidR="00954ABE" w:rsidRPr="00954ABE" w:rsidRDefault="00954ABE" w:rsidP="00954ABE">
      <w:pPr>
        <w:spacing w:line="276" w:lineRule="auto"/>
        <w:jc w:val="both"/>
        <w:rPr>
          <w:b/>
          <w:bCs/>
        </w:rPr>
      </w:pPr>
      <w:r w:rsidRPr="00954ABE">
        <w:rPr>
          <w:b/>
          <w:bCs/>
        </w:rPr>
        <w:t>2. Gestión de la Mesa Técnica de Seguridad y Protección (MTSP)</w:t>
      </w:r>
    </w:p>
    <w:p w14:paraId="17B1CA24" w14:textId="7AE2B576" w:rsidR="00F03085" w:rsidRDefault="00F03085" w:rsidP="00954ABE">
      <w:pPr>
        <w:spacing w:line="276" w:lineRule="auto"/>
        <w:jc w:val="both"/>
      </w:pPr>
      <w:r w:rsidRPr="00F03085">
        <w:t xml:space="preserve">Desde su primera sesión el 7 de diciembre de 2016, la MTSP ha sesionado en 180 ocasiones, y </w:t>
      </w:r>
      <w:proofErr w:type="gramStart"/>
      <w:r w:rsidR="00D97355" w:rsidRPr="00F03085">
        <w:t>que</w:t>
      </w:r>
      <w:proofErr w:type="gramEnd"/>
      <w:r w:rsidR="00D97355" w:rsidRPr="00F03085">
        <w:t xml:space="preserve"> con</w:t>
      </w:r>
      <w:r w:rsidRPr="00F03085">
        <w:t xml:space="preserve"> sus distintas subcomisiones</w:t>
      </w:r>
      <w:r w:rsidR="00D97997">
        <w:t xml:space="preserve">, </w:t>
      </w:r>
      <w:r w:rsidRPr="00F03085">
        <w:t>demostrando su compromiso continuo con la implementación del Programa.</w:t>
      </w:r>
    </w:p>
    <w:p w14:paraId="13391CD1" w14:textId="45B39B42" w:rsidR="00954ABE" w:rsidRPr="00954ABE" w:rsidRDefault="00F03085" w:rsidP="00954ABE">
      <w:pPr>
        <w:spacing w:line="276" w:lineRule="auto"/>
        <w:jc w:val="both"/>
        <w:rPr>
          <w:b/>
          <w:bCs/>
        </w:rPr>
      </w:pPr>
      <w:r>
        <w:rPr>
          <w:b/>
          <w:bCs/>
        </w:rPr>
        <w:t xml:space="preserve">2.1. </w:t>
      </w:r>
      <w:r w:rsidR="00954ABE" w:rsidRPr="00954ABE">
        <w:rPr>
          <w:b/>
          <w:bCs/>
        </w:rPr>
        <w:t xml:space="preserve"> Avances y Logros Operativos</w:t>
      </w:r>
    </w:p>
    <w:p w14:paraId="11134170" w14:textId="77777777" w:rsidR="00954ABE" w:rsidRPr="00954ABE" w:rsidRDefault="00954ABE" w:rsidP="00954ABE">
      <w:pPr>
        <w:spacing w:line="276" w:lineRule="auto"/>
        <w:jc w:val="both"/>
      </w:pPr>
      <w:r w:rsidRPr="00954ABE">
        <w:t>La gestión del Programa ha mostrado avances significativos a nivel operativo:</w:t>
      </w:r>
    </w:p>
    <w:p w14:paraId="2AC2326A" w14:textId="74F0C5B7" w:rsidR="00954ABE" w:rsidRPr="00954ABE" w:rsidRDefault="00954ABE" w:rsidP="00954ABE">
      <w:pPr>
        <w:numPr>
          <w:ilvl w:val="0"/>
          <w:numId w:val="11"/>
        </w:numPr>
        <w:spacing w:line="276" w:lineRule="auto"/>
        <w:jc w:val="both"/>
      </w:pPr>
      <w:r w:rsidRPr="00954ABE">
        <w:rPr>
          <w:b/>
          <w:bCs/>
        </w:rPr>
        <w:t>Cobertura</w:t>
      </w:r>
      <w:r w:rsidRPr="00954ABE">
        <w:t xml:space="preserve">: </w:t>
      </w:r>
      <w:r w:rsidRPr="00954ABE">
        <w:rPr>
          <w:b/>
          <w:bCs/>
        </w:rPr>
        <w:t>691 esquemas de protección</w:t>
      </w:r>
      <w:r w:rsidRPr="00954ABE">
        <w:t xml:space="preserve"> implementados, que protegen a </w:t>
      </w:r>
      <w:r w:rsidRPr="00954ABE">
        <w:rPr>
          <w:b/>
          <w:bCs/>
        </w:rPr>
        <w:t>2.659 personas</w:t>
      </w:r>
      <w:r w:rsidRPr="00954ABE">
        <w:t xml:space="preserve"> y benefician a </w:t>
      </w:r>
      <w:r w:rsidRPr="00954ABE">
        <w:rPr>
          <w:b/>
          <w:bCs/>
        </w:rPr>
        <w:t>4.288 personas</w:t>
      </w:r>
      <w:r w:rsidRPr="00954ABE">
        <w:t xml:space="preserve"> en total (hombres: 2.877; mujeres: 1.411)</w:t>
      </w:r>
      <w:r w:rsidR="006B026E">
        <w:rPr>
          <w:rStyle w:val="Refdenotaalpie"/>
        </w:rPr>
        <w:footnoteReference w:id="1"/>
      </w:r>
    </w:p>
    <w:p w14:paraId="7714E658" w14:textId="1DF5A23D" w:rsidR="00954ABE" w:rsidRPr="00954ABE" w:rsidRDefault="00954ABE" w:rsidP="00954ABE">
      <w:pPr>
        <w:numPr>
          <w:ilvl w:val="0"/>
          <w:numId w:val="11"/>
        </w:numPr>
        <w:spacing w:line="276" w:lineRule="auto"/>
        <w:jc w:val="both"/>
      </w:pPr>
      <w:r w:rsidRPr="00954ABE">
        <w:rPr>
          <w:b/>
          <w:bCs/>
        </w:rPr>
        <w:t>Reducción de tiempos</w:t>
      </w:r>
      <w:r w:rsidRPr="00954ABE">
        <w:t xml:space="preserve">: El tiempo de activación de esquemas de protección se redujo de </w:t>
      </w:r>
      <w:r w:rsidRPr="00954ABE">
        <w:rPr>
          <w:b/>
          <w:bCs/>
        </w:rPr>
        <w:t>225 a 31 días calendario</w:t>
      </w:r>
      <w:r w:rsidRPr="00954ABE">
        <w:t>.</w:t>
      </w:r>
      <w:r w:rsidR="006B026E">
        <w:rPr>
          <w:rStyle w:val="Refdenotaalpie"/>
        </w:rPr>
        <w:footnoteReference w:id="2"/>
      </w:r>
    </w:p>
    <w:p w14:paraId="77D5B600" w14:textId="217D178C" w:rsidR="00954ABE" w:rsidRPr="00954ABE" w:rsidRDefault="00954ABE" w:rsidP="00954ABE">
      <w:pPr>
        <w:numPr>
          <w:ilvl w:val="0"/>
          <w:numId w:val="11"/>
        </w:numPr>
        <w:spacing w:line="276" w:lineRule="auto"/>
        <w:jc w:val="both"/>
      </w:pPr>
      <w:r w:rsidRPr="00954ABE">
        <w:rPr>
          <w:b/>
          <w:bCs/>
        </w:rPr>
        <w:t>Medidas implementadas</w:t>
      </w:r>
      <w:r w:rsidRPr="00954ABE">
        <w:t>: 1.287 vehículos, 2.361 chalecos de protección y 2.499 medios de comunicación</w:t>
      </w:r>
      <w:r w:rsidR="006B026E">
        <w:t>.</w:t>
      </w:r>
      <w:r w:rsidR="006B026E">
        <w:rPr>
          <w:rStyle w:val="Refdenotaalpie"/>
        </w:rPr>
        <w:footnoteReference w:id="3"/>
      </w:r>
    </w:p>
    <w:p w14:paraId="5CB41DE7" w14:textId="769016E3" w:rsidR="00954ABE" w:rsidRPr="00954ABE" w:rsidRDefault="00954ABE" w:rsidP="00954ABE">
      <w:pPr>
        <w:numPr>
          <w:ilvl w:val="0"/>
          <w:numId w:val="11"/>
        </w:numPr>
        <w:spacing w:line="276" w:lineRule="auto"/>
        <w:jc w:val="both"/>
      </w:pPr>
      <w:r w:rsidRPr="00954ABE">
        <w:rPr>
          <w:b/>
          <w:bCs/>
        </w:rPr>
        <w:t>Apoyos económicos</w:t>
      </w:r>
      <w:r w:rsidRPr="00954ABE">
        <w:t xml:space="preserve">: Se han ejecutado más de </w:t>
      </w:r>
      <w:r w:rsidRPr="00954ABE">
        <w:rPr>
          <w:b/>
          <w:bCs/>
        </w:rPr>
        <w:t>$17.944 millones</w:t>
      </w:r>
      <w:r w:rsidRPr="00954ABE">
        <w:t xml:space="preserve"> en apoyos económicos durante 2025 y </w:t>
      </w:r>
      <w:r w:rsidRPr="00954ABE">
        <w:rPr>
          <w:b/>
          <w:bCs/>
        </w:rPr>
        <w:t>5.628 apoyos</w:t>
      </w:r>
      <w:r w:rsidRPr="00954ABE">
        <w:t xml:space="preserve"> desde 2017</w:t>
      </w:r>
      <w:r w:rsidR="006B026E">
        <w:t>.</w:t>
      </w:r>
      <w:r w:rsidR="006B026E">
        <w:rPr>
          <w:rStyle w:val="Refdenotaalpie"/>
        </w:rPr>
        <w:footnoteReference w:id="4"/>
      </w:r>
    </w:p>
    <w:p w14:paraId="04EC0329" w14:textId="79E7989F" w:rsidR="00954ABE" w:rsidRPr="00954ABE" w:rsidRDefault="00954ABE" w:rsidP="00954ABE">
      <w:pPr>
        <w:numPr>
          <w:ilvl w:val="0"/>
          <w:numId w:val="11"/>
        </w:numPr>
        <w:spacing w:line="276" w:lineRule="auto"/>
        <w:jc w:val="both"/>
      </w:pPr>
      <w:r w:rsidRPr="00954ABE">
        <w:rPr>
          <w:b/>
          <w:bCs/>
        </w:rPr>
        <w:t>Seguimientos preventivos</w:t>
      </w:r>
      <w:r w:rsidRPr="00954ABE">
        <w:t xml:space="preserve">: Se realizaron </w:t>
      </w:r>
      <w:r w:rsidRPr="00954ABE">
        <w:rPr>
          <w:b/>
          <w:bCs/>
        </w:rPr>
        <w:t>729 seguimientos preventivos</w:t>
      </w:r>
      <w:r w:rsidRPr="00954ABE">
        <w:t>, superando la meta establecida.</w:t>
      </w:r>
      <w:r w:rsidR="006B026E">
        <w:rPr>
          <w:rStyle w:val="Refdenotaalpie"/>
        </w:rPr>
        <w:footnoteReference w:id="5"/>
      </w:r>
    </w:p>
    <w:p w14:paraId="6D41E002" w14:textId="05CA506B" w:rsidR="00954ABE" w:rsidRPr="00954ABE" w:rsidRDefault="00954ABE" w:rsidP="00954ABE">
      <w:pPr>
        <w:numPr>
          <w:ilvl w:val="0"/>
          <w:numId w:val="11"/>
        </w:numPr>
        <w:spacing w:line="276" w:lineRule="auto"/>
        <w:jc w:val="both"/>
      </w:pPr>
      <w:r w:rsidRPr="00954ABE">
        <w:rPr>
          <w:b/>
          <w:bCs/>
        </w:rPr>
        <w:t>Actos administrativos</w:t>
      </w:r>
      <w:r w:rsidRPr="00954ABE">
        <w:t xml:space="preserve">: Se expidieron </w:t>
      </w:r>
      <w:r w:rsidRPr="00954ABE">
        <w:rPr>
          <w:b/>
          <w:bCs/>
        </w:rPr>
        <w:t>5.059 actos administrativos</w:t>
      </w:r>
      <w:r w:rsidRPr="00954ABE">
        <w:t xml:space="preserve"> durante el periodo de empalme (2022-2026), de los cuales 1.794 fueron en 2024 y 1.421 en 2025</w:t>
      </w:r>
      <w:r w:rsidR="006B026E">
        <w:t>.</w:t>
      </w:r>
      <w:r w:rsidR="006B026E">
        <w:rPr>
          <w:rStyle w:val="Refdenotaalpie"/>
        </w:rPr>
        <w:footnoteReference w:id="6"/>
      </w:r>
    </w:p>
    <w:p w14:paraId="133B9BB3" w14:textId="46DE4225" w:rsidR="00954ABE" w:rsidRPr="00954ABE" w:rsidRDefault="00954ABE" w:rsidP="00954ABE">
      <w:pPr>
        <w:numPr>
          <w:ilvl w:val="0"/>
          <w:numId w:val="11"/>
        </w:numPr>
        <w:spacing w:line="276" w:lineRule="auto"/>
        <w:jc w:val="both"/>
      </w:pPr>
      <w:r w:rsidRPr="00954ABE">
        <w:rPr>
          <w:b/>
          <w:bCs/>
        </w:rPr>
        <w:t>Gestión documental</w:t>
      </w:r>
      <w:r w:rsidRPr="00954ABE">
        <w:t xml:space="preserve">: Se actualizaron y elaboraron </w:t>
      </w:r>
      <w:r w:rsidRPr="00954ABE">
        <w:rPr>
          <w:b/>
          <w:bCs/>
        </w:rPr>
        <w:t>106 documentos</w:t>
      </w:r>
      <w:r w:rsidRPr="00954ABE">
        <w:t xml:space="preserve"> para estandarizar los procesos de la SESP</w:t>
      </w:r>
      <w:r w:rsidR="006B026E">
        <w:t>.</w:t>
      </w:r>
      <w:r w:rsidR="006B026E">
        <w:rPr>
          <w:rStyle w:val="Refdenotaalpie"/>
        </w:rPr>
        <w:footnoteReference w:id="7"/>
      </w:r>
    </w:p>
    <w:p w14:paraId="305CB262" w14:textId="452F422D" w:rsidR="006B026E" w:rsidRPr="00954ABE" w:rsidRDefault="00954ABE" w:rsidP="009121CA">
      <w:pPr>
        <w:numPr>
          <w:ilvl w:val="0"/>
          <w:numId w:val="11"/>
        </w:numPr>
        <w:spacing w:line="276" w:lineRule="auto"/>
        <w:jc w:val="both"/>
      </w:pPr>
      <w:r w:rsidRPr="00954ABE">
        <w:rPr>
          <w:b/>
          <w:bCs/>
        </w:rPr>
        <w:lastRenderedPageBreak/>
        <w:t>Tiempos de expedición</w:t>
      </w:r>
      <w:r w:rsidRPr="00954ABE">
        <w:t>: Se redujo el tiempo promedio entre la notificación y la ejecutoria de los actos administrativos durante 2024-2026, demostrando una mayor eficiencia en la gestión</w:t>
      </w:r>
      <w:r w:rsidR="006B026E">
        <w:t>.</w:t>
      </w:r>
      <w:r w:rsidR="006B026E">
        <w:rPr>
          <w:rStyle w:val="Refdenotaalpie"/>
        </w:rPr>
        <w:footnoteReference w:id="8"/>
      </w:r>
    </w:p>
    <w:p w14:paraId="16ACC6C3" w14:textId="27B0D3A1" w:rsidR="00954ABE" w:rsidRPr="00954ABE" w:rsidRDefault="00F03085" w:rsidP="00954ABE">
      <w:pPr>
        <w:spacing w:line="276" w:lineRule="auto"/>
        <w:jc w:val="both"/>
        <w:rPr>
          <w:b/>
          <w:bCs/>
        </w:rPr>
      </w:pPr>
      <w:r>
        <w:rPr>
          <w:b/>
          <w:bCs/>
        </w:rPr>
        <w:t xml:space="preserve">2.2. </w:t>
      </w:r>
      <w:r w:rsidR="00954ABE" w:rsidRPr="00954ABE">
        <w:rPr>
          <w:b/>
          <w:bCs/>
        </w:rPr>
        <w:t xml:space="preserve"> Desafíos Estructurales Críticos</w:t>
      </w:r>
    </w:p>
    <w:p w14:paraId="3B794436" w14:textId="77777777" w:rsidR="00D01C8D" w:rsidRDefault="00954ABE" w:rsidP="007C49E9">
      <w:pPr>
        <w:spacing w:line="276" w:lineRule="auto"/>
        <w:jc w:val="both"/>
      </w:pPr>
      <w:r w:rsidRPr="00954ABE">
        <w:t>A pesar de los avances, persisten desafíos estructurales que requieren atención inmediata:</w:t>
      </w:r>
    </w:p>
    <w:p w14:paraId="4A2B1056" w14:textId="6CA58FE2" w:rsidR="007C49E9" w:rsidRPr="00D01C8D" w:rsidRDefault="00954ABE" w:rsidP="00D01C8D">
      <w:pPr>
        <w:pStyle w:val="Prrafodelista"/>
        <w:numPr>
          <w:ilvl w:val="0"/>
          <w:numId w:val="18"/>
        </w:numPr>
        <w:spacing w:line="276" w:lineRule="auto"/>
        <w:jc w:val="both"/>
      </w:pPr>
      <w:r w:rsidRPr="00D01C8D">
        <w:rPr>
          <w:b/>
          <w:bCs/>
        </w:rPr>
        <w:t xml:space="preserve">Ruptura de la Bilateralidad y la </w:t>
      </w:r>
      <w:proofErr w:type="spellStart"/>
      <w:r w:rsidRPr="00D01C8D">
        <w:rPr>
          <w:b/>
          <w:bCs/>
        </w:rPr>
        <w:t>Cogobernanza</w:t>
      </w:r>
      <w:proofErr w:type="spellEnd"/>
      <w:r w:rsidR="00D97997">
        <w:rPr>
          <w:b/>
          <w:bCs/>
        </w:rPr>
        <w:t xml:space="preserve"> </w:t>
      </w:r>
    </w:p>
    <w:p w14:paraId="78DBDBBD" w14:textId="2A67E02F" w:rsidR="00D01C8D" w:rsidRDefault="00D01C8D" w:rsidP="00954ABE">
      <w:pPr>
        <w:spacing w:line="276" w:lineRule="auto"/>
        <w:jc w:val="both"/>
      </w:pPr>
      <w:r w:rsidRPr="00D01C8D">
        <w:t xml:space="preserve">El principal obstáculo </w:t>
      </w:r>
      <w:r w:rsidR="00D97355">
        <w:t xml:space="preserve">fue la </w:t>
      </w:r>
      <w:r w:rsidRPr="00D01C8D">
        <w:t xml:space="preserve"> expedición unilateral</w:t>
      </w:r>
      <w:r w:rsidR="00D97355">
        <w:t xml:space="preserve"> por parte del gobierno anterior,</w:t>
      </w:r>
      <w:r w:rsidRPr="00D01C8D">
        <w:t xml:space="preserve"> </w:t>
      </w:r>
      <w:r w:rsidR="00D97355">
        <w:t xml:space="preserve"> </w:t>
      </w:r>
      <w:r w:rsidRPr="00D01C8D">
        <w:t>de los Decretos 019 y 020 de 2026, que modifica</w:t>
      </w:r>
      <w:r w:rsidR="00D97355">
        <w:t>ron</w:t>
      </w:r>
      <w:r w:rsidRPr="00D01C8D">
        <w:t xml:space="preserve"> la estructura interna de la UNP y deroga</w:t>
      </w:r>
      <w:r w:rsidR="00D97355">
        <w:t>ron</w:t>
      </w:r>
      <w:r w:rsidRPr="00D01C8D">
        <w:t xml:space="preserve"> </w:t>
      </w:r>
      <w:r w:rsidR="00D97355">
        <w:t xml:space="preserve">los </w:t>
      </w:r>
      <w:r w:rsidRPr="00D01C8D">
        <w:t>Decreto</w:t>
      </w:r>
      <w:r w:rsidR="00D97355">
        <w:t>s</w:t>
      </w:r>
      <w:r w:rsidRPr="00D01C8D">
        <w:t xml:space="preserve"> 300, 301 de 2017, suprimiendo el requisito de que el personal del Cuerpo de Seguridad de la </w:t>
      </w:r>
      <w:r w:rsidR="00D97997" w:rsidRPr="00D01C8D">
        <w:t>S</w:t>
      </w:r>
      <w:r w:rsidR="00D97997">
        <w:t xml:space="preserve">ubdirección </w:t>
      </w:r>
      <w:r w:rsidRPr="00D01C8D">
        <w:t>E</w:t>
      </w:r>
      <w:r w:rsidR="00D97997">
        <w:t xml:space="preserve">specializada de </w:t>
      </w:r>
      <w:r w:rsidRPr="00D01C8D">
        <w:t>S</w:t>
      </w:r>
      <w:r w:rsidR="00D97997">
        <w:t xml:space="preserve">eguridad y </w:t>
      </w:r>
      <w:r w:rsidR="00D97997" w:rsidRPr="00D01C8D">
        <w:t>P</w:t>
      </w:r>
      <w:r w:rsidR="00D97997">
        <w:t>rotección</w:t>
      </w:r>
      <w:r w:rsidRPr="00D01C8D">
        <w:t xml:space="preserve"> sea de confianza del Partido </w:t>
      </w:r>
      <w:r w:rsidR="00D97997">
        <w:t xml:space="preserve">político o movimiento, hoy </w:t>
      </w:r>
      <w:r w:rsidRPr="00D01C8D">
        <w:t>Comunes</w:t>
      </w:r>
      <w:r w:rsidR="00383A02">
        <w:t>,</w:t>
      </w:r>
      <w:r w:rsidRPr="00D01C8D">
        <w:t xml:space="preserve"> y que la estructura de la Subdirección es </w:t>
      </w:r>
      <w:r>
        <w:t>su</w:t>
      </w:r>
      <w:r w:rsidRPr="00D01C8D">
        <w:t xml:space="preserve"> conjunto y “funcionamiento se definirá por el Gobierno Nacional y las FARC-EP”</w:t>
      </w:r>
      <w:r>
        <w:t xml:space="preserve"> </w:t>
      </w:r>
      <w:r w:rsidR="00954ABE" w:rsidRPr="00954ABE">
        <w:t xml:space="preserve">Esta decisión </w:t>
      </w:r>
      <w:r>
        <w:t>así mismo se afecta la arquitectura del acuerdo final de paz en materia de seguridad para los firmantes de paz, en el Sistema Integra</w:t>
      </w:r>
      <w:r w:rsidR="00383A02">
        <w:t>l</w:t>
      </w:r>
      <w:r>
        <w:t xml:space="preserve"> de Seguridad para el </w:t>
      </w:r>
      <w:r w:rsidR="00383A02">
        <w:t>E</w:t>
      </w:r>
      <w:r>
        <w:t xml:space="preserve">jercicio de la </w:t>
      </w:r>
      <w:r w:rsidR="00383A02">
        <w:t>P</w:t>
      </w:r>
      <w:r>
        <w:t xml:space="preserve">olítica SISEP, el Programa de Protección Integral y el Plan estratégico de </w:t>
      </w:r>
      <w:r w:rsidR="00383A02">
        <w:t>S</w:t>
      </w:r>
      <w:r>
        <w:t xml:space="preserve">eguridad y Protección, </w:t>
      </w:r>
    </w:p>
    <w:p w14:paraId="3C95AA9C" w14:textId="278A81C5" w:rsidR="00954ABE" w:rsidRPr="00954ABE" w:rsidRDefault="00D01C8D" w:rsidP="00954ABE">
      <w:pPr>
        <w:spacing w:line="276" w:lineRule="auto"/>
        <w:jc w:val="both"/>
      </w:pPr>
      <w:r>
        <w:t xml:space="preserve">También </w:t>
      </w:r>
      <w:r w:rsidR="00D97355">
        <w:t>se vulneraron:</w:t>
      </w:r>
    </w:p>
    <w:p w14:paraId="54BF06B3" w14:textId="77777777" w:rsidR="00954ABE" w:rsidRPr="00954ABE" w:rsidRDefault="00954ABE" w:rsidP="00954ABE">
      <w:pPr>
        <w:numPr>
          <w:ilvl w:val="0"/>
          <w:numId w:val="12"/>
        </w:numPr>
        <w:spacing w:line="276" w:lineRule="auto"/>
        <w:jc w:val="both"/>
      </w:pPr>
      <w:r w:rsidRPr="00954ABE">
        <w:rPr>
          <w:b/>
          <w:bCs/>
        </w:rPr>
        <w:t>El principio de buena fe</w:t>
      </w:r>
      <w:r w:rsidRPr="00954ABE">
        <w:t xml:space="preserve"> consagrado en el Acto Legislativo 02 de 2017.</w:t>
      </w:r>
    </w:p>
    <w:p w14:paraId="3F70EDAC" w14:textId="77777777" w:rsidR="00954ABE" w:rsidRPr="00954ABE" w:rsidRDefault="00954ABE" w:rsidP="00954ABE">
      <w:pPr>
        <w:numPr>
          <w:ilvl w:val="0"/>
          <w:numId w:val="12"/>
        </w:numPr>
        <w:spacing w:line="276" w:lineRule="auto"/>
        <w:jc w:val="both"/>
      </w:pPr>
      <w:r w:rsidRPr="00954ABE">
        <w:rPr>
          <w:b/>
          <w:bCs/>
        </w:rPr>
        <w:t>El diseño institucional pactado</w:t>
      </w:r>
      <w:r w:rsidRPr="00954ABE">
        <w:t xml:space="preserve"> en el numeral 3.4.7.4.3 del Acuerdo Final, que establece que el Cuerpo de Seguridad y Protección será de naturaleza mixta, integrado por personal de confianza del nuevo partido político .</w:t>
      </w:r>
    </w:p>
    <w:p w14:paraId="6A5AC7DB" w14:textId="6370A47A" w:rsidR="00954ABE" w:rsidRPr="00954ABE" w:rsidRDefault="00954ABE" w:rsidP="00954ABE">
      <w:pPr>
        <w:numPr>
          <w:ilvl w:val="0"/>
          <w:numId w:val="12"/>
        </w:numPr>
        <w:spacing w:line="276" w:lineRule="auto"/>
        <w:jc w:val="both"/>
      </w:pPr>
      <w:r w:rsidRPr="00954ABE">
        <w:rPr>
          <w:b/>
          <w:bCs/>
        </w:rPr>
        <w:t xml:space="preserve">La Sentencia SU-020 de </w:t>
      </w:r>
      <w:r w:rsidR="00383A02" w:rsidRPr="00954ABE">
        <w:rPr>
          <w:b/>
          <w:bCs/>
        </w:rPr>
        <w:t>2022</w:t>
      </w:r>
      <w:r w:rsidR="00383A02" w:rsidRPr="00954ABE">
        <w:t xml:space="preserve"> declaró</w:t>
      </w:r>
      <w:r w:rsidRPr="00954ABE">
        <w:t xml:space="preserve"> que la falta de activación de la institucionalidad derivada del Punto 3.4 ha contribuido a v</w:t>
      </w:r>
      <w:r w:rsidR="00383A02">
        <w:t>iciar</w:t>
      </w:r>
      <w:r w:rsidRPr="00954ABE">
        <w:t xml:space="preserve"> de contenido sus </w:t>
      </w:r>
      <w:r w:rsidR="00383A02" w:rsidRPr="00954ABE">
        <w:t>mandatos.</w:t>
      </w:r>
    </w:p>
    <w:p w14:paraId="37B21DBC" w14:textId="2E408591" w:rsidR="00954ABE" w:rsidRPr="00954ABE" w:rsidRDefault="00954ABE" w:rsidP="00954ABE">
      <w:pPr>
        <w:numPr>
          <w:ilvl w:val="0"/>
          <w:numId w:val="12"/>
        </w:numPr>
        <w:spacing w:line="276" w:lineRule="auto"/>
        <w:jc w:val="both"/>
      </w:pPr>
      <w:r w:rsidRPr="00954ABE">
        <w:rPr>
          <w:b/>
          <w:bCs/>
        </w:rPr>
        <w:t>El Auto 1417 de 2025</w:t>
      </w:r>
      <w:r w:rsidRPr="00954ABE">
        <w:t xml:space="preserve"> </w:t>
      </w:r>
      <w:r w:rsidR="00383A02">
        <w:t xml:space="preserve">el cual </w:t>
      </w:r>
      <w:r w:rsidRPr="00954ABE">
        <w:t xml:space="preserve">exige garantizar que todas las instancias del sistema de seguimiento funcionen y sesionen periódicamente, con los recursos y personal </w:t>
      </w:r>
      <w:r w:rsidR="00383A02" w:rsidRPr="00954ABE">
        <w:t>necesarios.</w:t>
      </w:r>
    </w:p>
    <w:p w14:paraId="472B94D5" w14:textId="45B38E02" w:rsidR="00954ABE" w:rsidRPr="00C70855" w:rsidRDefault="00954ABE" w:rsidP="00C70855">
      <w:pPr>
        <w:spacing w:line="276" w:lineRule="auto"/>
        <w:jc w:val="both"/>
        <w:rPr>
          <w:b/>
          <w:bCs/>
        </w:rPr>
      </w:pPr>
      <w:r w:rsidRPr="00954ABE">
        <w:t xml:space="preserve">La ruptura de la bilateralidad </w:t>
      </w:r>
      <w:proofErr w:type="gramStart"/>
      <w:r w:rsidRPr="00954ABE">
        <w:t xml:space="preserve">afecta </w:t>
      </w:r>
      <w:r w:rsidR="00D97355">
        <w:t xml:space="preserve"> especialmente</w:t>
      </w:r>
      <w:proofErr w:type="gramEnd"/>
      <w:r w:rsidR="00D97355">
        <w:t xml:space="preserve"> </w:t>
      </w:r>
      <w:r w:rsidRPr="00954ABE">
        <w:t>la confianza de los firmantes en el sistema de protección y la efectividad de las medidas implementadas, pues estas no cuentan con la validación de quienes conocen de primera mano las dinámicas territoriales y los riesgos específicos.</w:t>
      </w:r>
      <w:r w:rsidR="00FD1AB7">
        <w:t xml:space="preserve"> </w:t>
      </w:r>
      <w:r w:rsidR="00C70855">
        <w:t xml:space="preserve">Desconociendo el decreto 299 de 2017 </w:t>
      </w:r>
      <w:r w:rsidR="00C70855" w:rsidRPr="00C70855">
        <w:t>Artículo 2.4.1.4.6. Funciones de la Mesa Técnica de Seguridad y Protección</w:t>
      </w:r>
      <w:r w:rsidR="00C70855">
        <w:rPr>
          <w:b/>
          <w:bCs/>
        </w:rPr>
        <w:t xml:space="preserve"> literal a) </w:t>
      </w:r>
      <w:r w:rsidR="00C70855" w:rsidRPr="00C70855">
        <w:t>desarrollar la estructura de la Subdirección Especializada de Seguridad y Protección de la Unidad Nacional de Protección - UNP, conforme a lo acordado por el Gobierno Nacional y las FARC-EP.</w:t>
      </w:r>
      <w:r w:rsidR="00C70855" w:rsidRPr="00C70855">
        <w:rPr>
          <w:b/>
          <w:bCs/>
        </w:rPr>
        <w:t xml:space="preserve"> </w:t>
      </w:r>
    </w:p>
    <w:p w14:paraId="6DF9798E" w14:textId="3494FB04" w:rsidR="00954ABE" w:rsidRPr="00954ABE" w:rsidRDefault="00C70855" w:rsidP="00954ABE">
      <w:pPr>
        <w:spacing w:line="276" w:lineRule="auto"/>
        <w:jc w:val="both"/>
        <w:rPr>
          <w:b/>
          <w:bCs/>
        </w:rPr>
      </w:pPr>
      <w:r>
        <w:rPr>
          <w:b/>
          <w:bCs/>
        </w:rPr>
        <w:lastRenderedPageBreak/>
        <w:t>3</w:t>
      </w:r>
      <w:r w:rsidR="00954ABE" w:rsidRPr="00954ABE">
        <w:rPr>
          <w:b/>
          <w:bCs/>
        </w:rPr>
        <w:t>. Omisión de Constatación Normativa ante la CSIVI</w:t>
      </w:r>
    </w:p>
    <w:p w14:paraId="6A2DF79C" w14:textId="1A068034" w:rsidR="009121CA" w:rsidRDefault="00954ABE" w:rsidP="009121CA">
      <w:pPr>
        <w:spacing w:line="276" w:lineRule="auto"/>
        <w:jc w:val="both"/>
      </w:pPr>
      <w:r w:rsidRPr="00954ABE">
        <w:t>El Gobiern</w:t>
      </w:r>
      <w:r w:rsidR="00383A02">
        <w:t>o anterior,</w:t>
      </w:r>
      <w:r w:rsidR="00D97355">
        <w:t xml:space="preserve"> </w:t>
      </w:r>
      <w:proofErr w:type="spellStart"/>
      <w:r w:rsidR="00D97355">
        <w:t>tambièn</w:t>
      </w:r>
      <w:proofErr w:type="spellEnd"/>
      <w:r w:rsidRPr="00954ABE">
        <w:t xml:space="preserve"> omitió el ejercicio de </w:t>
      </w:r>
      <w:r w:rsidRPr="00954ABE">
        <w:rPr>
          <w:b/>
          <w:bCs/>
        </w:rPr>
        <w:t>Constatación Normativa</w:t>
      </w:r>
      <w:r w:rsidRPr="00954ABE">
        <w:t xml:space="preserve"> ante la Comisión de Seguimiento, Impulso y Verificación a la Implementación del Acuerdo Final (CSIVI), conforme al numeral 6 del artículo 3 del Decreto 1995 de 2016. Esta omisión desconoce el principio de corresponsabilidad y vulnera el diseño institucional pactado.</w:t>
      </w:r>
    </w:p>
    <w:p w14:paraId="5204CEAE" w14:textId="79DB41C7" w:rsidR="00954ABE" w:rsidRPr="009121CA" w:rsidRDefault="00954ABE" w:rsidP="009121CA">
      <w:pPr>
        <w:spacing w:line="276" w:lineRule="auto"/>
        <w:jc w:val="both"/>
      </w:pPr>
      <w:r w:rsidRPr="009121CA">
        <w:rPr>
          <w:b/>
          <w:bCs/>
        </w:rPr>
        <w:t xml:space="preserve">Propuestas </w:t>
      </w:r>
    </w:p>
    <w:p w14:paraId="31858759" w14:textId="1249C9CA" w:rsidR="00C70855" w:rsidRPr="00C70855" w:rsidRDefault="00383A02" w:rsidP="00C70855">
      <w:pPr>
        <w:pStyle w:val="Prrafodelista"/>
        <w:numPr>
          <w:ilvl w:val="0"/>
          <w:numId w:val="13"/>
        </w:numPr>
        <w:spacing w:line="276" w:lineRule="auto"/>
        <w:jc w:val="both"/>
      </w:pPr>
      <w:r>
        <w:t>Consideramos de gran importancia</w:t>
      </w:r>
      <w:r w:rsidR="00D97355">
        <w:t>,</w:t>
      </w:r>
      <w:r>
        <w:t xml:space="preserve"> poder sostener una reunión previa</w:t>
      </w:r>
      <w:r w:rsidR="00C70855" w:rsidRPr="00C70855">
        <w:t xml:space="preserve"> </w:t>
      </w:r>
      <w:r>
        <w:t xml:space="preserve">entre el </w:t>
      </w:r>
      <w:r w:rsidR="00D97355">
        <w:t>componente de</w:t>
      </w:r>
      <w:r>
        <w:t xml:space="preserve"> la MTSP y u</w:t>
      </w:r>
      <w:r w:rsidR="006B026E">
        <w:t xml:space="preserve">sted, </w:t>
      </w:r>
      <w:r w:rsidR="00C70855" w:rsidRPr="00C70855">
        <w:t>doctor Rodrigo Lara</w:t>
      </w:r>
      <w:r w:rsidR="0027344E">
        <w:t xml:space="preserve">, </w:t>
      </w:r>
      <w:r>
        <w:t>con el propósito de poder abordar temas de la mayor urgencia, entiendo que esta de por medio la vida</w:t>
      </w:r>
      <w:r w:rsidR="00D97355">
        <w:t>, la integridad y la seguridad de la población</w:t>
      </w:r>
      <w:r>
        <w:t xml:space="preserve"> objeto del decreto 299 de 2017</w:t>
      </w:r>
    </w:p>
    <w:p w14:paraId="1D79C5AD" w14:textId="3488A688" w:rsidR="00954ABE" w:rsidRPr="00954ABE" w:rsidRDefault="00383A02" w:rsidP="00954ABE">
      <w:pPr>
        <w:numPr>
          <w:ilvl w:val="0"/>
          <w:numId w:val="13"/>
        </w:numPr>
        <w:spacing w:line="276" w:lineRule="auto"/>
        <w:jc w:val="both"/>
      </w:pPr>
      <w:r>
        <w:t xml:space="preserve">Restablecer la </w:t>
      </w:r>
      <w:r w:rsidRPr="0002373B">
        <w:t>bilateralidad</w:t>
      </w:r>
      <w:r w:rsidR="00954ABE" w:rsidRPr="0002373B">
        <w:t xml:space="preserve"> </w:t>
      </w:r>
      <w:r w:rsidR="00D97355" w:rsidRPr="0002373B">
        <w:t>plena</w:t>
      </w:r>
      <w:r w:rsidR="00D97355">
        <w:t xml:space="preserve"> </w:t>
      </w:r>
      <w:r w:rsidR="00D97355" w:rsidRPr="00954ABE">
        <w:t>en</w:t>
      </w:r>
      <w:r w:rsidR="00954ABE" w:rsidRPr="00954ABE">
        <w:t xml:space="preserve"> la UNP y la SESP,</w:t>
      </w:r>
      <w:r w:rsidR="00D97355">
        <w:t xml:space="preserve"> mandato por el Acuerdo Final de Paz y la Corte Constitucional,</w:t>
      </w:r>
      <w:r w:rsidR="00954ABE" w:rsidRPr="00954ABE">
        <w:t xml:space="preserve"> asegurando que todo el personal de la Subdirección Especializada </w:t>
      </w:r>
      <w:r w:rsidR="006B026E">
        <w:t xml:space="preserve">de Seguridad y </w:t>
      </w:r>
      <w:r>
        <w:t>Protección</w:t>
      </w:r>
      <w:r w:rsidR="006B026E">
        <w:t xml:space="preserve"> </w:t>
      </w:r>
      <w:r w:rsidR="00954ABE" w:rsidRPr="00954ABE">
        <w:t xml:space="preserve">(directivos, administrativos y operativos) </w:t>
      </w:r>
      <w:r w:rsidR="006B026E">
        <w:t xml:space="preserve">sean personal de confianza y </w:t>
      </w:r>
      <w:r w:rsidR="00954ABE" w:rsidRPr="00954ABE">
        <w:t xml:space="preserve">cuente con la certificación </w:t>
      </w:r>
      <w:r w:rsidR="006B026E">
        <w:t xml:space="preserve">de la Alta Parte Contratante, </w:t>
      </w:r>
      <w:r w:rsidR="00954ABE" w:rsidRPr="00954ABE">
        <w:t>del Partido</w:t>
      </w:r>
      <w:r w:rsidR="006B026E">
        <w:t xml:space="preserve"> Político</w:t>
      </w:r>
      <w:r w:rsidR="00954ABE" w:rsidRPr="00954ABE">
        <w:t xml:space="preserve"> Comunes, en cumplimiento d</w:t>
      </w:r>
      <w:r w:rsidR="00D97355">
        <w:t xml:space="preserve">el Acuerdo Final de Paz, </w:t>
      </w:r>
      <w:r w:rsidR="00D97355" w:rsidRPr="00954ABE">
        <w:t>numeral</w:t>
      </w:r>
      <w:r w:rsidR="00954ABE" w:rsidRPr="00954ABE">
        <w:t xml:space="preserve"> 3.4.7.4.3 del Acuerdo Final.</w:t>
      </w:r>
    </w:p>
    <w:p w14:paraId="24D4B07C" w14:textId="52FF6609" w:rsidR="0002373B" w:rsidRDefault="00954ABE" w:rsidP="0002373B">
      <w:pPr>
        <w:numPr>
          <w:ilvl w:val="0"/>
          <w:numId w:val="13"/>
        </w:numPr>
        <w:spacing w:line="276" w:lineRule="auto"/>
        <w:jc w:val="both"/>
      </w:pPr>
      <w:r w:rsidRPr="0002373B">
        <w:t xml:space="preserve">Convocar </w:t>
      </w:r>
      <w:r w:rsidR="00D97355">
        <w:t xml:space="preserve">la </w:t>
      </w:r>
      <w:r w:rsidR="00D97355" w:rsidRPr="0002373B">
        <w:t>sesión</w:t>
      </w:r>
      <w:r w:rsidRPr="0002373B">
        <w:t xml:space="preserve"> extraordinaria</w:t>
      </w:r>
      <w:r w:rsidRPr="00954ABE">
        <w:t xml:space="preserve"> de la MTSP</w:t>
      </w:r>
      <w:r w:rsidR="00D97355">
        <w:t xml:space="preserve"> como máxima instancia </w:t>
      </w:r>
    </w:p>
    <w:p w14:paraId="1A90E5DD" w14:textId="77777777" w:rsidR="0002373B" w:rsidRDefault="00954ABE" w:rsidP="0002373B">
      <w:pPr>
        <w:numPr>
          <w:ilvl w:val="0"/>
          <w:numId w:val="13"/>
        </w:numPr>
        <w:spacing w:line="276" w:lineRule="auto"/>
        <w:jc w:val="both"/>
      </w:pPr>
      <w:r w:rsidRPr="0002373B">
        <w:t>Activar el mecanismo de coordinación</w:t>
      </w:r>
      <w:r w:rsidRPr="00954ABE">
        <w:t xml:space="preserve"> con la JEP y la CNGS para garantizar la protección de comparecientes y testigos en riesgo inminente, en cumplimiento de las medidas cautelares de la JEP.</w:t>
      </w:r>
    </w:p>
    <w:p w14:paraId="7703C5E7" w14:textId="04F8E98A" w:rsidR="00954ABE" w:rsidRPr="009121CA" w:rsidRDefault="00954ABE" w:rsidP="00954ABE">
      <w:pPr>
        <w:numPr>
          <w:ilvl w:val="0"/>
          <w:numId w:val="13"/>
        </w:numPr>
        <w:spacing w:line="276" w:lineRule="auto"/>
        <w:jc w:val="both"/>
      </w:pPr>
      <w:r w:rsidRPr="00954ABE">
        <w:t>Implementar una política pública de prevención de la estigmatización, con campañas masivas y sanciones para discursos de odio en función pública.</w:t>
      </w:r>
    </w:p>
    <w:p w14:paraId="66CC3975" w14:textId="77777777" w:rsidR="00954ABE" w:rsidRPr="00C462D8" w:rsidRDefault="00954ABE" w:rsidP="00954ABE">
      <w:pPr>
        <w:spacing w:line="276" w:lineRule="auto"/>
        <w:jc w:val="both"/>
      </w:pPr>
      <w:r w:rsidRPr="00954ABE">
        <w:t xml:space="preserve">La implementación del Programa de Protección Especializada muestra avances operativos significativos en cobertura y tiempos de respuesta, pero enfrenta </w:t>
      </w:r>
      <w:r w:rsidRPr="00C462D8">
        <w:t>desafíos estructurales críticos que requieren acción gubernamental inmediata.</w:t>
      </w:r>
    </w:p>
    <w:p w14:paraId="43C53829" w14:textId="77777777" w:rsidR="00954ABE" w:rsidRPr="00954ABE" w:rsidRDefault="00954ABE" w:rsidP="00954ABE">
      <w:pPr>
        <w:spacing w:line="276" w:lineRule="auto"/>
        <w:jc w:val="both"/>
      </w:pPr>
      <w:r w:rsidRPr="00C462D8">
        <w:t>La ruptura de la bilateralidad, la omisión de la constatación normativa y la persistente estigmatización</w:t>
      </w:r>
      <w:r w:rsidRPr="00954ABE">
        <w:t xml:space="preserve"> constituyen obstáculos que, de no ser corregidos, comprometen no solo la efectividad del Programa, sino la credibilidad del proceso de paz y la responsabilidad internacional del Estado colombiano.</w:t>
      </w:r>
    </w:p>
    <w:p w14:paraId="00086400" w14:textId="77777777" w:rsidR="00954ABE" w:rsidRPr="00954ABE" w:rsidRDefault="00954ABE" w:rsidP="00954ABE">
      <w:pPr>
        <w:spacing w:line="276" w:lineRule="auto"/>
        <w:jc w:val="both"/>
      </w:pPr>
      <w:r w:rsidRPr="00954ABE">
        <w:t>La Sentencia SU-020 de 2022, el Auto 826 de 2024 y el Auto 1417 de 2025 han establecido una hoja de ruta clara para superar el Estado de Cosas Inconstitucional. Este marco judicial, junto con el Acuerdo Final como bloque de constitucionalidad, exige del nuevo gobierno un compromiso decidido con la implementación efectiva de las garantías de seguridad.</w:t>
      </w:r>
    </w:p>
    <w:p w14:paraId="5CF10514" w14:textId="77777777" w:rsidR="00954ABE" w:rsidRPr="00954ABE" w:rsidRDefault="00954ABE" w:rsidP="00954ABE">
      <w:pPr>
        <w:spacing w:line="276" w:lineRule="auto"/>
        <w:jc w:val="both"/>
      </w:pPr>
      <w:r w:rsidRPr="00954ABE">
        <w:lastRenderedPageBreak/>
        <w:t>La Delegación del Partido Político Comunes en la MTSP se mantiene dispuesta a trabajar de manera coordinada y de buena fe para la consolidación de la paz estable y duradera en Colombia.</w:t>
      </w:r>
    </w:p>
    <w:p w14:paraId="57E1AB20" w14:textId="77777777" w:rsidR="00C462D8" w:rsidRDefault="00C462D8" w:rsidP="00954ABE">
      <w:pPr>
        <w:spacing w:line="276" w:lineRule="auto"/>
        <w:jc w:val="both"/>
      </w:pPr>
    </w:p>
    <w:p w14:paraId="6ED14ECC" w14:textId="7FF91A1B" w:rsidR="00A14452" w:rsidRDefault="00954ABE" w:rsidP="00954ABE">
      <w:pPr>
        <w:spacing w:line="276" w:lineRule="auto"/>
        <w:jc w:val="both"/>
      </w:pPr>
      <w:r w:rsidRPr="00954ABE">
        <w:t>Cordialmente,</w:t>
      </w:r>
    </w:p>
    <w:p w14:paraId="126B6FB4" w14:textId="5BD51543" w:rsidR="009121CA" w:rsidRDefault="009121CA" w:rsidP="00954ABE">
      <w:pPr>
        <w:spacing w:line="276" w:lineRule="auto"/>
        <w:jc w:val="both"/>
      </w:pPr>
      <w:r>
        <w:t>Angela Castellanos</w:t>
      </w:r>
    </w:p>
    <w:p w14:paraId="189D954B" w14:textId="0BAFC3E4" w:rsidR="009121CA" w:rsidRDefault="009121CA" w:rsidP="00954ABE">
      <w:pPr>
        <w:spacing w:line="276" w:lineRule="auto"/>
        <w:jc w:val="both"/>
      </w:pPr>
      <w:proofErr w:type="spellStart"/>
      <w:r>
        <w:t>Bercelly</w:t>
      </w:r>
      <w:proofErr w:type="spellEnd"/>
      <w:r>
        <w:t xml:space="preserve"> Niño Medina</w:t>
      </w:r>
    </w:p>
    <w:p w14:paraId="70FACAE1" w14:textId="1200921D" w:rsidR="009121CA" w:rsidRDefault="009121CA" w:rsidP="00954ABE">
      <w:pPr>
        <w:spacing w:line="276" w:lineRule="auto"/>
        <w:jc w:val="both"/>
      </w:pPr>
      <w:r>
        <w:t>José Ignacio Sánchez</w:t>
      </w:r>
    </w:p>
    <w:p w14:paraId="3AF2223A" w14:textId="7714F4E2" w:rsidR="009121CA" w:rsidRDefault="009121CA" w:rsidP="00954ABE">
      <w:pPr>
        <w:spacing w:line="276" w:lineRule="auto"/>
        <w:jc w:val="both"/>
      </w:pPr>
      <w:r>
        <w:t>Karen Alejandra Castro Betancur</w:t>
      </w:r>
    </w:p>
    <w:p w14:paraId="7A03775C" w14:textId="2E631F1D" w:rsidR="009121CA" w:rsidRDefault="009121CA" w:rsidP="00954ABE">
      <w:pPr>
        <w:spacing w:line="276" w:lineRule="auto"/>
        <w:jc w:val="both"/>
      </w:pPr>
      <w:r>
        <w:t>Braulio Vásquez Fonseca</w:t>
      </w:r>
    </w:p>
    <w:p w14:paraId="5BF2F07B" w14:textId="77777777" w:rsidR="009121CA" w:rsidRPr="00A14452" w:rsidRDefault="009121CA" w:rsidP="00954ABE">
      <w:pPr>
        <w:spacing w:line="276" w:lineRule="auto"/>
        <w:jc w:val="both"/>
      </w:pPr>
    </w:p>
    <w:sectPr w:rsidR="009121CA" w:rsidRPr="00A14452" w:rsidSect="00E30C1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856C" w14:textId="77777777" w:rsidR="00175D4D" w:rsidRDefault="00175D4D" w:rsidP="006B026E">
      <w:pPr>
        <w:spacing w:after="0" w:line="240" w:lineRule="auto"/>
      </w:pPr>
      <w:r>
        <w:separator/>
      </w:r>
    </w:p>
  </w:endnote>
  <w:endnote w:type="continuationSeparator" w:id="0">
    <w:p w14:paraId="64E72CEC" w14:textId="77777777" w:rsidR="00175D4D" w:rsidRDefault="00175D4D" w:rsidP="006B0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CFDEF" w14:textId="77777777" w:rsidR="00175D4D" w:rsidRDefault="00175D4D" w:rsidP="006B026E">
      <w:pPr>
        <w:spacing w:after="0" w:line="240" w:lineRule="auto"/>
      </w:pPr>
      <w:r>
        <w:separator/>
      </w:r>
    </w:p>
  </w:footnote>
  <w:footnote w:type="continuationSeparator" w:id="0">
    <w:p w14:paraId="37760DA5" w14:textId="77777777" w:rsidR="00175D4D" w:rsidRDefault="00175D4D" w:rsidP="006B026E">
      <w:pPr>
        <w:spacing w:after="0" w:line="240" w:lineRule="auto"/>
      </w:pPr>
      <w:r>
        <w:continuationSeparator/>
      </w:r>
    </w:p>
  </w:footnote>
  <w:footnote w:id="1">
    <w:p w14:paraId="4DA776A0" w14:textId="40412357" w:rsidR="006B026E" w:rsidRPr="006B026E" w:rsidRDefault="006B026E">
      <w:pPr>
        <w:pStyle w:val="Textonotapie"/>
        <w:rPr>
          <w:lang w:val="es-ES"/>
        </w:rPr>
      </w:pPr>
      <w:r>
        <w:rPr>
          <w:rStyle w:val="Refdenotaalpie"/>
        </w:rPr>
        <w:footnoteRef/>
      </w:r>
      <w:r>
        <w:t xml:space="preserve"> </w:t>
      </w:r>
      <w:proofErr w:type="spellStart"/>
      <w:r>
        <w:t>Referecia</w:t>
      </w:r>
      <w:proofErr w:type="spellEnd"/>
      <w:r>
        <w:t xml:space="preserve"> Informe del GISFM</w:t>
      </w:r>
      <w:r w:rsidRPr="00954ABE">
        <w:t>.</w:t>
      </w:r>
    </w:p>
  </w:footnote>
  <w:footnote w:id="2">
    <w:p w14:paraId="735DCBA2" w14:textId="2D868789" w:rsidR="006B026E" w:rsidRPr="006B026E" w:rsidRDefault="006B026E">
      <w:pPr>
        <w:pStyle w:val="Textonotapie"/>
        <w:rPr>
          <w:lang w:val="es-ES"/>
        </w:rPr>
      </w:pPr>
      <w:r>
        <w:rPr>
          <w:rStyle w:val="Refdenotaalpie"/>
        </w:rPr>
        <w:footnoteRef/>
      </w:r>
      <w:r>
        <w:t xml:space="preserve"> </w:t>
      </w:r>
      <w:proofErr w:type="spellStart"/>
      <w:r>
        <w:t>Referecia</w:t>
      </w:r>
      <w:proofErr w:type="spellEnd"/>
      <w:r>
        <w:t xml:space="preserve"> Informe del GISFM</w:t>
      </w:r>
    </w:p>
  </w:footnote>
  <w:footnote w:id="3">
    <w:p w14:paraId="56FD1446" w14:textId="53D157E2" w:rsidR="006B026E" w:rsidRPr="006B026E" w:rsidRDefault="006B026E">
      <w:pPr>
        <w:pStyle w:val="Textonotapie"/>
        <w:rPr>
          <w:lang w:val="es-ES"/>
        </w:rPr>
      </w:pPr>
      <w:r>
        <w:rPr>
          <w:rStyle w:val="Refdenotaalpie"/>
        </w:rPr>
        <w:footnoteRef/>
      </w:r>
      <w:r>
        <w:t xml:space="preserve"> </w:t>
      </w:r>
      <w:proofErr w:type="spellStart"/>
      <w:r>
        <w:t>Referecia</w:t>
      </w:r>
      <w:proofErr w:type="spellEnd"/>
      <w:r>
        <w:t xml:space="preserve"> Informe del GISFM</w:t>
      </w:r>
    </w:p>
  </w:footnote>
  <w:footnote w:id="4">
    <w:p w14:paraId="10CB0452" w14:textId="32002F4B" w:rsidR="006B026E" w:rsidRPr="006B026E" w:rsidRDefault="006B026E">
      <w:pPr>
        <w:pStyle w:val="Textonotapie"/>
        <w:rPr>
          <w:lang w:val="es-ES"/>
        </w:rPr>
      </w:pPr>
      <w:r>
        <w:rPr>
          <w:rStyle w:val="Refdenotaalpie"/>
        </w:rPr>
        <w:footnoteRef/>
      </w:r>
      <w:r>
        <w:t xml:space="preserve"> </w:t>
      </w:r>
      <w:proofErr w:type="spellStart"/>
      <w:r>
        <w:t>Referecia</w:t>
      </w:r>
      <w:proofErr w:type="spellEnd"/>
      <w:r>
        <w:t xml:space="preserve"> Informe del GISFM</w:t>
      </w:r>
    </w:p>
  </w:footnote>
  <w:footnote w:id="5">
    <w:p w14:paraId="44D70140" w14:textId="48ADA26E" w:rsidR="006B026E" w:rsidRPr="006B026E" w:rsidRDefault="006B026E">
      <w:pPr>
        <w:pStyle w:val="Textonotapie"/>
        <w:rPr>
          <w:lang w:val="es-ES"/>
        </w:rPr>
      </w:pPr>
      <w:r>
        <w:rPr>
          <w:rStyle w:val="Refdenotaalpie"/>
        </w:rPr>
        <w:footnoteRef/>
      </w:r>
      <w:r>
        <w:t xml:space="preserve"> </w:t>
      </w:r>
      <w:proofErr w:type="spellStart"/>
      <w:r>
        <w:t>Referecia</w:t>
      </w:r>
      <w:proofErr w:type="spellEnd"/>
      <w:r>
        <w:t xml:space="preserve"> Informe del GISFM</w:t>
      </w:r>
    </w:p>
  </w:footnote>
  <w:footnote w:id="6">
    <w:p w14:paraId="3D7BC933" w14:textId="0538E4A4" w:rsidR="006B026E" w:rsidRPr="006B026E" w:rsidRDefault="006B026E">
      <w:pPr>
        <w:pStyle w:val="Textonotapie"/>
        <w:rPr>
          <w:lang w:val="es-ES"/>
        </w:rPr>
      </w:pPr>
      <w:r>
        <w:rPr>
          <w:rStyle w:val="Refdenotaalpie"/>
        </w:rPr>
        <w:footnoteRef/>
      </w:r>
      <w:r>
        <w:t xml:space="preserve"> </w:t>
      </w:r>
      <w:r>
        <w:rPr>
          <w:sz w:val="18"/>
        </w:rPr>
        <w:t>I</w:t>
      </w:r>
      <w:r w:rsidRPr="006B026E">
        <w:rPr>
          <w:sz w:val="18"/>
        </w:rPr>
        <w:t xml:space="preserve">nforme de empalme y </w:t>
      </w:r>
      <w:proofErr w:type="spellStart"/>
      <w:r>
        <w:rPr>
          <w:sz w:val="18"/>
        </w:rPr>
        <w:t>G</w:t>
      </w:r>
      <w:r w:rsidRPr="006B026E">
        <w:rPr>
          <w:sz w:val="18"/>
        </w:rPr>
        <w:t>estion</w:t>
      </w:r>
      <w:proofErr w:type="spellEnd"/>
      <w:r w:rsidRPr="00954ABE">
        <w:t>.</w:t>
      </w:r>
    </w:p>
  </w:footnote>
  <w:footnote w:id="7">
    <w:p w14:paraId="579C6D5E" w14:textId="05222D13" w:rsidR="006B026E" w:rsidRPr="006B026E" w:rsidRDefault="006B026E">
      <w:pPr>
        <w:pStyle w:val="Textonotapie"/>
        <w:rPr>
          <w:lang w:val="es-ES"/>
        </w:rPr>
      </w:pPr>
      <w:r>
        <w:rPr>
          <w:rStyle w:val="Refdenotaalpie"/>
        </w:rPr>
        <w:footnoteRef/>
      </w:r>
      <w:r>
        <w:t xml:space="preserve"> </w:t>
      </w:r>
      <w:r>
        <w:rPr>
          <w:sz w:val="18"/>
        </w:rPr>
        <w:t>I</w:t>
      </w:r>
      <w:r w:rsidRPr="006B026E">
        <w:rPr>
          <w:sz w:val="18"/>
        </w:rPr>
        <w:t xml:space="preserve">nforme de empalme y </w:t>
      </w:r>
      <w:proofErr w:type="spellStart"/>
      <w:r>
        <w:rPr>
          <w:sz w:val="18"/>
        </w:rPr>
        <w:t>G</w:t>
      </w:r>
      <w:r w:rsidRPr="006B026E">
        <w:rPr>
          <w:sz w:val="18"/>
        </w:rPr>
        <w:t>estion</w:t>
      </w:r>
      <w:proofErr w:type="spellEnd"/>
      <w:r w:rsidRPr="00954ABE">
        <w:t>.</w:t>
      </w:r>
    </w:p>
  </w:footnote>
  <w:footnote w:id="8">
    <w:p w14:paraId="20F92868" w14:textId="4CE3D4D3" w:rsidR="006B026E" w:rsidRPr="006B026E" w:rsidRDefault="006B026E">
      <w:pPr>
        <w:pStyle w:val="Textonotapie"/>
        <w:rPr>
          <w:lang w:val="es-ES"/>
        </w:rPr>
      </w:pPr>
      <w:r>
        <w:rPr>
          <w:rStyle w:val="Refdenotaalpie"/>
        </w:rPr>
        <w:footnoteRef/>
      </w:r>
      <w:r>
        <w:t xml:space="preserve"> </w:t>
      </w:r>
      <w:r>
        <w:rPr>
          <w:sz w:val="18"/>
        </w:rPr>
        <w:t>I</w:t>
      </w:r>
      <w:r w:rsidRPr="006B026E">
        <w:rPr>
          <w:sz w:val="18"/>
        </w:rPr>
        <w:t xml:space="preserve">nforme de empalme y </w:t>
      </w:r>
      <w:proofErr w:type="spellStart"/>
      <w:r>
        <w:rPr>
          <w:sz w:val="18"/>
        </w:rPr>
        <w:t>G</w:t>
      </w:r>
      <w:r w:rsidRPr="006B026E">
        <w:rPr>
          <w:sz w:val="18"/>
        </w:rPr>
        <w:t>estion</w:t>
      </w:r>
      <w:proofErr w:type="spellEnd"/>
      <w:r w:rsidRPr="00954ABE">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3FE"/>
    <w:multiLevelType w:val="multilevel"/>
    <w:tmpl w:val="126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7C2F"/>
    <w:multiLevelType w:val="multilevel"/>
    <w:tmpl w:val="FADE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40D04"/>
    <w:multiLevelType w:val="multilevel"/>
    <w:tmpl w:val="20CE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A6164"/>
    <w:multiLevelType w:val="multilevel"/>
    <w:tmpl w:val="127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51A76"/>
    <w:multiLevelType w:val="multilevel"/>
    <w:tmpl w:val="C4B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F4FA1"/>
    <w:multiLevelType w:val="hybridMultilevel"/>
    <w:tmpl w:val="3924AA0C"/>
    <w:lvl w:ilvl="0" w:tplc="0ADE5574">
      <w:start w:val="1"/>
      <w:numFmt w:val="bullet"/>
      <w:lvlText w:val="o"/>
      <w:lvlJc w:val="left"/>
      <w:pPr>
        <w:ind w:left="1440" w:hanging="360"/>
      </w:pPr>
      <w:rPr>
        <w:rFonts w:ascii="Courier New" w:hAnsi="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35EF5B3F"/>
    <w:multiLevelType w:val="multilevel"/>
    <w:tmpl w:val="B86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70FF1"/>
    <w:multiLevelType w:val="multilevel"/>
    <w:tmpl w:val="7CE6FE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B7C1726"/>
    <w:multiLevelType w:val="multilevel"/>
    <w:tmpl w:val="A214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A2431"/>
    <w:multiLevelType w:val="multilevel"/>
    <w:tmpl w:val="594C36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2A375FC"/>
    <w:multiLevelType w:val="hybridMultilevel"/>
    <w:tmpl w:val="C9401DD0"/>
    <w:lvl w:ilvl="0" w:tplc="080A000F">
      <w:start w:val="4"/>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5F230817"/>
    <w:multiLevelType w:val="multilevel"/>
    <w:tmpl w:val="FD2C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411AF0"/>
    <w:multiLevelType w:val="multilevel"/>
    <w:tmpl w:val="37BE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01613"/>
    <w:multiLevelType w:val="multilevel"/>
    <w:tmpl w:val="340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6615E6"/>
    <w:multiLevelType w:val="multilevel"/>
    <w:tmpl w:val="BF40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5D1E8C"/>
    <w:multiLevelType w:val="multilevel"/>
    <w:tmpl w:val="4056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FF3107"/>
    <w:multiLevelType w:val="multilevel"/>
    <w:tmpl w:val="0E2AC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30BA6"/>
    <w:multiLevelType w:val="multilevel"/>
    <w:tmpl w:val="415C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821049"/>
    <w:multiLevelType w:val="hybridMultilevel"/>
    <w:tmpl w:val="F76C751A"/>
    <w:lvl w:ilvl="0" w:tplc="2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016683196">
    <w:abstractNumId w:val="0"/>
  </w:num>
  <w:num w:numId="2" w16cid:durableId="83918042">
    <w:abstractNumId w:val="16"/>
  </w:num>
  <w:num w:numId="3" w16cid:durableId="1266960157">
    <w:abstractNumId w:val="3"/>
  </w:num>
  <w:num w:numId="4" w16cid:durableId="2047635147">
    <w:abstractNumId w:val="13"/>
  </w:num>
  <w:num w:numId="5" w16cid:durableId="1954509283">
    <w:abstractNumId w:val="17"/>
  </w:num>
  <w:num w:numId="6" w16cid:durableId="1112632862">
    <w:abstractNumId w:val="11"/>
  </w:num>
  <w:num w:numId="7" w16cid:durableId="1509370126">
    <w:abstractNumId w:val="1"/>
  </w:num>
  <w:num w:numId="8" w16cid:durableId="841236813">
    <w:abstractNumId w:val="8"/>
  </w:num>
  <w:num w:numId="9" w16cid:durableId="1209418655">
    <w:abstractNumId w:val="6"/>
  </w:num>
  <w:num w:numId="10" w16cid:durableId="1482962038">
    <w:abstractNumId w:val="12"/>
  </w:num>
  <w:num w:numId="11" w16cid:durableId="715354199">
    <w:abstractNumId w:val="4"/>
  </w:num>
  <w:num w:numId="12" w16cid:durableId="406532739">
    <w:abstractNumId w:val="2"/>
  </w:num>
  <w:num w:numId="13" w16cid:durableId="1453288548">
    <w:abstractNumId w:val="9"/>
  </w:num>
  <w:num w:numId="14" w16cid:durableId="1875465082">
    <w:abstractNumId w:val="15"/>
  </w:num>
  <w:num w:numId="15" w16cid:durableId="1024596165">
    <w:abstractNumId w:val="7"/>
  </w:num>
  <w:num w:numId="16" w16cid:durableId="714085074">
    <w:abstractNumId w:val="14"/>
  </w:num>
  <w:num w:numId="17" w16cid:durableId="168494431">
    <w:abstractNumId w:val="5"/>
  </w:num>
  <w:num w:numId="18" w16cid:durableId="924344445">
    <w:abstractNumId w:val="18"/>
  </w:num>
  <w:num w:numId="19" w16cid:durableId="1741903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52"/>
    <w:rsid w:val="0002373B"/>
    <w:rsid w:val="00096863"/>
    <w:rsid w:val="00175D4D"/>
    <w:rsid w:val="001D7088"/>
    <w:rsid w:val="0027344E"/>
    <w:rsid w:val="00383A02"/>
    <w:rsid w:val="004C7673"/>
    <w:rsid w:val="005A2C23"/>
    <w:rsid w:val="006516D0"/>
    <w:rsid w:val="00670E68"/>
    <w:rsid w:val="00694351"/>
    <w:rsid w:val="006B026E"/>
    <w:rsid w:val="007C49E9"/>
    <w:rsid w:val="00877294"/>
    <w:rsid w:val="009121CA"/>
    <w:rsid w:val="009439D6"/>
    <w:rsid w:val="00954ABE"/>
    <w:rsid w:val="00981F58"/>
    <w:rsid w:val="00A14452"/>
    <w:rsid w:val="00A72F86"/>
    <w:rsid w:val="00AA1E49"/>
    <w:rsid w:val="00BA4AC4"/>
    <w:rsid w:val="00C462D8"/>
    <w:rsid w:val="00C70855"/>
    <w:rsid w:val="00D01C8D"/>
    <w:rsid w:val="00D97355"/>
    <w:rsid w:val="00D97997"/>
    <w:rsid w:val="00E30C1F"/>
    <w:rsid w:val="00EA2D6E"/>
    <w:rsid w:val="00F03085"/>
    <w:rsid w:val="00F101F9"/>
    <w:rsid w:val="00F27A1A"/>
    <w:rsid w:val="00F6281D"/>
    <w:rsid w:val="00F91FB0"/>
    <w:rsid w:val="00FA7A4F"/>
    <w:rsid w:val="00FD1A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E0AA"/>
  <w15:chartTrackingRefBased/>
  <w15:docId w15:val="{4003DFCF-2819-D842-A38C-52A89C23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4C7673"/>
    <w:pPr>
      <w:spacing w:after="160" w:line="480" w:lineRule="auto"/>
    </w:pPr>
    <w:rPr>
      <w:rFonts w:ascii="Times New Roman" w:hAnsi="Times New Roman"/>
      <w:kern w:val="2"/>
      <w:szCs w:val="22"/>
      <w14:ligatures w14:val="standardContextual"/>
    </w:rPr>
  </w:style>
  <w:style w:type="paragraph" w:styleId="Ttulo2">
    <w:name w:val="heading 2"/>
    <w:basedOn w:val="Normal"/>
    <w:link w:val="Ttulo2Car"/>
    <w:uiPriority w:val="9"/>
    <w:qFormat/>
    <w:rsid w:val="00954ABE"/>
    <w:pPr>
      <w:spacing w:before="100" w:beforeAutospacing="1" w:after="100" w:afterAutospacing="1" w:line="240" w:lineRule="auto"/>
      <w:outlineLvl w:val="1"/>
    </w:pPr>
    <w:rPr>
      <w:rFonts w:eastAsia="Times New Roman" w:cs="Times New Roman"/>
      <w:b/>
      <w:bCs/>
      <w:kern w:val="0"/>
      <w:sz w:val="36"/>
      <w:szCs w:val="36"/>
      <w:lang w:eastAsia="es-ES_tradnl"/>
      <w14:ligatures w14:val="none"/>
    </w:rPr>
  </w:style>
  <w:style w:type="paragraph" w:styleId="Ttulo3">
    <w:name w:val="heading 3"/>
    <w:basedOn w:val="Normal"/>
    <w:link w:val="Ttulo3Car"/>
    <w:uiPriority w:val="9"/>
    <w:qFormat/>
    <w:rsid w:val="00954ABE"/>
    <w:pPr>
      <w:spacing w:before="100" w:beforeAutospacing="1" w:after="100" w:afterAutospacing="1" w:line="240" w:lineRule="auto"/>
      <w:outlineLvl w:val="2"/>
    </w:pPr>
    <w:rPr>
      <w:rFonts w:eastAsia="Times New Roman" w:cs="Times New Roman"/>
      <w:b/>
      <w:bCs/>
      <w:kern w:val="0"/>
      <w:sz w:val="27"/>
      <w:szCs w:val="27"/>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54ABE"/>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954ABE"/>
    <w:rPr>
      <w:rFonts w:ascii="Times New Roman" w:eastAsia="Times New Roman" w:hAnsi="Times New Roman" w:cs="Times New Roman"/>
      <w:b/>
      <w:bCs/>
      <w:sz w:val="27"/>
      <w:szCs w:val="27"/>
      <w:lang w:eastAsia="es-ES_tradnl"/>
    </w:rPr>
  </w:style>
  <w:style w:type="paragraph" w:customStyle="1" w:styleId="ds-markdown-paragraph">
    <w:name w:val="ds-markdown-paragraph"/>
    <w:basedOn w:val="Normal"/>
    <w:rsid w:val="00954ABE"/>
    <w:pPr>
      <w:spacing w:before="100" w:beforeAutospacing="1" w:after="100" w:afterAutospacing="1" w:line="240" w:lineRule="auto"/>
    </w:pPr>
    <w:rPr>
      <w:rFonts w:eastAsia="Times New Roman" w:cs="Times New Roman"/>
      <w:kern w:val="0"/>
      <w:szCs w:val="24"/>
      <w:lang w:eastAsia="es-ES_tradnl"/>
      <w14:ligatures w14:val="none"/>
    </w:rPr>
  </w:style>
  <w:style w:type="character" w:styleId="Fuerte">
    <w:name w:val="Strong"/>
    <w:basedOn w:val="Fuentedeprrafopredeter"/>
    <w:uiPriority w:val="22"/>
    <w:qFormat/>
    <w:rsid w:val="00954ABE"/>
    <w:rPr>
      <w:b/>
      <w:bCs/>
    </w:rPr>
  </w:style>
  <w:style w:type="paragraph" w:styleId="Prrafodelista">
    <w:name w:val="List Paragraph"/>
    <w:basedOn w:val="Normal"/>
    <w:uiPriority w:val="34"/>
    <w:qFormat/>
    <w:rsid w:val="00F03085"/>
    <w:pPr>
      <w:ind w:left="720"/>
      <w:contextualSpacing/>
    </w:pPr>
  </w:style>
  <w:style w:type="paragraph" w:styleId="NormalWeb">
    <w:name w:val="Normal (Web)"/>
    <w:basedOn w:val="Normal"/>
    <w:uiPriority w:val="99"/>
    <w:semiHidden/>
    <w:unhideWhenUsed/>
    <w:rsid w:val="00C70855"/>
    <w:rPr>
      <w:rFonts w:cs="Times New Roman"/>
      <w:szCs w:val="24"/>
    </w:rPr>
  </w:style>
  <w:style w:type="paragraph" w:styleId="Textonotapie">
    <w:name w:val="footnote text"/>
    <w:basedOn w:val="Normal"/>
    <w:link w:val="TextonotapieCar"/>
    <w:uiPriority w:val="99"/>
    <w:semiHidden/>
    <w:unhideWhenUsed/>
    <w:rsid w:val="006B02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026E"/>
    <w:rPr>
      <w:rFonts w:ascii="Times New Roman" w:hAnsi="Times New Roman"/>
      <w:kern w:val="2"/>
      <w:sz w:val="20"/>
      <w:szCs w:val="20"/>
      <w14:ligatures w14:val="standardContextual"/>
    </w:rPr>
  </w:style>
  <w:style w:type="character" w:styleId="Refdenotaalpie">
    <w:name w:val="footnote reference"/>
    <w:basedOn w:val="Fuentedeprrafopredeter"/>
    <w:uiPriority w:val="99"/>
    <w:semiHidden/>
    <w:unhideWhenUsed/>
    <w:rsid w:val="006B026E"/>
    <w:rPr>
      <w:vertAlign w:val="superscript"/>
    </w:rPr>
  </w:style>
  <w:style w:type="paragraph" w:styleId="Textonotaalfinal">
    <w:name w:val="endnote text"/>
    <w:basedOn w:val="Normal"/>
    <w:link w:val="TextonotaalfinalCar"/>
    <w:uiPriority w:val="99"/>
    <w:semiHidden/>
    <w:unhideWhenUsed/>
    <w:rsid w:val="006B026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B026E"/>
    <w:rPr>
      <w:rFonts w:ascii="Times New Roman" w:hAnsi="Times New Roman"/>
      <w:kern w:val="2"/>
      <w:sz w:val="20"/>
      <w:szCs w:val="20"/>
      <w14:ligatures w14:val="standardContextual"/>
    </w:rPr>
  </w:style>
  <w:style w:type="character" w:styleId="Refdenotaalfinal">
    <w:name w:val="endnote reference"/>
    <w:basedOn w:val="Fuentedeprrafopredeter"/>
    <w:uiPriority w:val="99"/>
    <w:semiHidden/>
    <w:unhideWhenUsed/>
    <w:rsid w:val="006B02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373">
      <w:bodyDiv w:val="1"/>
      <w:marLeft w:val="0"/>
      <w:marRight w:val="0"/>
      <w:marTop w:val="0"/>
      <w:marBottom w:val="0"/>
      <w:divBdr>
        <w:top w:val="none" w:sz="0" w:space="0" w:color="auto"/>
        <w:left w:val="none" w:sz="0" w:space="0" w:color="auto"/>
        <w:bottom w:val="none" w:sz="0" w:space="0" w:color="auto"/>
        <w:right w:val="none" w:sz="0" w:space="0" w:color="auto"/>
      </w:divBdr>
    </w:div>
    <w:div w:id="38164397">
      <w:bodyDiv w:val="1"/>
      <w:marLeft w:val="0"/>
      <w:marRight w:val="0"/>
      <w:marTop w:val="0"/>
      <w:marBottom w:val="0"/>
      <w:divBdr>
        <w:top w:val="none" w:sz="0" w:space="0" w:color="auto"/>
        <w:left w:val="none" w:sz="0" w:space="0" w:color="auto"/>
        <w:bottom w:val="none" w:sz="0" w:space="0" w:color="auto"/>
        <w:right w:val="none" w:sz="0" w:space="0" w:color="auto"/>
      </w:divBdr>
      <w:divsChild>
        <w:div w:id="1647397286">
          <w:marLeft w:val="0"/>
          <w:marRight w:val="0"/>
          <w:marTop w:val="0"/>
          <w:marBottom w:val="0"/>
          <w:divBdr>
            <w:top w:val="none" w:sz="0" w:space="0" w:color="auto"/>
            <w:left w:val="none" w:sz="0" w:space="0" w:color="auto"/>
            <w:bottom w:val="none" w:sz="0" w:space="0" w:color="auto"/>
            <w:right w:val="none" w:sz="0" w:space="0" w:color="auto"/>
          </w:divBdr>
          <w:divsChild>
            <w:div w:id="1039234335">
              <w:marLeft w:val="0"/>
              <w:marRight w:val="0"/>
              <w:marTop w:val="0"/>
              <w:marBottom w:val="0"/>
              <w:divBdr>
                <w:top w:val="none" w:sz="0" w:space="0" w:color="auto"/>
                <w:left w:val="none" w:sz="0" w:space="0" w:color="auto"/>
                <w:bottom w:val="none" w:sz="0" w:space="0" w:color="auto"/>
                <w:right w:val="none" w:sz="0" w:space="0" w:color="auto"/>
              </w:divBdr>
              <w:divsChild>
                <w:div w:id="864634329">
                  <w:marLeft w:val="0"/>
                  <w:marRight w:val="0"/>
                  <w:marTop w:val="0"/>
                  <w:marBottom w:val="0"/>
                  <w:divBdr>
                    <w:top w:val="none" w:sz="0" w:space="0" w:color="auto"/>
                    <w:left w:val="none" w:sz="0" w:space="0" w:color="auto"/>
                    <w:bottom w:val="none" w:sz="0" w:space="0" w:color="auto"/>
                    <w:right w:val="none" w:sz="0" w:space="0" w:color="auto"/>
                  </w:divBdr>
                  <w:divsChild>
                    <w:div w:id="4018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703622">
      <w:bodyDiv w:val="1"/>
      <w:marLeft w:val="0"/>
      <w:marRight w:val="0"/>
      <w:marTop w:val="0"/>
      <w:marBottom w:val="0"/>
      <w:divBdr>
        <w:top w:val="none" w:sz="0" w:space="0" w:color="auto"/>
        <w:left w:val="none" w:sz="0" w:space="0" w:color="auto"/>
        <w:bottom w:val="none" w:sz="0" w:space="0" w:color="auto"/>
        <w:right w:val="none" w:sz="0" w:space="0" w:color="auto"/>
      </w:divBdr>
    </w:div>
    <w:div w:id="1186823188">
      <w:bodyDiv w:val="1"/>
      <w:marLeft w:val="0"/>
      <w:marRight w:val="0"/>
      <w:marTop w:val="0"/>
      <w:marBottom w:val="0"/>
      <w:divBdr>
        <w:top w:val="none" w:sz="0" w:space="0" w:color="auto"/>
        <w:left w:val="none" w:sz="0" w:space="0" w:color="auto"/>
        <w:bottom w:val="none" w:sz="0" w:space="0" w:color="auto"/>
        <w:right w:val="none" w:sz="0" w:space="0" w:color="auto"/>
      </w:divBdr>
      <w:divsChild>
        <w:div w:id="135144505">
          <w:marLeft w:val="0"/>
          <w:marRight w:val="0"/>
          <w:marTop w:val="0"/>
          <w:marBottom w:val="0"/>
          <w:divBdr>
            <w:top w:val="none" w:sz="0" w:space="0" w:color="auto"/>
            <w:left w:val="none" w:sz="0" w:space="0" w:color="auto"/>
            <w:bottom w:val="none" w:sz="0" w:space="0" w:color="auto"/>
            <w:right w:val="none" w:sz="0" w:space="0" w:color="auto"/>
          </w:divBdr>
          <w:divsChild>
            <w:div w:id="1644000207">
              <w:marLeft w:val="0"/>
              <w:marRight w:val="0"/>
              <w:marTop w:val="0"/>
              <w:marBottom w:val="0"/>
              <w:divBdr>
                <w:top w:val="none" w:sz="0" w:space="0" w:color="auto"/>
                <w:left w:val="none" w:sz="0" w:space="0" w:color="auto"/>
                <w:bottom w:val="none" w:sz="0" w:space="0" w:color="auto"/>
                <w:right w:val="none" w:sz="0" w:space="0" w:color="auto"/>
              </w:divBdr>
            </w:div>
          </w:divsChild>
        </w:div>
        <w:div w:id="1948659501">
          <w:marLeft w:val="0"/>
          <w:marRight w:val="0"/>
          <w:marTop w:val="0"/>
          <w:marBottom w:val="0"/>
          <w:divBdr>
            <w:top w:val="none" w:sz="0" w:space="0" w:color="auto"/>
            <w:left w:val="none" w:sz="0" w:space="0" w:color="auto"/>
            <w:bottom w:val="none" w:sz="0" w:space="0" w:color="auto"/>
            <w:right w:val="none" w:sz="0" w:space="0" w:color="auto"/>
          </w:divBdr>
          <w:divsChild>
            <w:div w:id="625354050">
              <w:marLeft w:val="0"/>
              <w:marRight w:val="0"/>
              <w:marTop w:val="0"/>
              <w:marBottom w:val="0"/>
              <w:divBdr>
                <w:top w:val="none" w:sz="0" w:space="0" w:color="auto"/>
                <w:left w:val="none" w:sz="0" w:space="0" w:color="auto"/>
                <w:bottom w:val="none" w:sz="0" w:space="0" w:color="auto"/>
                <w:right w:val="none" w:sz="0" w:space="0" w:color="auto"/>
              </w:divBdr>
            </w:div>
          </w:divsChild>
        </w:div>
        <w:div w:id="464080867">
          <w:marLeft w:val="0"/>
          <w:marRight w:val="0"/>
          <w:marTop w:val="0"/>
          <w:marBottom w:val="0"/>
          <w:divBdr>
            <w:top w:val="none" w:sz="0" w:space="0" w:color="auto"/>
            <w:left w:val="none" w:sz="0" w:space="0" w:color="auto"/>
            <w:bottom w:val="none" w:sz="0" w:space="0" w:color="auto"/>
            <w:right w:val="none" w:sz="0" w:space="0" w:color="auto"/>
          </w:divBdr>
          <w:divsChild>
            <w:div w:id="19852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304">
      <w:bodyDiv w:val="1"/>
      <w:marLeft w:val="0"/>
      <w:marRight w:val="0"/>
      <w:marTop w:val="0"/>
      <w:marBottom w:val="0"/>
      <w:divBdr>
        <w:top w:val="none" w:sz="0" w:space="0" w:color="auto"/>
        <w:left w:val="none" w:sz="0" w:space="0" w:color="auto"/>
        <w:bottom w:val="none" w:sz="0" w:space="0" w:color="auto"/>
        <w:right w:val="none" w:sz="0" w:space="0" w:color="auto"/>
      </w:divBdr>
      <w:divsChild>
        <w:div w:id="1661081267">
          <w:marLeft w:val="0"/>
          <w:marRight w:val="0"/>
          <w:marTop w:val="0"/>
          <w:marBottom w:val="0"/>
          <w:divBdr>
            <w:top w:val="none" w:sz="0" w:space="0" w:color="auto"/>
            <w:left w:val="none" w:sz="0" w:space="0" w:color="auto"/>
            <w:bottom w:val="none" w:sz="0" w:space="0" w:color="auto"/>
            <w:right w:val="none" w:sz="0" w:space="0" w:color="auto"/>
          </w:divBdr>
          <w:divsChild>
            <w:div w:id="1021513812">
              <w:marLeft w:val="0"/>
              <w:marRight w:val="0"/>
              <w:marTop w:val="0"/>
              <w:marBottom w:val="0"/>
              <w:divBdr>
                <w:top w:val="none" w:sz="0" w:space="0" w:color="auto"/>
                <w:left w:val="none" w:sz="0" w:space="0" w:color="auto"/>
                <w:bottom w:val="none" w:sz="0" w:space="0" w:color="auto"/>
                <w:right w:val="none" w:sz="0" w:space="0" w:color="auto"/>
              </w:divBdr>
              <w:divsChild>
                <w:div w:id="276764528">
                  <w:marLeft w:val="0"/>
                  <w:marRight w:val="0"/>
                  <w:marTop w:val="0"/>
                  <w:marBottom w:val="0"/>
                  <w:divBdr>
                    <w:top w:val="none" w:sz="0" w:space="0" w:color="auto"/>
                    <w:left w:val="none" w:sz="0" w:space="0" w:color="auto"/>
                    <w:bottom w:val="none" w:sz="0" w:space="0" w:color="auto"/>
                    <w:right w:val="none" w:sz="0" w:space="0" w:color="auto"/>
                  </w:divBdr>
                  <w:divsChild>
                    <w:div w:id="125307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059564">
      <w:bodyDiv w:val="1"/>
      <w:marLeft w:val="0"/>
      <w:marRight w:val="0"/>
      <w:marTop w:val="0"/>
      <w:marBottom w:val="0"/>
      <w:divBdr>
        <w:top w:val="none" w:sz="0" w:space="0" w:color="auto"/>
        <w:left w:val="none" w:sz="0" w:space="0" w:color="auto"/>
        <w:bottom w:val="none" w:sz="0" w:space="0" w:color="auto"/>
        <w:right w:val="none" w:sz="0" w:space="0" w:color="auto"/>
      </w:divBdr>
      <w:divsChild>
        <w:div w:id="1520507184">
          <w:marLeft w:val="0"/>
          <w:marRight w:val="0"/>
          <w:marTop w:val="0"/>
          <w:marBottom w:val="0"/>
          <w:divBdr>
            <w:top w:val="none" w:sz="0" w:space="0" w:color="auto"/>
            <w:left w:val="none" w:sz="0" w:space="0" w:color="auto"/>
            <w:bottom w:val="none" w:sz="0" w:space="0" w:color="auto"/>
            <w:right w:val="none" w:sz="0" w:space="0" w:color="auto"/>
          </w:divBdr>
          <w:divsChild>
            <w:div w:id="1490632571">
              <w:marLeft w:val="0"/>
              <w:marRight w:val="0"/>
              <w:marTop w:val="0"/>
              <w:marBottom w:val="0"/>
              <w:divBdr>
                <w:top w:val="none" w:sz="0" w:space="0" w:color="auto"/>
                <w:left w:val="none" w:sz="0" w:space="0" w:color="auto"/>
                <w:bottom w:val="none" w:sz="0" w:space="0" w:color="auto"/>
                <w:right w:val="none" w:sz="0" w:space="0" w:color="auto"/>
              </w:divBdr>
              <w:divsChild>
                <w:div w:id="1794135725">
                  <w:marLeft w:val="0"/>
                  <w:marRight w:val="0"/>
                  <w:marTop w:val="0"/>
                  <w:marBottom w:val="0"/>
                  <w:divBdr>
                    <w:top w:val="none" w:sz="0" w:space="0" w:color="auto"/>
                    <w:left w:val="none" w:sz="0" w:space="0" w:color="auto"/>
                    <w:bottom w:val="none" w:sz="0" w:space="0" w:color="auto"/>
                    <w:right w:val="none" w:sz="0" w:space="0" w:color="auto"/>
                  </w:divBdr>
                  <w:divsChild>
                    <w:div w:id="580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019533">
      <w:bodyDiv w:val="1"/>
      <w:marLeft w:val="0"/>
      <w:marRight w:val="0"/>
      <w:marTop w:val="0"/>
      <w:marBottom w:val="0"/>
      <w:divBdr>
        <w:top w:val="none" w:sz="0" w:space="0" w:color="auto"/>
        <w:left w:val="none" w:sz="0" w:space="0" w:color="auto"/>
        <w:bottom w:val="none" w:sz="0" w:space="0" w:color="auto"/>
        <w:right w:val="none" w:sz="0" w:space="0" w:color="auto"/>
      </w:divBdr>
      <w:divsChild>
        <w:div w:id="2130515379">
          <w:marLeft w:val="0"/>
          <w:marRight w:val="0"/>
          <w:marTop w:val="0"/>
          <w:marBottom w:val="0"/>
          <w:divBdr>
            <w:top w:val="none" w:sz="0" w:space="0" w:color="auto"/>
            <w:left w:val="none" w:sz="0" w:space="0" w:color="auto"/>
            <w:bottom w:val="none" w:sz="0" w:space="0" w:color="auto"/>
            <w:right w:val="none" w:sz="0" w:space="0" w:color="auto"/>
          </w:divBdr>
          <w:divsChild>
            <w:div w:id="611790514">
              <w:marLeft w:val="0"/>
              <w:marRight w:val="0"/>
              <w:marTop w:val="0"/>
              <w:marBottom w:val="0"/>
              <w:divBdr>
                <w:top w:val="none" w:sz="0" w:space="0" w:color="auto"/>
                <w:left w:val="none" w:sz="0" w:space="0" w:color="auto"/>
                <w:bottom w:val="none" w:sz="0" w:space="0" w:color="auto"/>
                <w:right w:val="none" w:sz="0" w:space="0" w:color="auto"/>
              </w:divBdr>
              <w:divsChild>
                <w:div w:id="926770898">
                  <w:marLeft w:val="0"/>
                  <w:marRight w:val="0"/>
                  <w:marTop w:val="0"/>
                  <w:marBottom w:val="0"/>
                  <w:divBdr>
                    <w:top w:val="none" w:sz="0" w:space="0" w:color="auto"/>
                    <w:left w:val="none" w:sz="0" w:space="0" w:color="auto"/>
                    <w:bottom w:val="none" w:sz="0" w:space="0" w:color="auto"/>
                    <w:right w:val="none" w:sz="0" w:space="0" w:color="auto"/>
                  </w:divBdr>
                  <w:divsChild>
                    <w:div w:id="8983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14164-80F6-644C-8D21-8E9DB21D7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1698</Words>
  <Characters>9345</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Angela castellanos</cp:lastModifiedBy>
  <cp:revision>2</cp:revision>
  <dcterms:created xsi:type="dcterms:W3CDTF">2026-08-17T15:33:00Z</dcterms:created>
  <dcterms:modified xsi:type="dcterms:W3CDTF">2026-08-17T15:33:00Z</dcterms:modified>
</cp:coreProperties>
</file>