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INFORME DE REVISIÓN METODOLÓGICA Y DE FORMA</w:t>
      </w:r>
    </w:p>
    <w:p>
      <w:pPr>
        <w:spacing w:after="60"/>
        <w:jc w:val="center"/>
      </w:pPr>
      <w:r>
        <w:rPr>
          <w:i/>
          <w:iCs/>
          <w:sz w:val="22"/>
          <w:szCs w:val="22"/>
        </w:rPr>
        <w:t xml:space="preserve">Trabajo de grado: “Condiciones de seguridad integral para los firmantes de paz del ETCR Martín Villa”</w:t>
      </w:r>
    </w:p>
    <w:p>
      <w:pPr>
        <w:spacing w:after="60"/>
        <w:jc w:val="center"/>
      </w:pPr>
      <w:r>
        <w:rPr>
          <w:sz w:val="20"/>
          <w:szCs w:val="20"/>
        </w:rPr>
        <w:t xml:space="preserve">Autores: Marly Viviana Colmenares Gómez · Fidel Marulanda Pérez Cuéllar</w:t>
      </w:r>
    </w:p>
    <w:p>
      <w:pPr>
        <w:spacing w:after="60"/>
        <w:jc w:val="center"/>
      </w:pPr>
      <w:r>
        <w:rPr>
          <w:sz w:val="20"/>
          <w:szCs w:val="20"/>
        </w:rPr>
        <w:t xml:space="preserve">Escuela de Posgrados de Policía “Miguel Antonio Lleras Pizarro” — Maestría en Seguridad Pública</w:t>
      </w:r>
    </w:p>
    <w:p>
      <w:pPr>
        <w:spacing w:after="300"/>
        <w:jc w:val="center"/>
      </w:pPr>
      <w:r>
        <w:rPr>
          <w:sz w:val="20"/>
          <w:szCs w:val="20"/>
        </w:rPr>
        <w:t xml:space="preserve">Asesor metodológico: Jairo Rodrigo Velásquez Moreno · Fecha de revisión: 4 de julio de 2026</w:t>
      </w:r>
    </w:p>
    <w:p>
      <w:pPr>
        <w:pStyle w:val="Heading1"/>
        <w:spacing w:after="150" w:before="300"/>
      </w:pPr>
      <w:r>
        <w:t xml:space="preserve">1. Balance general</w:t>
      </w:r>
    </w:p>
    <w:p>
      <w:pPr>
        <w:spacing w:after="160" w:line="276"/>
      </w:pPr>
      <w:r>
        <w:t xml:space="preserve">Este trabajo parte de una base metodológica más rigurosa que la del promedio de los anteproyectos revisados en este corte: emplea el Diagrama de Vester para sustentar cuantitativamente la variable crítica del problema, sistematiza 96 documentos hasta llegar a 20 fuentes principales con verificación de afiliación institucional, y presenta una lista de referencias con DOI o URL verificable en prácticamente todas las entradas. El marco conceptual incluye además una tabla que articula cada concepto con el objetivo específico que fundamenta, lo cual es una práctica ejemplar que no todos los trabajos incorporan.</w:t>
      </w:r>
    </w:p>
    <w:p>
      <w:pPr>
        <w:spacing w:after="160" w:line="276"/>
      </w:pPr>
      <w:r>
        <w:t xml:space="preserve">No obstante, como en otros anteproyectos de este corte, los Capítulos 3 a 6 (diseño metodológico, discusión, conclusiones, propuesta institucional) permanecen como instrucciones de plantilla sin desarrollar, y persisten vacíos de forma importantes: dos tablas de contenido distintas y contradictorias en el mismo documento (una de ellas con texto de plantilla sin editar, “Subtítulo nivel 2 (en esta plantilla se llama ‘Título 2’)”), un error tipográfico en el título oficial del trabajo, notas de plantilla dejadas dentro del cuerpo del texto, y varias inconsistencias entre los años citados en el texto y los años que figuran en la lista de Referencias.</w:t>
      </w:r>
    </w:p>
    <w:p>
      <w:pPr>
        <w:spacing w:after="160" w:line="276"/>
      </w:pPr>
      <w:r>
        <w:t xml:space="preserve">En síntesis: el fondo (antecedentes, planteamiento, marco referencial) está en un estado de madurez alto; la forma requiere una limpieza cuidadosa antes de la entrega; y el diseño metodológico está aún pendiente en su totalidad.</w:t>
      </w:r>
    </w:p>
    <w:p>
      <w:pPr>
        <w:pStyle w:val="Heading1"/>
        <w:spacing w:after="150" w:before="300"/>
      </w:pPr>
      <w:r>
        <w:t xml:space="preserve">2. Coherencia entre título, pregunta de investigación y objetivos</w:t>
      </w:r>
    </w:p>
    <w:p>
      <w:pPr>
        <w:pStyle w:val="Heading2"/>
        <w:spacing w:after="120" w:before="240"/>
      </w:pPr>
      <w:r>
        <w:t xml:space="preserve">2.1. Elementos comparados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color="auto" w:val="clear"/>
            <w:tcMar>
              <w:top w:type="dxa" w:w="80"/>
              <w:left w:type="dxa" w:w="100"/>
              <w:bottom w:type="dxa" w:w="80"/>
              <w:right w:type="dxa" w:w="100"/>
            </w:tcMar>
          </w:tcPr>
          <w:p>
            <w:r>
              <w:rPr>
                <w:b/>
                <w:bCs/>
                <w:sz w:val="20"/>
                <w:szCs w:val="20"/>
              </w:rPr>
              <w:t xml:space="preserve">Elemento</w:t>
            </w:r>
          </w:p>
        </w:tc>
        <w:tc>
          <w:tcPr>
            <w:tcW w:type="dxa" w:w="6950"/>
            <w:shd w:fill="1F3864" w:color="auto" w:val="clear"/>
            <w:tcMar>
              <w:top w:type="dxa" w:w="80"/>
              <w:left w:type="dxa" w:w="100"/>
              <w:bottom w:type="dxa" w:w="80"/>
              <w:right w:type="dxa" w:w="100"/>
            </w:tcMar>
          </w:tcPr>
          <w:p>
            <w:r>
              <w:rPr>
                <w:b/>
                <w:bCs/>
                <w:sz w:val="20"/>
                <w:szCs w:val="20"/>
              </w:rPr>
              <w:t xml:space="preserve">Formulación actual</w:t>
            </w:r>
          </w:p>
        </w:tc>
      </w:tr>
      <w:tr>
        <w:tc>
          <w:tcPr>
            <w:tcW w:type="dxa" w:w="2400"/>
            <w:shd w:fill="F2F2F2" w:color="auto" w:val="clear"/>
            <w:tcMar>
              <w:top w:type="dxa" w:w="80"/>
              <w:left w:type="dxa" w:w="100"/>
              <w:bottom w:type="dxa" w:w="80"/>
              <w:right w:type="dxa" w:w="100"/>
            </w:tcMar>
          </w:tcPr>
          <w:p>
            <w:r>
              <w:rPr>
                <w:b w:val="false"/>
                <w:bCs w:val="false"/>
                <w:sz w:val="20"/>
                <w:szCs w:val="20"/>
              </w:rPr>
              <w:t xml:space="preserve">Título</w:t>
            </w:r>
          </w:p>
        </w:tc>
        <w:tc>
          <w:tcPr>
            <w:tcW w:type="dxa" w:w="6950"/>
            <w:shd w:fill="F2F2F2" w:color="auto" w:val="clear"/>
            <w:tcMar>
              <w:top w:type="dxa" w:w="80"/>
              <w:left w:type="dxa" w:w="100"/>
              <w:bottom w:type="dxa" w:w="80"/>
              <w:right w:type="dxa" w:w="100"/>
            </w:tcMar>
          </w:tcPr>
          <w:p>
            <w:r>
              <w:rPr>
                <w:b w:val="false"/>
                <w:bCs w:val="false"/>
                <w:sz w:val="20"/>
                <w:szCs w:val="20"/>
              </w:rPr>
              <w:t xml:space="preserve">“Condiciones se seguridad integral para los firmantes de paz del ETCR Martín Villa” (sic)</w:t>
            </w:r>
          </w:p>
        </w:tc>
      </w:tr>
      <w:tr>
        <w:tc>
          <w:tcPr>
            <w:tcW w:type="dxa" w:w="2400"/>
            <w:shd w:fill="FFFFFF" w:color="auto" w:val="clear"/>
            <w:tcMar>
              <w:top w:type="dxa" w:w="80"/>
              <w:left w:type="dxa" w:w="100"/>
              <w:bottom w:type="dxa" w:w="80"/>
              <w:right w:type="dxa" w:w="100"/>
            </w:tcMar>
          </w:tcPr>
          <w:p>
            <w:r>
              <w:rPr>
                <w:b w:val="false"/>
                <w:bCs w:val="false"/>
                <w:sz w:val="20"/>
                <w:szCs w:val="20"/>
              </w:rPr>
              <w:t xml:space="preserve">Pregunta de investigación</w:t>
            </w:r>
          </w:p>
        </w:tc>
        <w:tc>
          <w:tcPr>
            <w:tcW w:type="dxa" w:w="6950"/>
            <w:shd w:fill="FFFFFF" w:color="auto" w:val="clear"/>
            <w:tcMar>
              <w:top w:type="dxa" w:w="80"/>
              <w:left w:type="dxa" w:w="100"/>
              <w:bottom w:type="dxa" w:w="80"/>
              <w:right w:type="dxa" w:w="100"/>
            </w:tcMar>
          </w:tcPr>
          <w:p>
            <w:r>
              <w:rPr>
                <w:b w:val="false"/>
                <w:bCs w:val="false"/>
                <w:sz w:val="20"/>
                <w:szCs w:val="20"/>
              </w:rPr>
              <w:t xml:space="preserve">¿Cómo vivencian los firmantes del Acuerdo Final de Paz residentes en el ETCR Martín Villa (Arauquita, Arauca) la insuficiencia de las garantías de seguridad frente a la convergencia de actores armados no estatales, economías ilícitas y limitaciones institucionales en un territorio de frontera?</w:t>
            </w:r>
          </w:p>
        </w:tc>
      </w:tr>
      <w:tr>
        <w:tc>
          <w:tcPr>
            <w:tcW w:type="dxa" w:w="2400"/>
            <w:shd w:fill="F2F2F2" w:color="auto" w:val="clear"/>
            <w:tcMar>
              <w:top w:type="dxa" w:w="80"/>
              <w:left w:type="dxa" w:w="100"/>
              <w:bottom w:type="dxa" w:w="80"/>
              <w:right w:type="dxa" w:w="100"/>
            </w:tcMar>
          </w:tcPr>
          <w:p>
            <w:r>
              <w:rPr>
                <w:b w:val="false"/>
                <w:bCs w:val="false"/>
                <w:sz w:val="20"/>
                <w:szCs w:val="20"/>
              </w:rPr>
              <w:t xml:space="preserve">Objetivo general</w:t>
            </w:r>
          </w:p>
        </w:tc>
        <w:tc>
          <w:tcPr>
            <w:tcW w:type="dxa" w:w="6950"/>
            <w:shd w:fill="F2F2F2" w:color="auto" w:val="clear"/>
            <w:tcMar>
              <w:top w:type="dxa" w:w="80"/>
              <w:left w:type="dxa" w:w="100"/>
              <w:bottom w:type="dxa" w:w="80"/>
              <w:right w:type="dxa" w:w="100"/>
            </w:tcMar>
          </w:tcPr>
          <w:p>
            <w:r>
              <w:rPr>
                <w:b w:val="false"/>
                <w:bCs w:val="false"/>
                <w:sz w:val="20"/>
                <w:szCs w:val="20"/>
              </w:rPr>
              <w:t xml:space="preserve">Analizar las condiciones de seguridad integral que vivencian los firmantes del Acuerdo Final de Paz residentes en el ETCR Martín Villa, a partir de sus experiencias, percepciones y estrategias de respuesta frente a las garantías de seguridad del Estado colombiano</w:t>
            </w:r>
          </w:p>
        </w:tc>
      </w:tr>
      <w:tr>
        <w:tc>
          <w:tcPr>
            <w:tcW w:type="dxa" w:w="2400"/>
            <w:shd w:fill="FFFFFF" w:color="auto" w:val="clear"/>
            <w:tcMar>
              <w:top w:type="dxa" w:w="80"/>
              <w:left w:type="dxa" w:w="100"/>
              <w:bottom w:type="dxa" w:w="80"/>
              <w:right w:type="dxa" w:w="100"/>
            </w:tcMar>
          </w:tcPr>
          <w:p>
            <w:r>
              <w:rPr>
                <w:b w:val="false"/>
                <w:bCs w:val="false"/>
                <w:sz w:val="20"/>
                <w:szCs w:val="20"/>
              </w:rPr>
              <w:t xml:space="preserve">OE1</w:t>
            </w:r>
          </w:p>
        </w:tc>
        <w:tc>
          <w:tcPr>
            <w:tcW w:type="dxa" w:w="6950"/>
            <w:shd w:fill="FFFFFF" w:color="auto" w:val="clear"/>
            <w:tcMar>
              <w:top w:type="dxa" w:w="80"/>
              <w:left w:type="dxa" w:w="100"/>
              <w:bottom w:type="dxa" w:w="80"/>
              <w:right w:type="dxa" w:w="100"/>
            </w:tcMar>
          </w:tcPr>
          <w:p>
            <w:r>
              <w:rPr>
                <w:b w:val="false"/>
                <w:bCs w:val="false"/>
                <w:sz w:val="20"/>
                <w:szCs w:val="20"/>
              </w:rPr>
              <w:t xml:space="preserve">Identificar las dimensiones de la seguridad integral (física, económica, alimentaria, comunitaria y política) que los firmantes perciben como garantizadas, insuficientes o ausentes</w:t>
            </w:r>
          </w:p>
        </w:tc>
      </w:tr>
      <w:tr>
        <w:tc>
          <w:tcPr>
            <w:tcW w:type="dxa" w:w="2400"/>
            <w:shd w:fill="F2F2F2" w:color="auto" w:val="clear"/>
            <w:tcMar>
              <w:top w:type="dxa" w:w="80"/>
              <w:left w:type="dxa" w:w="100"/>
              <w:bottom w:type="dxa" w:w="80"/>
              <w:right w:type="dxa" w:w="100"/>
            </w:tcMar>
          </w:tcPr>
          <w:p>
            <w:r>
              <w:rPr>
                <w:b w:val="false"/>
                <w:bCs w:val="false"/>
                <w:sz w:val="20"/>
                <w:szCs w:val="20"/>
              </w:rPr>
              <w:t xml:space="preserve">OE2</w:t>
            </w:r>
          </w:p>
        </w:tc>
        <w:tc>
          <w:tcPr>
            <w:tcW w:type="dxa" w:w="6950"/>
            <w:shd w:fill="F2F2F2" w:color="auto" w:val="clear"/>
            <w:tcMar>
              <w:top w:type="dxa" w:w="80"/>
              <w:left w:type="dxa" w:w="100"/>
              <w:bottom w:type="dxa" w:w="80"/>
              <w:right w:type="dxa" w:w="100"/>
            </w:tcMar>
          </w:tcPr>
          <w:p>
            <w:r>
              <w:rPr>
                <w:b w:val="false"/>
                <w:bCs w:val="false"/>
                <w:sz w:val="20"/>
                <w:szCs w:val="20"/>
              </w:rPr>
              <w:t xml:space="preserve">Analizar las brechas entre las garantías formales de seguridad (PESP) y la capacidad institucional del Estado frente a la experiencia vivida</w:t>
            </w:r>
          </w:p>
        </w:tc>
      </w:tr>
      <w:tr>
        <w:tc>
          <w:tcPr>
            <w:tcW w:type="dxa" w:w="2400"/>
            <w:shd w:fill="FFFFFF" w:color="auto" w:val="clear"/>
            <w:tcMar>
              <w:top w:type="dxa" w:w="80"/>
              <w:left w:type="dxa" w:w="100"/>
              <w:bottom w:type="dxa" w:w="80"/>
              <w:right w:type="dxa" w:w="100"/>
            </w:tcMar>
          </w:tcPr>
          <w:p>
            <w:r>
              <w:rPr>
                <w:b w:val="false"/>
                <w:bCs w:val="false"/>
                <w:sz w:val="20"/>
                <w:szCs w:val="20"/>
              </w:rPr>
              <w:t xml:space="preserve">OE3</w:t>
            </w:r>
          </w:p>
        </w:tc>
        <w:tc>
          <w:tcPr>
            <w:tcW w:type="dxa" w:w="6950"/>
            <w:shd w:fill="FFFFFF" w:color="auto" w:val="clear"/>
            <w:tcMar>
              <w:top w:type="dxa" w:w="80"/>
              <w:left w:type="dxa" w:w="100"/>
              <w:bottom w:type="dxa" w:w="80"/>
              <w:right w:type="dxa" w:w="100"/>
            </w:tcMar>
          </w:tcPr>
          <w:p>
            <w:r>
              <w:rPr>
                <w:b w:val="false"/>
                <w:bCs w:val="false"/>
                <w:sz w:val="20"/>
                <w:szCs w:val="20"/>
              </w:rPr>
              <w:t xml:space="preserve">Caracterizar las estrategias de agencia comunitaria que los firmantes despliegan para enfrentar las condiciones de inseguridad</w:t>
            </w:r>
          </w:p>
        </w:tc>
      </w:tr>
    </w:tbl>
    <w:p>
      <w:pPr>
        <w:spacing w:after="200"/>
      </w:pPr>
    </w:p>
    <w:p>
      <w:pPr>
        <w:pStyle w:val="Heading2"/>
        <w:spacing w:after="120" w:before="240"/>
      </w:pPr>
      <w:r>
        <w:t xml:space="preserve">2.2. Observaciones</w:t>
      </w:r>
    </w:p>
    <w:p>
      <w:pPr>
        <w:pStyle w:val="ListParagraph"/>
        <w:numPr>
          <w:ilvl w:val="0"/>
          <w:numId w:val="1"/>
        </w:numPr>
        <w:spacing w:after="100" w:line="276"/>
      </w:pPr>
      <w:r>
        <w:rPr>
          <w:b/>
          <w:bCs/>
        </w:rPr>
        <w:t xml:space="preserve">Error tipográfico en el título oficial. </w:t>
      </w:r>
      <w:r>
        <w:t xml:space="preserve">El título dice “Condiciones se seguridad integral...” en lugar de “Condiciones de seguridad integral...”. Aparece igual en las dos portadas (externa e interior). Es una corrección de prioridad máxima porque es el título formal del trabajo de grado.</w:t>
      </w:r>
    </w:p>
    <w:p>
      <w:pPr>
        <w:pStyle w:val="ListParagraph"/>
        <w:numPr>
          <w:ilvl w:val="0"/>
          <w:numId w:val="1"/>
        </w:numPr>
        <w:spacing w:after="100" w:line="276"/>
      </w:pPr>
      <w:r>
        <w:rPr>
          <w:b/>
          <w:bCs/>
        </w:rPr>
        <w:t xml:space="preserve">La pregunta no recoge explícitamente el tercer objetivo específico. </w:t>
      </w:r>
      <w:r>
        <w:t xml:space="preserve">La pregunta se centra en cómo los firmantes “vivencian la insuficiencia de las garantías” frente a actores armados, economías ilícitas y limitaciones institucionales; esto ancla bien los OE1 (dimensiones percibidas) y OE2 (brechas institucionales). Sin embargo, no menciona la dimensión de agencia o respuesta comunitaria, que sí aparece en el objetivo general (“estrategias de respuesta”) y que constituye el OE3 completo (“caracterizar las estrategias de agencia comunitaria”). Se recomienda ampliar la pregunta para incluir explícitamente esa dimensión, por ejemplo agregando “...y qué estrategias despliegan para afrontarla” al final de la pregunta actual.</w:t>
      </w:r>
    </w:p>
    <w:p>
      <w:pPr>
        <w:pStyle w:val="ListParagraph"/>
        <w:numPr>
          <w:ilvl w:val="0"/>
          <w:numId w:val="1"/>
        </w:numPr>
        <w:spacing w:after="100" w:line="276"/>
      </w:pPr>
      <w:r>
        <w:rPr>
          <w:b/>
          <w:bCs/>
        </w:rPr>
        <w:t xml:space="preserve">Taxonomía de seguridad integral incompleta frente al marco teórico. </w:t>
      </w:r>
      <w:r>
        <w:t xml:space="preserve">El marco teórico (numeral 2.3.1) presenta explícitamente los siete componentes de seguridad humana del PNUD (1994): económica, alimentaria, en salud, ambiental, personal, comunitaria y política. El OE1, en cambio, solo menciona cinco: física, económica, alimentaria, comunitaria y política —omite salud y ambiental, y usa “física” donde el PNUD usa “personal”—. Se sugiere justificar explícitamente por qué el estudio se enfoca en cinco de las siete dimensiones, o ajustar el objetivo para que sea trazable frente a la taxonomía ya adoptada en el marco teórico.</w:t>
      </w:r>
    </w:p>
    <w:p>
      <w:pPr>
        <w:pStyle w:val="ListParagraph"/>
        <w:numPr>
          <w:ilvl w:val="0"/>
          <w:numId w:val="1"/>
        </w:numPr>
        <w:spacing w:after="100" w:line="276"/>
      </w:pPr>
      <w:r>
        <w:rPr>
          <w:b/>
          <w:bCs/>
        </w:rPr>
        <w:t xml:space="preserve">Punto a favor: </w:t>
      </w:r>
      <w:r>
        <w:t xml:space="preserve">la pregunta de investigación está formulada como una sola pregunta clara y verificable (a diferencia de preguntas compuestas por múltiples relaciones), y el objetivo general es un calco directo de esa pregunta en modo infinitivo, que es la práctica correcta.</w:t>
      </w:r>
    </w:p>
    <w:p>
      <w:pPr>
        <w:pStyle w:val="ListParagraph"/>
        <w:numPr>
          <w:ilvl w:val="0"/>
          <w:numId w:val="1"/>
        </w:numPr>
        <w:spacing w:after="100" w:line="276"/>
      </w:pPr>
      <w:r>
        <w:rPr>
          <w:b/>
          <w:bCs/>
        </w:rPr>
        <w:t xml:space="preserve">Punto a favor: </w:t>
      </w:r>
      <w:r>
        <w:t xml:space="preserve">a diferencia de otros anteproyectos, este documento sí formaliza la nomenclatura OE1/OE2/OE3 desde la Tabla 6 (articulación conceptos-objetivos) y la Figura 4, lo que hace trazable cada referencia posterior a “OE1”, “OE2” u “OE3” en el resto del documento.</w:t>
      </w:r>
    </w:p>
    <w:p>
      <w:pPr>
        <w:pStyle w:val="Heading1"/>
        <w:spacing w:after="150" w:before="300"/>
      </w:pPr>
      <w:r>
        <w:t xml:space="preserve">3. Revisión de forma (redacción y estructura del documento)</w:t>
      </w:r>
    </w:p>
    <w:p>
      <w:pPr>
        <w:pStyle w:val="ListParagraph"/>
        <w:numPr>
          <w:ilvl w:val="0"/>
          <w:numId w:val="1"/>
        </w:numPr>
        <w:spacing w:after="100" w:line="276"/>
      </w:pPr>
      <w:r>
        <w:rPr>
          <w:b/>
          <w:bCs/>
        </w:rPr>
        <w:t xml:space="preserve">Dos tablas de contenido contradictorias. </w:t>
      </w:r>
      <w:r>
        <w:t xml:space="preserve">El documento conserva dos bloques de “Contenido”/“Contenidos” consecutivos (líneas iniciales del archivo), con numeración de páginas distinta entre uno y otro (p. ej., el Capítulo 2 aparece en la página 24 en la primera tabla y en la página 12 en la segunda). La segunda tabla, además, conserva texto de plantilla sin editar: “Subtítulo nivel 2 (en esta plantilla se llama ‘Título 2’)”, y referencia un “Apéndice 1. Título de ese apéndice” que no corresponde a los Anexos 1-4 realmente incluidos en el documento. Debe eliminarse una de las dos tablas y regenerar la tabla de contenido automática de Word una vez cerrada la versión final.</w:t>
      </w:r>
    </w:p>
    <w:p>
      <w:pPr>
        <w:pStyle w:val="ListParagraph"/>
        <w:numPr>
          <w:ilvl w:val="0"/>
          <w:numId w:val="1"/>
        </w:numPr>
        <w:spacing w:after="100" w:line="276"/>
      </w:pPr>
      <w:r>
        <w:rPr>
          <w:b/>
          <w:bCs/>
        </w:rPr>
        <w:t xml:space="preserve">Notas de plantilla dejadas en el cuerpo del texto. </w:t>
      </w:r>
      <w:r>
        <w:t xml:space="preserve">El bloque “Tenga presente estas características de forma del documento” (tamaño de papel, alineación, espaciado, sangría, fuente, extensión) —que corresponde a instrucciones para los autores— quedó dentro de la Introducción y debe eliminarse antes de la entrega.</w:t>
      </w:r>
    </w:p>
    <w:p>
      <w:pPr>
        <w:pStyle w:val="ListParagraph"/>
        <w:numPr>
          <w:ilvl w:val="0"/>
          <w:numId w:val="1"/>
        </w:numPr>
        <w:spacing w:after="100" w:line="276"/>
      </w:pPr>
      <w:r>
        <w:rPr>
          <w:b/>
          <w:bCs/>
        </w:rPr>
        <w:t xml:space="preserve">Agradecimientos y Dedicatoria sin redactar. </w:t>
      </w:r>
      <w:r>
        <w:t xml:space="preserve">Ambas secciones contienen notas informales de los propios autores (“Podemos hacer YA los agradecimientos” / “PODEMOS HACER YA LA DEDICATORIA”) en lugar del contenido final. Conviene redactarlas cuanto antes para que no queden visibles en la versión que se entregue a evaluación.</w:t>
      </w:r>
    </w:p>
    <w:p>
      <w:pPr>
        <w:pStyle w:val="ListParagraph"/>
        <w:numPr>
          <w:ilvl w:val="0"/>
          <w:numId w:val="1"/>
        </w:numPr>
        <w:spacing w:after="100" w:line="276"/>
      </w:pPr>
      <w:r>
        <w:rPr>
          <w:b/>
          <w:bCs/>
        </w:rPr>
        <w:t xml:space="preserve">“Palabras claves”. </w:t>
      </w:r>
      <w:r>
        <w:t xml:space="preserve">Igual que en otros trabajos de la cohorte, la convención correcta en español es “Palabras clave” (sin pluralizar el adjetivo).</w:t>
      </w:r>
    </w:p>
    <w:p>
      <w:pPr>
        <w:pStyle w:val="ListParagraph"/>
        <w:numPr>
          <w:ilvl w:val="0"/>
          <w:numId w:val="1"/>
        </w:numPr>
        <w:spacing w:after="100" w:line="276"/>
      </w:pPr>
      <w:r>
        <w:rPr>
          <w:b/>
          <w:bCs/>
        </w:rPr>
        <w:t xml:space="preserve">Índices de tablas y figuras desactualizados. </w:t>
      </w:r>
      <w:r>
        <w:t xml:space="preserve">El “Índice de tablas” solo registra la Tabla 1, pero el documento contiene 6 tablas; el “Índice de figuras” registra 3 ilustraciones, pero el cuerpo del texto incluye una Figura 4 adicional (“Articulación de las tradiciones teóricas y los objetivos específicos”). Deben actualizarse ambos índices automáticos antes de la entrega.</w:t>
      </w:r>
    </w:p>
    <w:p>
      <w:pPr>
        <w:pStyle w:val="ListParagraph"/>
        <w:numPr>
          <w:ilvl w:val="0"/>
          <w:numId w:val="1"/>
        </w:numPr>
        <w:spacing w:after="100" w:line="276"/>
      </w:pPr>
      <w:r>
        <w:rPr>
          <w:b/>
          <w:bCs/>
        </w:rPr>
        <w:t xml:space="preserve">Inconsistencia menor de citación de apellidos compuestos. </w:t>
      </w:r>
      <w:r>
        <w:t xml:space="preserve">La referencia bibliográfica es “Marriner Castro, K. V. y Menjura, M. (2021)”, pero en el cuerpo del texto y en las tablas se cita solo como “Marriner y Menjura (2021)”, omitiendo “Castro”. Debe unificarse el apellido usado en las citas con el que aparece en la lista de Referencias.</w:t>
      </w:r>
    </w:p>
    <w:p>
      <w:pPr>
        <w:pStyle w:val="Heading1"/>
        <w:spacing w:after="150" w:before="300"/>
      </w:pPr>
      <w:r>
        <w:t xml:space="preserve">4. Revisión de fondo</w:t>
      </w:r>
    </w:p>
    <w:p>
      <w:pPr>
        <w:pStyle w:val="Heading2"/>
        <w:spacing w:after="120" w:before="240"/>
      </w:pPr>
      <w:r>
        <w:t xml:space="preserve">4.1. Fortalezas</w:t>
      </w:r>
    </w:p>
    <w:p>
      <w:pPr>
        <w:pStyle w:val="ListParagraph"/>
        <w:numPr>
          <w:ilvl w:val="0"/>
          <w:numId w:val="1"/>
        </w:numPr>
        <w:spacing w:after="100" w:line="276"/>
      </w:pPr>
      <w:r>
        <w:t xml:space="preserve">El uso del Diagrama de Vester para identificar la variable crítica del problema (E. Limitada capacidad institucional) aporta un sustento cuantitativo poco frecuente en el planteamiento del problema de este tipo de trabajos, y conecta de forma directa con el OE2.</w:t>
      </w:r>
    </w:p>
    <w:p>
      <w:pPr>
        <w:pStyle w:val="ListParagraph"/>
        <w:numPr>
          <w:ilvl w:val="0"/>
          <w:numId w:val="1"/>
        </w:numPr>
        <w:spacing w:after="100" w:line="276"/>
      </w:pPr>
      <w:r>
        <w:t xml:space="preserve">La verificación de afiliación institucional de las 20 fuentes principales (17 nacionales, 3 internacionales) y la trazabilidad de 96 documentos a 20 fuentes con un flujograma (Figura 1) son buenas prácticas de revisión sistemática.</w:t>
      </w:r>
    </w:p>
    <w:p>
      <w:pPr>
        <w:pStyle w:val="ListParagraph"/>
        <w:numPr>
          <w:ilvl w:val="0"/>
          <w:numId w:val="1"/>
        </w:numPr>
        <w:spacing w:after="100" w:line="276"/>
      </w:pPr>
      <w:r>
        <w:t xml:space="preserve">El marco contextual multivariado (Tabla 4) articula cuatro dimensiones —política-institucional, social-comunitaria, económico-territorial y cultural-histórica— y cierra con una síntesis integradora que conecta explícitamente las cuatro dimensiones entre sí, mostrando una arquitectura argumentativa más elaborada que la de un marco contextual puramente descriptivo.</w:t>
      </w:r>
    </w:p>
    <w:p>
      <w:pPr>
        <w:pStyle w:val="ListParagraph"/>
        <w:numPr>
          <w:ilvl w:val="0"/>
          <w:numId w:val="1"/>
        </w:numPr>
        <w:spacing w:after="100" w:line="276"/>
      </w:pPr>
      <w:r>
        <w:t xml:space="preserve">La Tabla 6 (articulación entre conceptos estructurantes y objetivos específicos) es una herramienta de trazabilidad ejemplar que facilita verificar, concepto por concepto, a qué objetivo aporta cada uno.</w:t>
      </w:r>
    </w:p>
    <w:p>
      <w:pPr>
        <w:pStyle w:val="Heading2"/>
        <w:spacing w:after="120" w:before="240"/>
      </w:pPr>
      <w:r>
        <w:t xml:space="preserve">4.2. Debilidades / vacíos</w:t>
      </w:r>
    </w:p>
    <w:p>
      <w:pPr>
        <w:pStyle w:val="ListParagraph"/>
        <w:numPr>
          <w:ilvl w:val="0"/>
          <w:numId w:val="1"/>
        </w:numPr>
        <w:spacing w:after="100" w:line="276"/>
      </w:pPr>
      <w:r>
        <w:rPr>
          <w:b/>
          <w:bCs/>
        </w:rPr>
        <w:t xml:space="preserve">Anuncio de “tres tradiciones teóricas” que no se refleja con claridad en la estructura del marco teórico-conceptual. </w:t>
      </w:r>
      <w:r>
        <w:t xml:space="preserve">El texto introductorio del marco teórico anuncia explícitamente tres tradiciones —seguridad humana, estudios de construcción de paz y sociología del conflicto— pero el desarrollo se organiza en cinco numerales (2.3.1 a 2.3.5): Seguridad Integral; Seguridad Ciudadana y Legitimidad Policial; Capacidad Institucional y Gobernanza; Procesos de Reincorporación; y Capital Social/Agencia Comunitaria/Resiliencia Territorial. No queda explícito en el texto cuál de los cinco numerales corresponde a cada una de las tres tradiciones anunciadas —en particular, “Seguridad Ciudadana y Legitimidad Policial” y “Capacidad Institucional y Gobernanza” no se anclan con claridad a ninguna de las tres—. Se recomienda incluir una frase de enlace al inicio de cada numeral que indique explícitamente a qué tradición pertenece, tal como sí se hace, por ejemplo, en la introducción general del capítulo.</w:t>
      </w:r>
    </w:p>
    <w:p>
      <w:pPr>
        <w:pStyle w:val="ListParagraph"/>
        <w:numPr>
          <w:ilvl w:val="0"/>
          <w:numId w:val="1"/>
        </w:numPr>
        <w:spacing w:after="100" w:line="276"/>
      </w:pPr>
      <w:r>
        <w:t xml:space="preserve">Todo el Capítulo 3 (paradigma, diseño, nivel, enfoque, método, participantes, estrategias metodológicas, procedimiento, manejo ético, tratamiento del dato) permanece como instrucciones de plantilla. Dado que el planteamiento del problema y el marco conceptual ya distinguen con claridad una dimensión objetiva (institucional, normativa) y una dimensión subjetiva (percepción, vivencia, agencia), este capítulo debería justificar por qué el enfoque metodológico elegido permite capturar ambas dimensiones (p. ej., un diseño mixto o cualitativo con triangulación de fuentes documentales y entrevistas o relatos de vida).</w:t>
      </w:r>
    </w:p>
    <w:p>
      <w:pPr>
        <w:pStyle w:val="ListParagraph"/>
        <w:numPr>
          <w:ilvl w:val="0"/>
          <w:numId w:val="1"/>
        </w:numPr>
        <w:spacing w:after="100" w:line="276"/>
      </w:pPr>
      <w:r>
        <w:t xml:space="preserve">Los Capítulos 4, 5 y 6 tampoco están desarrollados; solo contienen la guía de la plantilla.</w:t>
      </w:r>
    </w:p>
    <w:p>
      <w:pPr>
        <w:pStyle w:val="ListParagraph"/>
        <w:numPr>
          <w:ilvl w:val="0"/>
          <w:numId w:val="1"/>
        </w:numPr>
        <w:spacing w:after="100" w:line="276"/>
      </w:pPr>
      <w:r>
        <w:rPr>
          <w:b/>
          <w:bCs/>
        </w:rPr>
        <w:t xml:space="preserve">Ubicación temática discutible en Núcleo 3. </w:t>
      </w:r>
      <w:r>
        <w:t xml:space="preserve">En “Núcleos problémicos”, el Núcleo 3 (“Seguridad vivida y experiencia subjetiva de inseguridad”) incluye como uno de sus cinco autores al “Gobierno y las FARC (2016)”, citando que “establecieron en el Acuerdo Final las bases formales de estas garantías”. Este contenido es de naturaleza normativa/institucional y parece encajar mejor en el Núcleo 1 (“Capacidad institucional”) que en un núcleo definido explícitamente como de experiencia subjetiva. Vale la pena revisar la asignación.</w:t>
      </w:r>
    </w:p>
    <w:p>
      <w:pPr>
        <w:pStyle w:val="Heading1"/>
        <w:spacing w:after="150" w:before="300"/>
      </w:pPr>
      <w:r>
        <w:t xml:space="preserve">5. Verificación de citas y referencias bibliográficas</w:t>
      </w:r>
    </w:p>
    <w:p>
      <w:pPr>
        <w:spacing w:after="160" w:line="276"/>
      </w:pPr>
      <w:r>
        <w:t xml:space="preserve">Se contrastaron las citas en texto, notas al pie y tablas contra la lista de Referencias. En general el nivel de correspondencia es alto —la mayoría de los autores citados en antecedentes, marco contextual y marco legal tienen su entrada completa con DOI o URL—. Se identificaron los siguientes hallazgos puntuales:</w:t>
      </w:r>
    </w:p>
    <w:p>
      <w:pPr>
        <w:pStyle w:val="Heading2"/>
        <w:spacing w:after="120" w:before="240"/>
      </w:pPr>
      <w:r>
        <w:t xml:space="preserve">5.1. Citas sin entrada en la lista de Referencias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50"/>
      </w:tblGrid>
      <w:tr>
        <w:trPr>
          <w:tblHeader/>
        </w:trPr>
        <w:tc>
          <w:tcPr>
            <w:tcW w:type="dxa" w:w="2400"/>
            <w:shd w:fill="1F3864" w:color="auto" w:val="clear"/>
            <w:tcMar>
              <w:top w:type="dxa" w:w="80"/>
              <w:left w:type="dxa" w:w="100"/>
              <w:bottom w:type="dxa" w:w="80"/>
              <w:right w:type="dxa" w:w="100"/>
            </w:tcMar>
          </w:tcPr>
          <w:p>
            <w:r>
              <w:rPr>
                <w:b/>
                <w:bCs/>
                <w:sz w:val="20"/>
                <w:szCs w:val="20"/>
              </w:rPr>
              <w:t xml:space="preserve">Cita en el texto</w:t>
            </w:r>
          </w:p>
        </w:tc>
        <w:tc>
          <w:tcPr>
            <w:tcW w:type="dxa" w:w="3300"/>
            <w:shd w:fill="1F3864" w:color="auto" w:val="clear"/>
            <w:tcMar>
              <w:top w:type="dxa" w:w="80"/>
              <w:left w:type="dxa" w:w="100"/>
              <w:bottom w:type="dxa" w:w="80"/>
              <w:right w:type="dxa" w:w="100"/>
            </w:tcMar>
          </w:tcPr>
          <w:p>
            <w:r>
              <w:rPr>
                <w:b/>
                <w:bCs/>
                <w:sz w:val="20"/>
                <w:szCs w:val="20"/>
              </w:rPr>
              <w:t xml:space="preserve">Dónde aparece</w:t>
            </w:r>
          </w:p>
        </w:tc>
        <w:tc>
          <w:tcPr>
            <w:tcW w:type="dxa" w:w="3650"/>
            <w:shd w:fill="1F3864" w:color="auto" w:val="clear"/>
            <w:tcMar>
              <w:top w:type="dxa" w:w="80"/>
              <w:left w:type="dxa" w:w="100"/>
              <w:bottom w:type="dxa" w:w="80"/>
              <w:right w:type="dxa" w:w="100"/>
            </w:tcMar>
          </w:tcPr>
          <w:p>
            <w:r>
              <w:rPr>
                <w:b/>
                <w:bCs/>
                <w:sz w:val="20"/>
                <w:szCs w:val="20"/>
              </w:rPr>
              <w:t xml:space="preserve">Observación</w:t>
            </w:r>
          </w:p>
        </w:tc>
      </w:tr>
      <w:tr>
        <w:tc>
          <w:tcPr>
            <w:tcW w:type="dxa" w:w="2400"/>
            <w:shd w:fill="F2F2F2" w:color="auto" w:val="clear"/>
            <w:tcMar>
              <w:top w:type="dxa" w:w="80"/>
              <w:left w:type="dxa" w:w="100"/>
              <w:bottom w:type="dxa" w:w="80"/>
              <w:right w:type="dxa" w:w="100"/>
            </w:tcMar>
          </w:tcPr>
          <w:p>
            <w:r>
              <w:rPr>
                <w:b w:val="false"/>
                <w:bCs w:val="false"/>
                <w:sz w:val="20"/>
                <w:szCs w:val="20"/>
              </w:rPr>
              <w:t xml:space="preserve">Humphreys y Weinstein (2007)</w:t>
            </w:r>
          </w:p>
        </w:tc>
        <w:tc>
          <w:tcPr>
            <w:tcW w:type="dxa" w:w="3300"/>
            <w:shd w:fill="F2F2F2" w:color="auto" w:val="clear"/>
            <w:tcMar>
              <w:top w:type="dxa" w:w="80"/>
              <w:left w:type="dxa" w:w="100"/>
              <w:bottom w:type="dxa" w:w="80"/>
              <w:right w:type="dxa" w:w="100"/>
            </w:tcMar>
          </w:tcPr>
          <w:p>
            <w:r>
              <w:rPr>
                <w:b w:val="false"/>
                <w:bCs w:val="false"/>
                <w:sz w:val="20"/>
                <w:szCs w:val="20"/>
              </w:rPr>
              <w:t xml:space="preserve">Nota de la Tabla 6 (articulación conceptos-objetivos)</w:t>
            </w:r>
          </w:p>
        </w:tc>
        <w:tc>
          <w:tcPr>
            <w:tcW w:type="dxa" w:w="3650"/>
            <w:shd w:fill="F2F2F2" w:color="auto" w:val="clear"/>
            <w:tcMar>
              <w:top w:type="dxa" w:w="80"/>
              <w:left w:type="dxa" w:w="100"/>
              <w:bottom w:type="dxa" w:w="80"/>
              <w:right w:type="dxa" w:w="100"/>
            </w:tcMar>
          </w:tcPr>
          <w:p>
            <w:r>
              <w:rPr>
                <w:b w:val="false"/>
                <w:bCs w:val="false"/>
                <w:sz w:val="20"/>
                <w:szCs w:val="20"/>
              </w:rPr>
              <w:t xml:space="preserve">No tiene entrada en Referencias.</w:t>
            </w:r>
          </w:p>
        </w:tc>
      </w:tr>
      <w:tr>
        <w:tc>
          <w:tcPr>
            <w:tcW w:type="dxa" w:w="2400"/>
            <w:shd w:fill="FFFFFF" w:color="auto" w:val="clear"/>
            <w:tcMar>
              <w:top w:type="dxa" w:w="80"/>
              <w:left w:type="dxa" w:w="100"/>
              <w:bottom w:type="dxa" w:w="80"/>
              <w:right w:type="dxa" w:w="100"/>
            </w:tcMar>
          </w:tcPr>
          <w:p>
            <w:r>
              <w:rPr>
                <w:b w:val="false"/>
                <w:bCs w:val="false"/>
                <w:sz w:val="20"/>
                <w:szCs w:val="20"/>
              </w:rPr>
              <w:t xml:space="preserve">Decreto 299 de 2017</w:t>
            </w:r>
          </w:p>
        </w:tc>
        <w:tc>
          <w:tcPr>
            <w:tcW w:type="dxa" w:w="3300"/>
            <w:shd w:fill="FFFFFF" w:color="auto" w:val="clear"/>
            <w:tcMar>
              <w:top w:type="dxa" w:w="80"/>
              <w:left w:type="dxa" w:w="100"/>
              <w:bottom w:type="dxa" w:w="80"/>
              <w:right w:type="dxa" w:w="100"/>
            </w:tcMar>
          </w:tcPr>
          <w:p>
            <w:r>
              <w:rPr>
                <w:b w:val="false"/>
                <w:bCs w:val="false"/>
                <w:sz w:val="20"/>
                <w:szCs w:val="20"/>
              </w:rPr>
              <w:t xml:space="preserve">Nota al pie 4 (creación del SISEP)</w:t>
            </w:r>
          </w:p>
        </w:tc>
        <w:tc>
          <w:tcPr>
            <w:tcW w:type="dxa" w:w="3650"/>
            <w:shd w:fill="FFFFFF" w:color="auto" w:val="clear"/>
            <w:tcMar>
              <w:top w:type="dxa" w:w="80"/>
              <w:left w:type="dxa" w:w="100"/>
              <w:bottom w:type="dxa" w:w="80"/>
              <w:right w:type="dxa" w:w="100"/>
            </w:tcMar>
          </w:tcPr>
          <w:p>
            <w:r>
              <w:rPr>
                <w:b w:val="false"/>
                <w:bCs w:val="false"/>
                <w:sz w:val="20"/>
                <w:szCs w:val="20"/>
              </w:rPr>
              <w:t xml:space="preserve">Se menciona como la norma que crea el SISEP, pero no aparece en la lista de Referencias ni en la Tabla 5 (marco normativo).</w:t>
            </w:r>
          </w:p>
        </w:tc>
      </w:tr>
    </w:tbl>
    <w:p>
      <w:pPr>
        <w:spacing w:after="200"/>
      </w:pPr>
    </w:p>
    <w:p>
      <w:pPr>
        <w:pStyle w:val="Heading2"/>
        <w:spacing w:after="120" w:before="240"/>
      </w:pPr>
      <w:r>
        <w:t xml:space="preserve">5.2. Años citados en el texto que no coinciden con el año de la referencia listada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3950"/>
      </w:tblGrid>
      <w:tr>
        <w:trPr>
          <w:tblHeader/>
        </w:trPr>
        <w:tc>
          <w:tcPr>
            <w:tcW w:type="dxa" w:w="1600"/>
            <w:shd w:fill="1F3864" w:color="auto" w:val="clear"/>
            <w:tcMar>
              <w:top w:type="dxa" w:w="80"/>
              <w:left w:type="dxa" w:w="100"/>
              <w:bottom w:type="dxa" w:w="80"/>
              <w:right w:type="dxa" w:w="100"/>
            </w:tcMar>
          </w:tcPr>
          <w:p>
            <w:r>
              <w:rPr>
                <w:b/>
                <w:bCs/>
                <w:sz w:val="20"/>
                <w:szCs w:val="20"/>
              </w:rPr>
              <w:t xml:space="preserve">Autor</w:t>
            </w:r>
          </w:p>
        </w:tc>
        <w:tc>
          <w:tcPr>
            <w:tcW w:type="dxa" w:w="1900"/>
            <w:shd w:fill="1F3864" w:color="auto" w:val="clear"/>
            <w:tcMar>
              <w:top w:type="dxa" w:w="80"/>
              <w:left w:type="dxa" w:w="100"/>
              <w:bottom w:type="dxa" w:w="80"/>
              <w:right w:type="dxa" w:w="100"/>
            </w:tcMar>
          </w:tcPr>
          <w:p>
            <w:r>
              <w:rPr>
                <w:b/>
                <w:bCs/>
                <w:sz w:val="20"/>
                <w:szCs w:val="20"/>
              </w:rPr>
              <w:t xml:space="preserve">Años citados en el texto</w:t>
            </w:r>
          </w:p>
        </w:tc>
        <w:tc>
          <w:tcPr>
            <w:tcW w:type="dxa" w:w="1900"/>
            <w:shd w:fill="1F3864" w:color="auto" w:val="clear"/>
            <w:tcMar>
              <w:top w:type="dxa" w:w="80"/>
              <w:left w:type="dxa" w:w="100"/>
              <w:bottom w:type="dxa" w:w="80"/>
              <w:right w:type="dxa" w:w="100"/>
            </w:tcMar>
          </w:tcPr>
          <w:p>
            <w:r>
              <w:rPr>
                <w:b/>
                <w:bCs/>
                <w:sz w:val="20"/>
                <w:szCs w:val="20"/>
              </w:rPr>
              <w:t xml:space="preserve">Año(s) en Referencias</w:t>
            </w:r>
          </w:p>
        </w:tc>
        <w:tc>
          <w:tcPr>
            <w:tcW w:type="dxa" w:w="3950"/>
            <w:shd w:fill="1F3864" w:color="auto" w:val="clear"/>
            <w:tcMar>
              <w:top w:type="dxa" w:w="80"/>
              <w:left w:type="dxa" w:w="100"/>
              <w:bottom w:type="dxa" w:w="80"/>
              <w:right w:type="dxa" w:w="100"/>
            </w:tcMar>
          </w:tcPr>
          <w:p>
            <w:r>
              <w:rPr>
                <w:b/>
                <w:bCs/>
                <w:sz w:val="20"/>
                <w:szCs w:val="20"/>
              </w:rPr>
              <w:t xml:space="preserve">Observación</w:t>
            </w:r>
          </w:p>
        </w:tc>
      </w:tr>
      <w:tr>
        <w:tc>
          <w:tcPr>
            <w:tcW w:type="dxa" w:w="1600"/>
            <w:shd w:fill="F2F2F2" w:color="auto" w:val="clear"/>
            <w:tcMar>
              <w:top w:type="dxa" w:w="80"/>
              <w:left w:type="dxa" w:w="100"/>
              <w:bottom w:type="dxa" w:w="80"/>
              <w:right w:type="dxa" w:w="100"/>
            </w:tcMar>
          </w:tcPr>
          <w:p>
            <w:r>
              <w:rPr>
                <w:b w:val="false"/>
                <w:bCs w:val="false"/>
                <w:sz w:val="20"/>
                <w:szCs w:val="20"/>
              </w:rPr>
              <w:t xml:space="preserve">Robert Putnam</w:t>
            </w:r>
          </w:p>
        </w:tc>
        <w:tc>
          <w:tcPr>
            <w:tcW w:type="dxa" w:w="1900"/>
            <w:shd w:fill="F2F2F2" w:color="auto" w:val="clear"/>
            <w:tcMar>
              <w:top w:type="dxa" w:w="80"/>
              <w:left w:type="dxa" w:w="100"/>
              <w:bottom w:type="dxa" w:w="80"/>
              <w:right w:type="dxa" w:w="100"/>
            </w:tcMar>
          </w:tcPr>
          <w:p>
            <w:r>
              <w:rPr>
                <w:b w:val="false"/>
                <w:bCs w:val="false"/>
                <w:sz w:val="20"/>
                <w:szCs w:val="20"/>
              </w:rPr>
              <w:t xml:space="preserve">(1993, 2000)</w:t>
            </w:r>
          </w:p>
        </w:tc>
        <w:tc>
          <w:tcPr>
            <w:tcW w:type="dxa" w:w="1900"/>
            <w:shd w:fill="F2F2F2" w:color="auto" w:val="clear"/>
            <w:tcMar>
              <w:top w:type="dxa" w:w="80"/>
              <w:left w:type="dxa" w:w="100"/>
              <w:bottom w:type="dxa" w:w="80"/>
              <w:right w:type="dxa" w:w="100"/>
            </w:tcMar>
          </w:tcPr>
          <w:p>
            <w:r>
              <w:rPr>
                <w:b w:val="false"/>
                <w:bCs w:val="false"/>
                <w:sz w:val="20"/>
                <w:szCs w:val="20"/>
              </w:rPr>
              <w:t xml:space="preserve">Solo 1993</w:t>
            </w:r>
          </w:p>
        </w:tc>
        <w:tc>
          <w:tcPr>
            <w:tcW w:type="dxa" w:w="3950"/>
            <w:shd w:fill="F2F2F2" w:color="auto" w:val="clear"/>
            <w:tcMar>
              <w:top w:type="dxa" w:w="80"/>
              <w:left w:type="dxa" w:w="100"/>
              <w:bottom w:type="dxa" w:w="80"/>
              <w:right w:type="dxa" w:w="100"/>
            </w:tcMar>
          </w:tcPr>
          <w:p>
            <w:r>
              <w:rPr>
                <w:b w:val="false"/>
                <w:bCs w:val="false"/>
                <w:sz w:val="20"/>
                <w:szCs w:val="20"/>
              </w:rPr>
              <w:t xml:space="preserve">Falta agregar la obra de 2000 (usualmente “Bowling Alone”) o retirar la mención a 2000 si no se usó.</w:t>
            </w:r>
          </w:p>
        </w:tc>
      </w:tr>
      <w:tr>
        <w:tc>
          <w:tcPr>
            <w:tcW w:type="dxa" w:w="1600"/>
            <w:shd w:fill="FFFFFF" w:color="auto" w:val="clear"/>
            <w:tcMar>
              <w:top w:type="dxa" w:w="80"/>
              <w:left w:type="dxa" w:w="100"/>
              <w:bottom w:type="dxa" w:w="80"/>
              <w:right w:type="dxa" w:w="100"/>
            </w:tcMar>
          </w:tcPr>
          <w:p>
            <w:r>
              <w:rPr>
                <w:b w:val="false"/>
                <w:bCs w:val="false"/>
                <w:sz w:val="20"/>
                <w:szCs w:val="20"/>
              </w:rPr>
              <w:t xml:space="preserve">Lucía Dammert</w:t>
            </w:r>
          </w:p>
        </w:tc>
        <w:tc>
          <w:tcPr>
            <w:tcW w:type="dxa" w:w="1900"/>
            <w:shd w:fill="FFFFFF" w:color="auto" w:val="clear"/>
            <w:tcMar>
              <w:top w:type="dxa" w:w="80"/>
              <w:left w:type="dxa" w:w="100"/>
              <w:bottom w:type="dxa" w:w="80"/>
              <w:right w:type="dxa" w:w="100"/>
            </w:tcMar>
          </w:tcPr>
          <w:p>
            <w:r>
              <w:rPr>
                <w:b w:val="false"/>
                <w:bCs w:val="false"/>
                <w:sz w:val="20"/>
                <w:szCs w:val="20"/>
              </w:rPr>
              <w:t xml:space="preserve">(2005, 2012)</w:t>
            </w:r>
          </w:p>
        </w:tc>
        <w:tc>
          <w:tcPr>
            <w:tcW w:type="dxa" w:w="1900"/>
            <w:shd w:fill="FFFFFF" w:color="auto" w:val="clear"/>
            <w:tcMar>
              <w:top w:type="dxa" w:w="80"/>
              <w:left w:type="dxa" w:w="100"/>
              <w:bottom w:type="dxa" w:w="80"/>
              <w:right w:type="dxa" w:w="100"/>
            </w:tcMar>
          </w:tcPr>
          <w:p>
            <w:r>
              <w:rPr>
                <w:b w:val="false"/>
                <w:bCs w:val="false"/>
                <w:sz w:val="20"/>
                <w:szCs w:val="20"/>
              </w:rPr>
              <w:t xml:space="preserve">Solo 2012</w:t>
            </w:r>
          </w:p>
        </w:tc>
        <w:tc>
          <w:tcPr>
            <w:tcW w:type="dxa" w:w="3950"/>
            <w:shd w:fill="FFFFFF" w:color="auto" w:val="clear"/>
            <w:tcMar>
              <w:top w:type="dxa" w:w="80"/>
              <w:left w:type="dxa" w:w="100"/>
              <w:bottom w:type="dxa" w:w="80"/>
              <w:right w:type="dxa" w:w="100"/>
            </w:tcMar>
          </w:tcPr>
          <w:p>
            <w:r>
              <w:rPr>
                <w:b w:val="false"/>
                <w:bCs w:val="false"/>
                <w:sz w:val="20"/>
                <w:szCs w:val="20"/>
              </w:rPr>
              <w:t xml:space="preserve">Falta agregar la referencia de 2005 o retirar la mención.</w:t>
            </w:r>
          </w:p>
        </w:tc>
      </w:tr>
      <w:tr>
        <w:tc>
          <w:tcPr>
            <w:tcW w:type="dxa" w:w="1600"/>
            <w:shd w:fill="F2F2F2" w:color="auto" w:val="clear"/>
            <w:tcMar>
              <w:top w:type="dxa" w:w="80"/>
              <w:left w:type="dxa" w:w="100"/>
              <w:bottom w:type="dxa" w:w="80"/>
              <w:right w:type="dxa" w:w="100"/>
            </w:tcMar>
          </w:tcPr>
          <w:p>
            <w:r>
              <w:rPr>
                <w:b w:val="false"/>
                <w:bCs w:val="false"/>
                <w:sz w:val="20"/>
                <w:szCs w:val="20"/>
              </w:rPr>
              <w:t xml:space="preserve">Hugo Frühling</w:t>
            </w:r>
          </w:p>
        </w:tc>
        <w:tc>
          <w:tcPr>
            <w:tcW w:type="dxa" w:w="1900"/>
            <w:shd w:fill="F2F2F2" w:color="auto" w:val="clear"/>
            <w:tcMar>
              <w:top w:type="dxa" w:w="80"/>
              <w:left w:type="dxa" w:w="100"/>
              <w:bottom w:type="dxa" w:w="80"/>
              <w:right w:type="dxa" w:w="100"/>
            </w:tcMar>
          </w:tcPr>
          <w:p>
            <w:r>
              <w:rPr>
                <w:b w:val="false"/>
                <w:bCs w:val="false"/>
                <w:sz w:val="20"/>
                <w:szCs w:val="20"/>
              </w:rPr>
              <w:t xml:space="preserve">(2009, 2012)</w:t>
            </w:r>
          </w:p>
        </w:tc>
        <w:tc>
          <w:tcPr>
            <w:tcW w:type="dxa" w:w="1900"/>
            <w:shd w:fill="F2F2F2" w:color="auto" w:val="clear"/>
            <w:tcMar>
              <w:top w:type="dxa" w:w="80"/>
              <w:left w:type="dxa" w:w="100"/>
              <w:bottom w:type="dxa" w:w="80"/>
              <w:right w:type="dxa" w:w="100"/>
            </w:tcMar>
          </w:tcPr>
          <w:p>
            <w:r>
              <w:rPr>
                <w:b w:val="false"/>
                <w:bCs w:val="false"/>
                <w:sz w:val="20"/>
                <w:szCs w:val="20"/>
              </w:rPr>
              <w:t xml:space="preserve">Solo 2009</w:t>
            </w:r>
          </w:p>
        </w:tc>
        <w:tc>
          <w:tcPr>
            <w:tcW w:type="dxa" w:w="3950"/>
            <w:shd w:fill="F2F2F2" w:color="auto" w:val="clear"/>
            <w:tcMar>
              <w:top w:type="dxa" w:w="80"/>
              <w:left w:type="dxa" w:w="100"/>
              <w:bottom w:type="dxa" w:w="80"/>
              <w:right w:type="dxa" w:w="100"/>
            </w:tcMar>
          </w:tcPr>
          <w:p>
            <w:r>
              <w:rPr>
                <w:b w:val="false"/>
                <w:bCs w:val="false"/>
                <w:sz w:val="20"/>
                <w:szCs w:val="20"/>
              </w:rPr>
              <w:t xml:space="preserve">El numeral 2.4.11 vuelve a citar “Frühling, 2012”; falta agregar esa referencia de 2012.</w:t>
            </w:r>
          </w:p>
        </w:tc>
      </w:tr>
      <w:tr>
        <w:tc>
          <w:tcPr>
            <w:tcW w:type="dxa" w:w="1600"/>
            <w:shd w:fill="FFFFFF" w:color="auto" w:val="clear"/>
            <w:tcMar>
              <w:top w:type="dxa" w:w="80"/>
              <w:left w:type="dxa" w:w="100"/>
              <w:bottom w:type="dxa" w:w="80"/>
              <w:right w:type="dxa" w:w="100"/>
            </w:tcMar>
          </w:tcPr>
          <w:p>
            <w:r>
              <w:rPr>
                <w:b w:val="false"/>
                <w:bCs w:val="false"/>
                <w:sz w:val="20"/>
                <w:szCs w:val="20"/>
              </w:rPr>
              <w:t xml:space="preserve">Bozzano</w:t>
            </w:r>
          </w:p>
        </w:tc>
        <w:tc>
          <w:tcPr>
            <w:tcW w:type="dxa" w:w="1900"/>
            <w:shd w:fill="FFFFFF" w:color="auto" w:val="clear"/>
            <w:tcMar>
              <w:top w:type="dxa" w:w="80"/>
              <w:left w:type="dxa" w:w="100"/>
              <w:bottom w:type="dxa" w:w="80"/>
              <w:right w:type="dxa" w:w="100"/>
            </w:tcMar>
          </w:tcPr>
          <w:p>
            <w:r>
              <w:rPr>
                <w:b w:val="false"/>
                <w:bCs w:val="false"/>
                <w:sz w:val="20"/>
                <w:szCs w:val="20"/>
              </w:rPr>
              <w:t xml:space="preserve">(2017)</w:t>
            </w:r>
          </w:p>
        </w:tc>
        <w:tc>
          <w:tcPr>
            <w:tcW w:type="dxa" w:w="1900"/>
            <w:shd w:fill="FFFFFF" w:color="auto" w:val="clear"/>
            <w:tcMar>
              <w:top w:type="dxa" w:w="80"/>
              <w:left w:type="dxa" w:w="100"/>
              <w:bottom w:type="dxa" w:w="80"/>
              <w:right w:type="dxa" w:w="100"/>
            </w:tcMar>
          </w:tcPr>
          <w:p>
            <w:r>
              <w:rPr>
                <w:b w:val="false"/>
                <w:bCs w:val="false"/>
                <w:sz w:val="20"/>
                <w:szCs w:val="20"/>
              </w:rPr>
              <w:t xml:space="preserve">Bozzano, H. (2009)</w:t>
            </w:r>
          </w:p>
        </w:tc>
        <w:tc>
          <w:tcPr>
            <w:tcW w:type="dxa" w:w="3950"/>
            <w:shd w:fill="FFFFFF" w:color="auto" w:val="clear"/>
            <w:tcMar>
              <w:top w:type="dxa" w:w="80"/>
              <w:left w:type="dxa" w:w="100"/>
              <w:bottom w:type="dxa" w:w="80"/>
              <w:right w:type="dxa" w:w="100"/>
            </w:tcMar>
          </w:tcPr>
          <w:p>
            <w:r>
              <w:rPr>
                <w:b w:val="false"/>
                <w:bCs w:val="false"/>
                <w:sz w:val="20"/>
                <w:szCs w:val="20"/>
              </w:rPr>
              <w:t xml:space="preserve">El año citado en el cuerpo del texto (2017) no coincide con el año de la única entrada de Bozzano en Referencias (2009). Verificar cuál es el año correcto de la obra sobre resiliencia territorial.</w:t>
            </w:r>
          </w:p>
        </w:tc>
      </w:tr>
      <w:tr>
        <w:tc>
          <w:tcPr>
            <w:tcW w:type="dxa" w:w="1600"/>
            <w:shd w:fill="F2F2F2" w:color="auto" w:val="clear"/>
            <w:tcMar>
              <w:top w:type="dxa" w:w="80"/>
              <w:left w:type="dxa" w:w="100"/>
              <w:bottom w:type="dxa" w:w="80"/>
              <w:right w:type="dxa" w:w="100"/>
            </w:tcMar>
          </w:tcPr>
          <w:p>
            <w:r>
              <w:rPr>
                <w:b w:val="false"/>
                <w:bCs w:val="false"/>
                <w:sz w:val="20"/>
                <w:szCs w:val="20"/>
              </w:rPr>
              <w:t xml:space="preserve">Amartya Sen</w:t>
            </w:r>
          </w:p>
        </w:tc>
        <w:tc>
          <w:tcPr>
            <w:tcW w:type="dxa" w:w="1900"/>
            <w:shd w:fill="F2F2F2" w:color="auto" w:val="clear"/>
            <w:tcMar>
              <w:top w:type="dxa" w:w="80"/>
              <w:left w:type="dxa" w:w="100"/>
              <w:bottom w:type="dxa" w:w="80"/>
              <w:right w:type="dxa" w:w="100"/>
            </w:tcMar>
          </w:tcPr>
          <w:p>
            <w:r>
              <w:rPr>
                <w:b w:val="false"/>
                <w:bCs w:val="false"/>
                <w:sz w:val="20"/>
                <w:szCs w:val="20"/>
              </w:rPr>
              <w:t xml:space="preserve">(1999) en el cuerpo; (2000) en la nota al pie 10</w:t>
            </w:r>
          </w:p>
        </w:tc>
        <w:tc>
          <w:tcPr>
            <w:tcW w:type="dxa" w:w="1900"/>
            <w:shd w:fill="F2F2F2" w:color="auto" w:val="clear"/>
            <w:tcMar>
              <w:top w:type="dxa" w:w="80"/>
              <w:left w:type="dxa" w:w="100"/>
              <w:bottom w:type="dxa" w:w="80"/>
              <w:right w:type="dxa" w:w="100"/>
            </w:tcMar>
          </w:tcPr>
          <w:p>
            <w:r>
              <w:rPr>
                <w:b w:val="false"/>
                <w:bCs w:val="false"/>
                <w:sz w:val="20"/>
                <w:szCs w:val="20"/>
              </w:rPr>
              <w:t xml:space="preserve">Sen, A. (1999)</w:t>
            </w:r>
          </w:p>
        </w:tc>
        <w:tc>
          <w:tcPr>
            <w:tcW w:type="dxa" w:w="3950"/>
            <w:shd w:fill="F2F2F2" w:color="auto" w:val="clear"/>
            <w:tcMar>
              <w:top w:type="dxa" w:w="80"/>
              <w:left w:type="dxa" w:w="100"/>
              <w:bottom w:type="dxa" w:w="80"/>
              <w:right w:type="dxa" w:w="100"/>
            </w:tcMar>
          </w:tcPr>
          <w:p>
            <w:r>
              <w:rPr>
                <w:b w:val="false"/>
                <w:bCs w:val="false"/>
                <w:sz w:val="20"/>
                <w:szCs w:val="20"/>
              </w:rPr>
              <w:t xml:space="preserve">Unificar el año usado en las dos citas del mismo autor.</w:t>
            </w:r>
          </w:p>
        </w:tc>
      </w:tr>
    </w:tbl>
    <w:p>
      <w:pPr>
        <w:spacing w:after="200"/>
      </w:pPr>
    </w:p>
    <w:p>
      <w:pPr>
        <w:pStyle w:val="Heading2"/>
        <w:spacing w:after="120" w:before="240"/>
      </w:pPr>
      <w:r>
        <w:t xml:space="preserve">5.3. Otras observaciones sobre la lista de Referencias</w:t>
      </w:r>
    </w:p>
    <w:p>
      <w:pPr>
        <w:pStyle w:val="ListParagraph"/>
        <w:numPr>
          <w:ilvl w:val="0"/>
          <w:numId w:val="1"/>
        </w:numPr>
        <w:spacing w:after="100" w:line="276"/>
      </w:pPr>
      <w:r>
        <w:rPr>
          <w:b/>
          <w:bCs/>
        </w:rPr>
        <w:t xml:space="preserve">“ONU (2026)” no es recuperable alfabéticamente. </w:t>
      </w:r>
      <w:r>
        <w:t xml:space="preserve">El texto y la Tabla 2 citan la fuente 20 como “ONU (2026)”, pero en la lista de Referencias esa fuente está registrada bajo “Misión de Verificación de la ONU en Colombia. (2026)”, es decir, alfabetizada en la “M” y no en la “O”. Un lector que busque “ONU, 2026” en la bibliografía no la encontrará donde la esperaría. Se recomienda unificar: citar en el texto como “Misión de Verificación de la ONU en Colombia (2026)” o registrar la referencia como “ONU. (2026).”</w:t>
      </w:r>
    </w:p>
    <w:p>
      <w:pPr>
        <w:pStyle w:val="ListParagraph"/>
        <w:numPr>
          <w:ilvl w:val="0"/>
          <w:numId w:val="1"/>
        </w:numPr>
        <w:spacing w:after="100" w:line="276"/>
      </w:pPr>
      <w:r>
        <w:rPr>
          <w:b/>
          <w:bCs/>
        </w:rPr>
        <w:t xml:space="preserve">Posible duplicidad entre “UIAP (2024)” y “Resolución Conjunta n.° 0096 (2024)”. </w:t>
      </w:r>
      <w:r>
        <w:t xml:space="preserve">Ambas entradas de Referencias remiten al mismo instrumento (el PESP, adoptado mediante la Resolución Conjunta 0096 de 2024), una citada como documento institucional de la UIAP y otra como la resolución misma. Si se trata del mismo documento, conviene dejar una sola entrada y usar consistentemente el mismo autor-año en el cuerpo del texto y en la Tabla 5.</w:t>
      </w:r>
    </w:p>
    <w:p>
      <w:pPr>
        <w:pStyle w:val="Heading2"/>
        <w:spacing w:after="120" w:before="240"/>
      </w:pPr>
      <w:r>
        <w:t xml:space="preserve">5.4. Balance de esta sección</w:t>
      </w:r>
    </w:p>
    <w:p>
      <w:pPr>
        <w:spacing w:after="160" w:line="276"/>
      </w:pPr>
      <w:r>
        <w:t xml:space="preserve">El nivel de cuidado bibliográfico de este trabajo es notablemente superior al promedio: casi todas las referencias incluyen DOI o URL verificable, y solo se identificaron dos citas sin respaldo y cinco discrepancias de año entre texto y lista de Referencias, todas ellas correcciones puntuales y rápidas de resolver.</w:t>
      </w:r>
    </w:p>
    <w:p>
      <w:pPr>
        <w:pStyle w:val="Heading1"/>
        <w:spacing w:after="150" w:before="300"/>
      </w:pPr>
      <w:r>
        <w:t xml:space="preserve">6. Balance final y recomendaciones priorizadas</w:t>
      </w:r>
    </w:p>
    <w:p>
      <w:pPr>
        <w:pStyle w:val="Heading2"/>
        <w:spacing w:after="120" w:before="240"/>
      </w:pPr>
      <w:r>
        <w:t xml:space="preserve">6.1. Prioridad alta</w:t>
      </w:r>
    </w:p>
    <w:p>
      <w:pPr>
        <w:pStyle w:val="ListParagraph"/>
        <w:numPr>
          <w:ilvl w:val="0"/>
          <w:numId w:val="1"/>
        </w:numPr>
        <w:spacing w:after="100" w:line="276"/>
      </w:pPr>
      <w:r>
        <w:t xml:space="preserve">Corregir el título oficial (“Condiciones se seguridad” → “Condiciones de seguridad”) en ambas portadas.</w:t>
      </w:r>
    </w:p>
    <w:p>
      <w:pPr>
        <w:pStyle w:val="ListParagraph"/>
        <w:numPr>
          <w:ilvl w:val="0"/>
          <w:numId w:val="1"/>
        </w:numPr>
        <w:spacing w:after="100" w:line="276"/>
      </w:pPr>
      <w:r>
        <w:t xml:space="preserve">Eliminar una de las dos tablas de contenido y el texto de plantilla que quedó dentro de ella (“Subtítulo nivel 2...”), y regenerar el índice automático de Word.</w:t>
      </w:r>
    </w:p>
    <w:p>
      <w:pPr>
        <w:pStyle w:val="ListParagraph"/>
        <w:numPr>
          <w:ilvl w:val="0"/>
          <w:numId w:val="1"/>
        </w:numPr>
        <w:spacing w:after="100" w:line="276"/>
      </w:pPr>
      <w:r>
        <w:t xml:space="preserve">Ampliar la pregunta de investigación para que recoja explícitamente la dimensión de agencia/estrategias comunitarias (OE3), y revisar la taxonomía de “seguridad integral” del OE1 frente a los siete componentes del PNUD ya adoptados en el marco teórico.</w:t>
      </w:r>
    </w:p>
    <w:p>
      <w:pPr>
        <w:pStyle w:val="ListParagraph"/>
        <w:numPr>
          <w:ilvl w:val="0"/>
          <w:numId w:val="1"/>
        </w:numPr>
        <w:spacing w:after="100" w:line="276"/>
      </w:pPr>
      <w:r>
        <w:t xml:space="preserve">Resolver las cinco discrepancias de año autor-obra (Putnam, Dammert, Frühling, Bozzano, Sen) y agregar las dos referencias faltantes (Humphreys y Weinstein 2007; Decreto 299 de 2017).</w:t>
      </w:r>
    </w:p>
    <w:p>
      <w:pPr>
        <w:pStyle w:val="Heading2"/>
        <w:spacing w:after="120" w:before="240"/>
      </w:pPr>
      <w:r>
        <w:t xml:space="preserve">6.2. Prioridad media</w:t>
      </w:r>
    </w:p>
    <w:p>
      <w:pPr>
        <w:pStyle w:val="ListParagraph"/>
        <w:numPr>
          <w:ilvl w:val="0"/>
          <w:numId w:val="1"/>
        </w:numPr>
        <w:spacing w:after="100" w:line="276"/>
      </w:pPr>
      <w:r>
        <w:t xml:space="preserve">Desarrollar el Capítulo 3 (diseño metodológico), aprovechando que el planteamiento del problema ya distingue con claridad una dimensión objetiva/institucional y una subjetiva/vivida que el método debería explicitar cómo se va a capturar.</w:t>
      </w:r>
    </w:p>
    <w:p>
      <w:pPr>
        <w:pStyle w:val="ListParagraph"/>
        <w:numPr>
          <w:ilvl w:val="0"/>
          <w:numId w:val="1"/>
        </w:numPr>
        <w:spacing w:after="100" w:line="276"/>
      </w:pPr>
      <w:r>
        <w:t xml:space="preserve">Anclar explícitamente cada uno de los cinco numerales del marco teórico-conceptual (2.3.1 a 2.3.5) a una de las tres tradiciones anunciadas (seguridad humana, construcción de paz, sociología del conflicto).</w:t>
      </w:r>
    </w:p>
    <w:p>
      <w:pPr>
        <w:pStyle w:val="ListParagraph"/>
        <w:numPr>
          <w:ilvl w:val="0"/>
          <w:numId w:val="1"/>
        </w:numPr>
        <w:spacing w:after="100" w:line="276"/>
      </w:pPr>
      <w:r>
        <w:t xml:space="preserve">Revisar la ubicación de “Gobierno y FARC (2016)” dentro del Núcleo 3 de antecedentes.</w:t>
      </w:r>
    </w:p>
    <w:p>
      <w:pPr>
        <w:pStyle w:val="Heading2"/>
        <w:spacing w:after="120" w:before="240"/>
      </w:pPr>
      <w:r>
        <w:t xml:space="preserve">6.3. Prioridad baja</w:t>
      </w:r>
    </w:p>
    <w:p>
      <w:pPr>
        <w:pStyle w:val="ListParagraph"/>
        <w:numPr>
          <w:ilvl w:val="0"/>
          <w:numId w:val="1"/>
        </w:numPr>
        <w:spacing w:after="100" w:line="276"/>
      </w:pPr>
      <w:r>
        <w:t xml:space="preserve">Redactar Agradecimientos y Dedicatoria (actualmente son notas informales de los autores).</w:t>
      </w:r>
    </w:p>
    <w:p>
      <w:pPr>
        <w:pStyle w:val="ListParagraph"/>
        <w:numPr>
          <w:ilvl w:val="0"/>
          <w:numId w:val="1"/>
        </w:numPr>
        <w:spacing w:after="100" w:line="276"/>
      </w:pPr>
      <w:r>
        <w:t xml:space="preserve">Corregir “Palabras claves” por “Palabras clave”.</w:t>
      </w:r>
    </w:p>
    <w:p>
      <w:pPr>
        <w:pStyle w:val="ListParagraph"/>
        <w:numPr>
          <w:ilvl w:val="0"/>
          <w:numId w:val="1"/>
        </w:numPr>
        <w:spacing w:after="100" w:line="276"/>
      </w:pPr>
      <w:r>
        <w:t xml:space="preserve">Actualizar los índices de tablas y figuras para que reflejen las 6 tablas y 4 figuras/ilustraciones realmente incluidas.</w:t>
      </w:r>
    </w:p>
    <w:p>
      <w:pPr>
        <w:pStyle w:val="ListParagraph"/>
        <w:numPr>
          <w:ilvl w:val="0"/>
          <w:numId w:val="1"/>
        </w:numPr>
        <w:spacing w:after="100" w:line="276"/>
      </w:pPr>
      <w:r>
        <w:t xml:space="preserve">Unificar el apellido de citación de “Marriner Castro y Menjura (2021)” en todo el documento.</w:t>
      </w:r>
    </w:p>
    <w:p>
      <w:pPr>
        <w:spacing w:after="200"/>
      </w:pPr>
    </w:p>
    <w:p>
      <w:pPr>
        <w:spacing w:after="160" w:line="276"/>
      </w:pPr>
      <w:r>
        <w:rPr>
          <w:i/>
          <w:iCs/>
        </w:rPr>
        <w:t xml:space="preserve">Nota: como en la revisión anterior, este balance se concentra en los capítulos con contenido desarrollado (Introducción, Capítulo 1 y Capítulo 2). Se recomienda una segunda ronda de revisión una vez completado el diseño metodológico, para verificar que el método elegido responda efectivamente a la pregunta y a los tres objetivos específicos.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3864"/>
      <w:sz w:val="28"/>
      <w:szCs w:val="28"/>
    </w:rPr>
  </w:style>
  <w:style w:type="paragraph" w:styleId="Heading2">
    <w:name w:val="Heading 2"/>
    <w:basedOn w:val="Normal"/>
    <w:next w:val="Normal"/>
    <w:qFormat/>
    <w:pPr>
      <w:spacing w:after="120" w:before="240"/>
    </w:pPr>
    <w:rPr>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2026-07-04T21:08:58.093Z</dcterms:created>
  <dcterms:modified xsi:type="dcterms:W3CDTF">2026-07-04T21:08:58.105Z</dcterms:modified>
</cp:coreProperties>
</file>

<file path=docProps/custom.xml><?xml version="1.0" encoding="utf-8"?>
<Properties xmlns="http://schemas.openxmlformats.org/officeDocument/2006/custom-properties" xmlns:vt="http://schemas.openxmlformats.org/officeDocument/2006/docPropsVTypes"/>
</file>