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76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  <w:bookmarkStart w:id="0" w:name="_GoBack"/>
      <w:bookmarkStart w:id="1" w:name="_GoBack"/>
      <w:bookmarkEnd w:id="1"/>
    </w:p>
    <w:tbl>
      <w:tblPr>
        <w:tblStyle w:val="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433"/>
        <w:gridCol w:w="2108"/>
        <w:gridCol w:w="6529"/>
      </w:tblGrid>
      <w:tr>
        <w:trPr/>
        <w:tc>
          <w:tcPr>
            <w:tcW w:w="1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drawing>
                <wp:inline distT="0" distB="0" distL="0" distR="0">
                  <wp:extent cx="500380" cy="745490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Sede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Andina</w:t>
            </w:r>
          </w:p>
        </w:tc>
      </w:tr>
      <w:tr>
        <w:trPr/>
        <w:tc>
          <w:tcPr>
            <w:tcW w:w="1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Localidad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Bariloche</w:t>
            </w:r>
          </w:p>
        </w:tc>
      </w:tr>
      <w:tr>
        <w:trPr/>
        <w:tc>
          <w:tcPr>
            <w:tcW w:w="1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Escuela de Docencia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Producción, Tecnología y Medio Ambiente</w:t>
            </w:r>
          </w:p>
        </w:tc>
      </w:tr>
      <w:tr>
        <w:trPr/>
        <w:tc>
          <w:tcPr>
            <w:tcW w:w="14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Carrera</w:t>
            </w:r>
          </w:p>
        </w:tc>
        <w:tc>
          <w:tcPr>
            <w:tcW w:w="6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Profesorado de Nivel Medio y Superior en Física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0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041"/>
        <w:gridCol w:w="3993"/>
        <w:gridCol w:w="3997"/>
      </w:tblGrid>
      <w:tr>
        <w:trPr>
          <w:trHeight w:val="320" w:hRule="atLeast"/>
        </w:trPr>
        <w:tc>
          <w:tcPr>
            <w:tcW w:w="20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PROGRAMA ANALÍTICO DE</w:t>
            </w:r>
          </w:p>
        </w:tc>
        <w:tc>
          <w:tcPr>
            <w:tcW w:w="3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 xml:space="preserve">Física IIIB (Res. SEDEyVE 029/16) 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Código SIU-Guaraní</w:t>
            </w:r>
          </w:p>
        </w:tc>
      </w:tr>
      <w:tr>
        <w:trPr>
          <w:trHeight w:val="540" w:hRule="atLeast"/>
        </w:trPr>
        <w:tc>
          <w:tcPr>
            <w:tcW w:w="20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B5331 (y B5287)</w:t>
            </w:r>
          </w:p>
        </w:tc>
      </w:tr>
    </w:tbl>
    <w:tbl>
      <w:tblPr>
        <w:tblStyle w:val="a1"/>
        <w:tblW w:w="100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57"/>
        <w:gridCol w:w="2472"/>
        <w:gridCol w:w="109"/>
        <w:gridCol w:w="2367"/>
        <w:gridCol w:w="2"/>
        <w:gridCol w:w="296"/>
        <w:gridCol w:w="2180"/>
      </w:tblGrid>
      <w:tr>
        <w:trPr/>
        <w:tc>
          <w:tcPr>
            <w:tcW w:w="2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Correlativas según plan de estudios</w:t>
            </w:r>
          </w:p>
        </w:tc>
        <w:tc>
          <w:tcPr>
            <w:tcW w:w="49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Para Cursar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Para Aprobar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Cursada Aprobada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Materia Aprobada</w:t>
            </w: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Materia Aprobada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/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Física IB y Física IIA y Matemática IB y Química General</w:t>
            </w:r>
          </w:p>
        </w:tc>
        <w:tc>
          <w:tcPr>
            <w:tcW w:w="24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</w:tc>
        <w:tc>
          <w:tcPr>
            <w:tcW w:w="2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Física IB y Física IIA y Matemática IB y Química General</w:t>
            </w:r>
          </w:p>
        </w:tc>
      </w:tr>
      <w:tr>
        <w:trPr/>
        <w:tc>
          <w:tcPr>
            <w:tcW w:w="26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Ciclo Lectivo</w:t>
            </w:r>
          </w:p>
        </w:tc>
        <w:tc>
          <w:tcPr>
            <w:tcW w:w="25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2021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Régimen de cursada</w:t>
            </w:r>
          </w:p>
        </w:tc>
      </w:tr>
      <w:tr>
        <w:trPr/>
        <w:tc>
          <w:tcPr>
            <w:tcW w:w="26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cuatrimestral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1° cuatrimestre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Carga horaria Semanal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5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Carga horaria total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80</w:t>
            </w:r>
          </w:p>
        </w:tc>
      </w:tr>
      <w:tr>
        <w:trPr>
          <w:trHeight w:val="400" w:hRule="atLeast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Horas Teóricas Totales</w:t>
            </w:r>
          </w:p>
        </w:tc>
        <w:tc>
          <w:tcPr>
            <w:tcW w:w="2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/>
              <w:t>No corresponde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Horas Prácticas Totales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No corresponde</w:t>
            </w:r>
          </w:p>
        </w:tc>
      </w:tr>
      <w:tr>
        <w:trPr>
          <w:trHeight w:val="980" w:hRule="atLeast"/>
        </w:trPr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  <w:shd w:fill="F2DCDB" w:val="clear"/>
              </w:rPr>
              <w:t>Horas de estudio extra clase recomendada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3 semanales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</w:rPr>
              <w:t>Día/s y horario/s de cursado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/>
              <w:t xml:space="preserve">Martes 20 :00a 23:00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Jueves 18:00 a 20:00</w:t>
            </w:r>
          </w:p>
        </w:tc>
      </w:tr>
      <w:tr>
        <w:trPr/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/>
              </w:rPr>
              <w:t>Día/s y horario/s de Tutorías/Consultas</w:t>
            </w:r>
          </w:p>
        </w:tc>
        <w:tc>
          <w:tcPr>
            <w:tcW w:w="7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Miércoles 16 a 20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2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687"/>
        <w:gridCol w:w="7382"/>
      </w:tblGrid>
      <w:tr>
        <w:trPr/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b/>
              </w:rPr>
              <w:t>Profesor/a a cargo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Hernán Gonzalo ASOREY</w:t>
            </w:r>
          </w:p>
        </w:tc>
      </w:tr>
      <w:tr>
        <w:trPr/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b/>
              </w:rPr>
              <w:t>Equipo de docencia</w:t>
            </w:r>
          </w:p>
        </w:tc>
        <w:tc>
          <w:tcPr>
            <w:tcW w:w="7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Miguel Angel Calderón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3"/>
        <w:tblW w:w="10110" w:type="dxa"/>
        <w:jc w:val="left"/>
        <w:tblInd w:w="-5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110"/>
      </w:tblGrid>
      <w:tr>
        <w:trPr>
          <w:trHeight w:val="340" w:hRule="atLeast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Fundamentación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Representa un intento por exponer aspectos relacionados con la termodinámica clásica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 xml:space="preserve">con el objeto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de brindar a los futuros docentes conocimientos y herramientas que les permitan abordar en la escuela media temas relacionados.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 xml:space="preserve">Es por ello que hemos estructurado las primeras tres unidades en torno a los principios de la termodinámica, con los siguientes contenidos: introducción a la termodinámica. Ideas alternativas en la termodinámica. El calor como transferencia de energía. El experimento de Joule. Modelo cinético. Temperatura, calor y energía interna. Teoría cinética. Energía interna de un gas ideal. Calor específico. Calorimetría. Calor latente o cómo enfriar una bebida. Conducción, convección y radiación. 1o Ley de la termodinámica. Metabolismo humano. La 2o Ley de la termodinámica. Máquinas térmicas y refrigeradores. Entropía y la 2o Ley. Disponibilidad de energía. Muerte térmica. Interpretación estadística de la entropía y de la 2o ley. Fuentes de energía. Contaminación térmica. Potenciales termodinámicos. Luego, </w:t>
            </w:r>
            <w:r>
              <w:rPr>
                <w:rFonts w:eastAsia="Arial" w:cs="Arial" w:ascii="Arial" w:hAnsi="Arial"/>
                <w:color w:val="auto"/>
                <w:kern w:val="0"/>
                <w:sz w:val="20"/>
                <w:szCs w:val="20"/>
                <w:lang w:val="es-AR" w:eastAsia="es-AR" w:bidi="ar-SA"/>
              </w:rPr>
              <w:t xml:space="preserve">en </w:t>
            </w:r>
            <w:r>
              <w:rPr>
                <w:rFonts w:eastAsia="Arial" w:cs="Arial" w:ascii="Arial" w:hAnsi="Arial"/>
                <w:color w:val="000000"/>
                <w:kern w:val="0"/>
                <w:sz w:val="20"/>
                <w:szCs w:val="20"/>
                <w:lang w:val="es-AR" w:eastAsia="es-AR" w:bidi="ar-SA"/>
              </w:rPr>
              <w:t>la última unidad se orienta a dos aplicaciones centrales hoy en día: la optimización en el uso de la energía mediante una comprensión detallada de la aislación de calor en hogares en nuestro entorno patagónico; y la relación entre el consumo de energía, el efecto invernadero y el cambio climático.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4"/>
        <w:tblW w:w="10110" w:type="dxa"/>
        <w:jc w:val="left"/>
        <w:tblInd w:w="-50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110"/>
      </w:tblGrid>
      <w:tr>
        <w:trPr>
          <w:trHeight w:val="340" w:hRule="atLeast"/>
        </w:trPr>
        <w:tc>
          <w:tcPr>
            <w:tcW w:w="10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Propósitos de la asignatura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Construir un marco de trabajo conceptual sobre la termodinámica en general; los principios y leyes que regulan los mecanismos de transferencia de calor; y la importancia y problemas asociados a la termodinámica en la actualidad.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5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jc w:val="both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Contenidos Mínimos según plan de estudios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Termodinámica: introducción. Ideas alternativas en la termodinámica. El calor como transferencia de energía. El experimento de Joule. Modelo cinético. Temperatura, calor y energía interna. Teoría cinética. Energía interna de un gas ideal. Calor específico. Calorimetría. Calor latente o cómo enfriar una bebida. Conducción, convección y radiación. 1o Ley de la termodinámica. Metabolismo humano. La 2o Ley de la termodinámica. Máquinas térmicas y refrigeradores. Entropía y la 2o Ley. Disponibilidad de energía. Muerte térmica. Interpretación estadística de la entropía y de la 2o ley. Fuentes de energía. Contaminación térmica. Potenciales termodinámicos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6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Propuesta Metodológica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i w:val="false"/>
                <w:i w:val="false"/>
                <w:iCs w:val="false"/>
              </w:rPr>
            </w:pPr>
            <w:r>
              <w:rPr>
                <w:rFonts w:eastAsia="Arial" w:cs="Arial" w:ascii="Arial" w:hAnsi="Arial"/>
                <w:i w:val="false"/>
                <w:iCs w:val="false"/>
                <w:sz w:val="20"/>
                <w:szCs w:val="20"/>
              </w:rPr>
              <w:t>Las clases serán interactivas, con amplio espacio para la discusión de los conceptos claves de la materia. Se realizarán demostraciones y prácticas de laboratorio con los equipos disponibles y con elementos de bajo costo. En todos los casos se abordará la problemática planteada desde un modelo constructivista.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  <w:highlight w:val="red"/>
              </w:rPr>
            </w:pPr>
            <w:r>
              <w:rPr>
                <w:b/>
                <w:highlight w:val="red"/>
              </w:rPr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color="auto" w:fill="F2DCDB" w:val="clear"/>
          </w:tcPr>
          <w:p>
            <w:pPr>
              <w:pStyle w:val="Normal"/>
              <w:widowControl w:val="false"/>
              <w:tabs>
                <w:tab w:val="clear" w:pos="720"/>
                <w:tab w:val="left" w:pos="7525" w:leader="none"/>
              </w:tabs>
              <w:spacing w:before="0" w:after="160"/>
              <w:ind w:right="441" w:hanging="0"/>
              <w:rPr>
                <w:b/>
                <w:b/>
              </w:rPr>
            </w:pPr>
            <w:r>
              <w:rPr>
                <w:b/>
                <w:shd w:fill="F2DCDB" w:val="clear"/>
              </w:rPr>
              <w:t>Cronograma de Actividades Teóricas, Prácticas, Salidas de Campo, etc.</w:t>
            </w:r>
            <w:r>
              <w:rPr>
                <w:b/>
              </w:rPr>
              <w:tab/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Cada unidad será acompañada por una práctica consistente en una guía de ejercicios, de entrega obligatoria, y una demostración y/o experiencia de laboratorio. No se preveen salidas de campo.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  <w:shd w:fill="F2DCDB" w:val="clear"/>
              </w:rPr>
              <w:t xml:space="preserve">¿Requiere extensión áulica?  - modalidad virtual-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rFonts w:ascii="Arial" w:hAnsi="Arial" w:eastAsia="Arial" w:cs="Arial"/>
                <w:b w:val="false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sz w:val="20"/>
                <w:szCs w:val="20"/>
              </w:rPr>
              <w:t>No requiere.</w:t>
            </w:r>
          </w:p>
        </w:tc>
      </w:tr>
      <w:tr>
        <w:trPr/>
        <w:tc>
          <w:tcPr>
            <w:tcW w:w="10070" w:type="dxa"/>
            <w:tcBorders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  <w:highlight w:val="red"/>
              </w:rPr>
            </w:pPr>
            <w:r>
              <w:rPr>
                <w:b/>
                <w:highlight w:val="red"/>
              </w:rPr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hd w:val="clear" w:color="auto" w:fill="F2DCDB"/>
              <w:ind w:right="441" w:hanging="0"/>
              <w:rPr/>
            </w:pPr>
            <w:r>
              <w:rPr>
                <w:b/>
              </w:rPr>
              <w:t>Ajustes para estudiantes con discapacidad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Según el caso.</w:t>
            </w:r>
          </w:p>
        </w:tc>
      </w:tr>
    </w:tbl>
    <w:p>
      <w:pPr>
        <w:pStyle w:val="Normal"/>
        <w:ind w:right="441" w:hanging="0"/>
        <w:rPr/>
      </w:pPr>
      <w:r>
        <w:rPr/>
      </w:r>
    </w:p>
    <w:tbl>
      <w:tblPr>
        <w:tblStyle w:val="a7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 xml:space="preserve">Unidad 1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El calor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/>
              <w:t>Semana 1, 2 y 3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El calor. Gases ideales y reales. Energía interna. Calorimetría. Calor específico. Teoría cinética de los gases. Temperatura: concepto macroscópico y microscópico. Cambios de fase y calor latente. 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8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 xml:space="preserve">Unidad 2 </w:t>
            </w:r>
          </w:p>
          <w:p>
            <w:pPr>
              <w:pStyle w:val="Normal"/>
              <w:widowControl w:val="false"/>
              <w:shd w:val="clear" w:color="auto" w:fill="FCEBE0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Primer principio de la termodinámica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4, 5, 6 y 7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Calor y trabajo. Equivalente mecánico del calor. Experimento de Joule. Sistemas. Fuentes de calor. Potenciales termodinámicos. Primer principio. Flujo de calor. Muerte térmica. Máquinas térmicas.</w:t>
            </w:r>
          </w:p>
          <w:p>
            <w:pPr>
              <w:pStyle w:val="Normal"/>
              <w:widowControl w:val="false"/>
              <w:ind w:right="441" w:hanging="0"/>
              <w:rPr>
                <w:b/>
                <w:b/>
              </w:rPr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 xml:space="preserve">Unidad 3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Segundo Principio de la Termodinámica 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>
                <w:b/>
                <w:b/>
              </w:rPr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7, 8, 9, 10 y 11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Ciclos termodinámicos. Ciclo de Carnot. Eficiencia de una máquina térmica. Segundo principio de la termodinámica. Postulados. Móviles perpetuos. Entropía. Interpretación micro y macroscópica de la entropía. La flecha temporal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>
                <w:b/>
                <w:b/>
              </w:rPr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9"/>
        <w:tblW w:w="100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508"/>
        <w:gridCol w:w="6522"/>
      </w:tblGrid>
      <w:tr>
        <w:trPr>
          <w:trHeight w:val="940" w:hRule="atLeast"/>
        </w:trPr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 xml:space="preserve">Unidad 4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Aplicaciones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CEBE0" w:val="clear"/>
          </w:tcPr>
          <w:p>
            <w:pPr>
              <w:pStyle w:val="Normal"/>
              <w:widowControl w:val="false"/>
              <w:shd w:val="clear" w:color="auto" w:fill="FCEBE0"/>
              <w:ind w:right="441" w:hanging="0"/>
              <w:rPr/>
            </w:pPr>
            <w:r>
              <w:rPr>
                <w:b/>
              </w:rPr>
              <w:t>Fecha Probable de Inicio y Finalización</w:t>
            </w:r>
          </w:p>
          <w:p>
            <w:pPr>
              <w:pStyle w:val="Normal"/>
              <w:widowControl w:val="false"/>
              <w:shd w:val="clear" w:color="auto" w:fill="FCEBE0"/>
              <w:tabs>
                <w:tab w:val="clear" w:pos="720"/>
                <w:tab w:val="left" w:pos="883" w:leader="none"/>
                <w:tab w:val="left" w:pos="1335" w:leader="none"/>
              </w:tabs>
              <w:spacing w:before="0" w:after="160"/>
              <w:ind w:right="441" w:hanging="0"/>
              <w:rPr/>
            </w:pPr>
            <w:r>
              <w:rPr/>
              <w:t>Semana 12, 13, 14, 15 y 16</w:t>
            </w:r>
          </w:p>
        </w:tc>
      </w:tr>
      <w:tr>
        <w:trPr>
          <w:trHeight w:val="1020" w:hRule="atLeast"/>
        </w:trPr>
        <w:tc>
          <w:tcPr>
            <w:tcW w:w="10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Contenidos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ind w:right="441" w:hanging="0"/>
              <w:rPr>
                <w:b w:val="false"/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Transferencia de calor: radiación, conducción y convección. Ley de Newton. Conductores y aislantes del calor. Ley de Fourier. Aplicaciones hogareñas. Termodinámica de la vida. Energía y humanidad. Calentamiento global.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Actividades Prácticas de la Unidad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Una (1 ) guía de problemas y una (1) experiencia de laboratorio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1- Física, Resnick, Halliday y Krane 2- Física, Douglas Giancoli 3 - Física, Sears y Zemansky 6- Física re-creativa, Salvador Gil y Eduardo Rodríguez.</w:t>
            </w:r>
          </w:p>
          <w:p>
            <w:pPr>
              <w:pStyle w:val="Normal"/>
              <w:widowControl w:val="false"/>
              <w:ind w:right="441" w:hanging="0"/>
              <w:rPr/>
            </w:pPr>
            <w:r>
              <w:rPr>
                <w:b/>
              </w:rPr>
              <w:t>Bibliografía Complementaria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>
                <w:b w:val="false"/>
                <w:bCs w:val="false"/>
              </w:rPr>
              <w:t>Michael J. Moran y Howard N. Shapiro, "Fundamentos de Termodinámica Técnica", 2da Edición</w:t>
            </w:r>
          </w:p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Tablaconcuadrcula"/>
        <w:tblW w:w="10070" w:type="dxa"/>
        <w:jc w:val="left"/>
        <w:tblInd w:w="-113" w:type="dxa"/>
        <w:tblLayout w:type="fixed"/>
        <w:tblCellMar>
          <w:top w:w="0" w:type="dxa"/>
          <w:left w:w="10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70"/>
      </w:tblGrid>
      <w:tr>
        <w:trPr>
          <w:trHeight w:val="841" w:hRule="atLeast"/>
        </w:trPr>
        <w:tc>
          <w:tcPr>
            <w:tcW w:w="10070" w:type="dxa"/>
            <w:tcBorders/>
            <w:shd w:fill="auto" w:val="clear"/>
          </w:tcPr>
          <w:p>
            <w:pPr>
              <w:pStyle w:val="Normal"/>
              <w:widowControl w:val="false"/>
              <w:shd w:val="clear" w:color="auto" w:fill="FBE4D5" w:themeFill="accent2" w:themeFillTint="33"/>
              <w:spacing w:lineRule="auto" w:line="240" w:before="0" w:after="0"/>
              <w:ind w:right="441" w:hanging="0"/>
              <w:rPr/>
            </w:pPr>
            <w:r>
              <w:rPr>
                <w:b/>
              </w:rPr>
              <w:t>P</w:t>
            </w:r>
            <w:r>
              <w:rPr>
                <w:b/>
                <w:shd w:fill="FBE4D5" w:val="clear"/>
              </w:rPr>
              <w:t>ropuesta de evaluación</w:t>
            </w:r>
          </w:p>
          <w:sdt>
            <w:sdtPr>
              <w:text/>
              <w:id w:val="2033871297"/>
            </w:sdtPr>
            <w:sdtContent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Evaluación continua, con un parcial práctico al final de cada unidad</w:t>
                </w:r>
              </w:p>
            </w:sdtContent>
          </w:sdt>
          <w:p>
            <w:pPr>
              <w:pStyle w:val="Normal"/>
              <w:widowControl w:val="false"/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/>
            </w:pPr>
            <w:sdt>
              <w:sdtPr>
                <w:id w:val="672499055"/>
              </w:sdtPr>
              <w:sdtContent>
                <w:r>
                  <w:rPr>
                    <w:b/>
                    <w:shd w:fill="FBE4D5" w:val="clear"/>
                  </w:rPr>
                  <w:t>Asignatura posible de ser promocionada sin examen final</w:t>
                </w:r>
              </w:sdtContent>
            </w:sdt>
            <w:r>
              <w:rPr>
                <w:b/>
              </w:rPr>
              <w:tab/>
            </w:r>
            <w:r>
              <w:rPr>
                <w:b/>
              </w:rPr>
              <w:t>Si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BE4D5" w:themeFill="accent2" w:themeFillTint="33"/>
              <w:tabs>
                <w:tab w:val="clear" w:pos="720"/>
                <w:tab w:val="left" w:pos="5783" w:leader="none"/>
                <w:tab w:val="left" w:pos="8895" w:leader="none"/>
              </w:tabs>
              <w:spacing w:lineRule="auto" w:line="240" w:before="0" w:after="0"/>
              <w:ind w:right="441" w:hanging="0"/>
              <w:rPr/>
            </w:pPr>
            <w:sdt>
              <w:sdtPr>
                <w:id w:val="177698351"/>
              </w:sdtPr>
              <w:sdtContent>
                <w:r>
                  <w:rPr>
                    <w:b/>
                  </w:rPr>
                  <w:t>Características del Sistema de Promoción</w:t>
                </w:r>
              </w:sdtContent>
            </w:sdt>
          </w:p>
          <w:p>
            <w:pPr>
              <w:pStyle w:val="Normal"/>
              <w:widowControl w:val="false"/>
              <w:spacing w:lineRule="auto" w:line="240" w:before="0" w:after="0"/>
              <w:ind w:right="441" w:hanging="0"/>
              <w:rPr/>
            </w:pPr>
            <w:r>
              <w:rPr>
                <w:rStyle w:val="PlaceholderText"/>
              </w:rPr>
              <w:t xml:space="preserve">El estudiante debe obtener 8 puntos o más en cada una de las instancias evaluativas en primera instancia. Para acceder a la promoción se requiere tener el 75% de asistencia a las clases teórico-prácticas y entregar los trabajos prácticos en tiempo y forma.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441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hd w:val="clear" w:color="auto" w:fill="FCEBE0"/>
              <w:spacing w:lineRule="auto" w:line="240" w:before="0" w:after="0"/>
              <w:ind w:right="441" w:hanging="0"/>
              <w:rPr/>
            </w:pPr>
            <w:r>
              <w:rPr>
                <w:b/>
              </w:rPr>
              <w:t>Requisitos de acreditación</w:t>
            </w:r>
          </w:p>
          <w:sdt>
            <w:sdtPr>
              <w:text/>
              <w:id w:val="524870762"/>
            </w:sdtPr>
            <w:sdtContent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Esta asignatura prevé tres tipos de acreditación: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 xml:space="preserve">- Acreditación sin examen final (promoción): El mismo dependerá de que </w:t>
                </w:r>
                <w:bookmarkStart w:id="2" w:name="__DdeLink__326_1980106093"/>
                <w:r>
                  <w:rPr>
                    <w:rStyle w:val="PlaceholderText"/>
                  </w:rPr>
                  <w:t>el estudiante obtenga 8 puntos o más en cada una de las instancias evaluativas en primera instancia. Para acceder a la promoción se requiere tener el 75% de asistencia a las clases teórico – prácticas y entregar los trabajos prácticos en tiempo y forma.</w:t>
                </w:r>
                <w:bookmarkEnd w:id="2"/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- Acreditación con examen final regular. El mismo será una instancia integradora de los contenidos trabajados durante la cursada. Para acceder a este se deberán tener regularizados los trabajos prácticos y tener el 75% de asistencia a las clases teórico-prácticas.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>- Acreditación con examen final libre. El mismo podrá llevarse delante de acuerdo a los lineamientos institucionales del reglamento de estudios de la UNRN.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>
                    <w:rStyle w:val="PlaceholderText"/>
                  </w:rPr>
                </w:pPr>
                <w:r>
                  <w:rPr/>
                </w:r>
              </w:p>
              <w:p>
                <w:pPr>
                  <w:pStyle w:val="Normal"/>
                  <w:widowControl w:val="false"/>
                  <w:shd w:val="clear" w:color="auto" w:fill="FBE4D5" w:themeFill="accent2" w:themeFillTint="33"/>
                  <w:spacing w:lineRule="auto" w:line="240" w:before="0" w:after="0"/>
                  <w:ind w:right="441" w:hanging="0"/>
                  <w:rPr/>
                </w:pPr>
                <w:r>
                  <w:rPr>
                    <w:b/>
                  </w:rPr>
                  <w:t>Fechas tentativas de evaluaciones previstas</w:t>
                </w:r>
              </w:p>
              <w:p>
                <w:pPr>
                  <w:pStyle w:val="Normal"/>
                  <w:widowControl w:val="false"/>
                  <w:spacing w:lineRule="auto" w:line="240" w:before="0" w:after="0"/>
                  <w:ind w:right="441" w:hanging="0"/>
                  <w:rPr/>
                </w:pPr>
                <w:r>
                  <w:rPr>
                    <w:rStyle w:val="PlaceholderText"/>
                  </w:rPr>
                  <w:t xml:space="preserve">Evaluación contínua con </w:t>
                </w:r>
                <w:r>
                  <w:rPr>
                    <w:rStyle w:val="PlaceholderText"/>
                    <w:rFonts w:eastAsia="Calibri" w:cs="Calibri"/>
                    <w:color w:val="808080"/>
                    <w:kern w:val="0"/>
                    <w:sz w:val="22"/>
                    <w:szCs w:val="22"/>
                    <w:lang w:val="es-AR" w:eastAsia="es-AR" w:bidi="ar-SA"/>
                  </w:rPr>
                  <w:t>formularios de autoevaluación al final de cada semana, entregas de ejercicios seleccionados y entrega final.</w:t>
                </w:r>
              </w:p>
            </w:sdtContent>
          </w:sdt>
        </w:tc>
      </w:tr>
    </w:tbl>
    <w:p>
      <w:pPr>
        <w:pStyle w:val="Normal"/>
        <w:ind w:right="441" w:hanging="0"/>
        <w:rPr>
          <w:b/>
          <w:b/>
        </w:rPr>
      </w:pPr>
      <w:r>
        <w:rPr>
          <w:b/>
        </w:rPr>
      </w:r>
    </w:p>
    <w:tbl>
      <w:tblPr>
        <w:tblStyle w:val="ae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3356"/>
        <w:gridCol w:w="3357"/>
        <w:gridCol w:w="3357"/>
      </w:tblGrid>
      <w:tr>
        <w:trPr/>
        <w:tc>
          <w:tcPr>
            <w:tcW w:w="10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Vigencia del Programa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2021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2022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/>
            </w:pPr>
            <w:r>
              <w:rPr>
                <w:b/>
              </w:rPr>
              <w:t>2023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rPr/>
            </w:pPr>
            <w:r>
              <w:rPr/>
              <w:t>Si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38100</wp:posOffset>
                  </wp:positionV>
                  <wp:extent cx="1714500" cy="73787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Dr. Hernán Asorey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Si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drawing>
                <wp:anchor behindDoc="1" distT="0" distB="0" distL="0" distR="0" simplePos="0" locked="0" layoutInCell="1" allowOverlap="1" relativeHeight="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38100</wp:posOffset>
                  </wp:positionV>
                  <wp:extent cx="1714500" cy="737870"/>
                  <wp:effectExtent l="0" t="0" r="0" b="0"/>
                  <wp:wrapNone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>Dr. Hernán Asorey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rPr/>
              <w:t xml:space="preserve">Si </w:t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rPr/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38100</wp:posOffset>
                  </wp:positionV>
                  <wp:extent cx="1714500" cy="73787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Dr. Hernán Asorey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Docente</w:t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160"/>
              <w:ind w:right="441" w:hanging="0"/>
              <w:jc w:val="center"/>
              <w:rPr>
                <w:b/>
                <w:b/>
              </w:rPr>
            </w:pPr>
            <w:r>
              <w:rPr>
                <w:b/>
              </w:rPr>
              <w:t>Firma y Aclaración Director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AR" w:eastAsia="es-A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LibreOffice/7.1.5.2$Linux_X86_64 LibreOffice_project/10$Build-2</Application>
  <AppVersion>15.0000</AppVersion>
  <DocSecurity>0</DocSecurity>
  <Pages>5</Pages>
  <Words>1254</Words>
  <Characters>7188</Characters>
  <CharactersWithSpaces>8326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2019-03-04T23:15:00Z</dcterms:created>
  <dc:creator>Carola Graziosi</dc:creator>
  <dc:description/>
  <dc:language>en-US</dc:language>
  <cp:lastModifiedBy/>
  <dcterms:modified xsi:type="dcterms:W3CDTF">2021-09-06T18:01:20Z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