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rFonts w:ascii="Arial" w:hAnsi="Arial" w:cs="Arial"/>
          <w:b/>
          <w:b/>
          <w:bCs/>
          <w:sz w:val="26"/>
          <w:szCs w:val="26"/>
          <w:lang w:val="es-ES"/>
        </w:rPr>
      </w:pPr>
      <w:r>
        <mc:AlternateContent>
          <mc:Choice Requires="wps">
            <w:drawing>
              <wp:anchor behindDoc="0" distT="0" distB="0" distL="89535" distR="89535" simplePos="0" locked="0" layoutInCell="1" allowOverlap="1" relativeHeight="2">
                <wp:simplePos x="0" y="0"/>
                <wp:positionH relativeFrom="page">
                  <wp:posOffset>2360295</wp:posOffset>
                </wp:positionH>
                <wp:positionV relativeFrom="page">
                  <wp:posOffset>575945</wp:posOffset>
                </wp:positionV>
                <wp:extent cx="4356100" cy="340995"/>
                <wp:effectExtent l="0" t="0" r="0" b="0"/>
                <wp:wrapSquare wrapText="bothSides"/>
                <wp:docPr id="1" name="Frame1"/>
                <a:graphic xmlns:a="http://schemas.openxmlformats.org/drawingml/2006/main">
                  <a:graphicData uri="http://schemas.microsoft.com/office/word/2010/wordprocessingShape">
                    <wps:wsp>
                      <wps:cNvSpPr/>
                      <wps:spPr>
                        <a:xfrm>
                          <a:off x="0" y="0"/>
                          <a:ext cx="4355640" cy="340200"/>
                        </a:xfrm>
                        <a:prstGeom prst="rect">
                          <a:avLst/>
                        </a:prstGeom>
                        <a:noFill/>
                        <a:ln>
                          <a:noFill/>
                        </a:ln>
                      </wps:spPr>
                      <wps:style>
                        <a:lnRef idx="0"/>
                        <a:fillRef idx="0"/>
                        <a:effectRef idx="0"/>
                        <a:fontRef idx="minor"/>
                      </wps:style>
                      <wps:txbx>
                        <w:txbxContent>
                          <w:tbl>
                            <w:tblPr>
                              <w:tblW w:w="6859" w:type="dxa"/>
                              <w:jc w:val="left"/>
                              <w:tblInd w:w="64"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187"/>
                              <w:gridCol w:w="4671"/>
                            </w:tblGrid>
                            <w:tr>
                              <w:trPr>
                                <w:trHeight w:val="23" w:hRule="atLeast"/>
                                <w:cantSplit w:val="true"/>
                              </w:trPr>
                              <w:tc>
                                <w:tcPr>
                                  <w:tcW w:w="2187"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Sede y localidad</w:t>
                                  </w:r>
                                </w:p>
                              </w:tc>
                              <w:tc>
                                <w:tcPr>
                                  <w:tcW w:w="4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Sede Andina, San Carlos de Bariloche</w:t>
                                  </w:r>
                                </w:p>
                              </w:tc>
                            </w:tr>
                            <w:tr>
                              <w:trPr>
                                <w:trHeight w:val="23" w:hRule="atLeast"/>
                                <w:cantSplit w:val="true"/>
                              </w:trPr>
                              <w:tc>
                                <w:tcPr>
                                  <w:tcW w:w="2187"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Carrera</w:t>
                                  </w:r>
                                </w:p>
                              </w:tc>
                              <w:tc>
                                <w:tcPr>
                                  <w:tcW w:w="4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Profesorado en Física</w:t>
                                  </w:r>
                                </w:p>
                              </w:tc>
                            </w:tr>
                          </w:tbl>
                          <w:p>
                            <w:pPr>
                              <w:pStyle w:val="FrameContents"/>
                              <w:rPr>
                                <w:color w:val="auto"/>
                              </w:rPr>
                            </w:pPr>
                            <w:r>
                              <w:rPr>
                                <w:color w:val="auto"/>
                              </w:rPr>
                            </w:r>
                          </w:p>
                        </w:txbxContent>
                      </wps:txbx>
                      <wps:bodyPr>
                        <a:noAutofit/>
                      </wps:bodyPr>
                    </wps:wsp>
                  </a:graphicData>
                </a:graphic>
              </wp:anchor>
            </w:drawing>
          </mc:Choice>
          <mc:Fallback>
            <w:pict>
              <v:rect id="shape_0" ID="Frame1" fillcolor="white" stroked="f" style="position:absolute;margin-left:185.85pt;margin-top:45.35pt;width:342.9pt;height:26.75pt;mso-position-horizontal-relative:page;mso-position-vertical-relative:page">
                <w10:wrap type="none"/>
                <v:fill o:detectmouseclick="t" type="solid" color2="black" opacity="0"/>
                <v:stroke color="#3465a4" joinstyle="round" endcap="flat"/>
                <v:textbox>
                  <w:txbxContent>
                    <w:tbl>
                      <w:tblPr>
                        <w:tblW w:w="6859" w:type="dxa"/>
                        <w:jc w:val="left"/>
                        <w:tblInd w:w="64" w:type="dxa"/>
                        <w:tblBorders>
                          <w:top w:val="single" w:sz="4" w:space="0" w:color="000001"/>
                          <w:left w:val="single" w:sz="4" w:space="0" w:color="000001"/>
                          <w:bottom w:val="single" w:sz="4" w:space="0" w:color="000001"/>
                          <w:insideH w:val="single" w:sz="4" w:space="0" w:color="000001"/>
                        </w:tblBorders>
                        <w:tblCellMar>
                          <w:top w:w="0" w:type="dxa"/>
                          <w:left w:w="60" w:type="dxa"/>
                          <w:bottom w:w="0" w:type="dxa"/>
                          <w:right w:w="70" w:type="dxa"/>
                        </w:tblCellMar>
                      </w:tblPr>
                      <w:tblGrid>
                        <w:gridCol w:w="2187"/>
                        <w:gridCol w:w="4671"/>
                      </w:tblGrid>
                      <w:tr>
                        <w:trPr>
                          <w:trHeight w:val="23" w:hRule="atLeast"/>
                          <w:cantSplit w:val="true"/>
                        </w:trPr>
                        <w:tc>
                          <w:tcPr>
                            <w:tcW w:w="2187"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Sede y localidad</w:t>
                            </w:r>
                          </w:p>
                        </w:tc>
                        <w:tc>
                          <w:tcPr>
                            <w:tcW w:w="4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Sede Andina, San Carlos de Bariloche</w:t>
                            </w:r>
                          </w:p>
                        </w:tc>
                      </w:tr>
                      <w:tr>
                        <w:trPr>
                          <w:trHeight w:val="23" w:hRule="atLeast"/>
                          <w:cantSplit w:val="true"/>
                        </w:trPr>
                        <w:tc>
                          <w:tcPr>
                            <w:tcW w:w="2187" w:type="dxa"/>
                            <w:tcBorders>
                              <w:top w:val="single" w:sz="4" w:space="0" w:color="000001"/>
                              <w:left w:val="single" w:sz="4" w:space="0" w:color="000001"/>
                              <w:bottom w:val="single" w:sz="4" w:space="0" w:color="000001"/>
                              <w:insideH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Carrera</w:t>
                            </w:r>
                          </w:p>
                        </w:tc>
                        <w:tc>
                          <w:tcPr>
                            <w:tcW w:w="46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sz w:val="22"/>
                                <w:szCs w:val="22"/>
                                <w:lang w:val="es-ES"/>
                              </w:rPr>
                            </w:pPr>
                            <w:r>
                              <w:rPr>
                                <w:rFonts w:cs="Arial" w:ascii="Arial" w:hAnsi="Arial"/>
                                <w:color w:val="auto"/>
                                <w:sz w:val="22"/>
                                <w:szCs w:val="22"/>
                                <w:lang w:val="es-ES"/>
                              </w:rPr>
                              <w:t>Profesorado en Física</w:t>
                            </w:r>
                          </w:p>
                        </w:tc>
                      </w:tr>
                    </w:tbl>
                    <w:p>
                      <w:pPr>
                        <w:pStyle w:val="FrameContents"/>
                        <w:rPr>
                          <w:color w:val="auto"/>
                        </w:rPr>
                      </w:pPr>
                      <w:r>
                        <w:rPr>
                          <w:color w:val="auto"/>
                        </w:rPr>
                      </w:r>
                    </w:p>
                  </w:txbxContent>
                </v:textbox>
              </v:rect>
            </w:pict>
          </mc:Fallback>
        </mc:AlternateContent>
      </w:r>
      <w:r>
        <w:rPr>
          <w:rFonts w:cs="Arial" w:ascii="Arial" w:hAnsi="Arial"/>
          <w:b/>
          <w:bCs/>
          <w:sz w:val="26"/>
          <w:szCs w:val="26"/>
          <w:lang w:val="es-ES"/>
        </w:rPr>
        <w:t>Programa de la asignatura</w:t>
      </w:r>
    </w:p>
    <w:tbl>
      <w:tblPr>
        <w:tblW w:w="9208" w:type="dxa"/>
        <w:jc w:val="left"/>
        <w:tblInd w:w="6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60" w:type="dxa"/>
          <w:bottom w:w="0" w:type="dxa"/>
          <w:right w:w="70" w:type="dxa"/>
        </w:tblCellMar>
      </w:tblPr>
      <w:tblGrid>
        <w:gridCol w:w="4499"/>
        <w:gridCol w:w="4708"/>
      </w:tblGrid>
      <w:tr>
        <w:trPr>
          <w:trHeight w:val="23" w:hRule="atLeast"/>
        </w:trPr>
        <w:tc>
          <w:tcPr>
            <w:tcW w:w="920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Asignatura: FÍSICA MODERNA A</w:t>
            </w:r>
          </w:p>
        </w:tc>
      </w:tr>
      <w:tr>
        <w:trPr>
          <w:trHeight w:val="23" w:hRule="atLeast"/>
        </w:trPr>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sz w:val="22"/>
                <w:szCs w:val="22"/>
                <w:lang w:val="es-ES"/>
              </w:rPr>
            </w:pPr>
            <w:r>
              <w:rPr>
                <w:rFonts w:cs="Arial" w:ascii="Arial" w:hAnsi="Arial"/>
                <w:b/>
                <w:sz w:val="22"/>
                <w:szCs w:val="22"/>
                <w:lang w:val="es-ES"/>
              </w:rPr>
              <w:t>Año calendario: 2017</w:t>
            </w:r>
          </w:p>
        </w:tc>
        <w:tc>
          <w:tcPr>
            <w:tcW w:w="47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 xml:space="preserve">Cuatrimestre:  1er cuatrimestre </w:t>
            </w:r>
          </w:p>
        </w:tc>
      </w:tr>
      <w:tr>
        <w:trPr>
          <w:trHeight w:val="345" w:hRule="atLeast"/>
          <w:cantSplit w:val="true"/>
        </w:trPr>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Carga horaria semanal: 6</w:t>
            </w:r>
          </w:p>
        </w:tc>
        <w:tc>
          <w:tcPr>
            <w:tcW w:w="470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 xml:space="preserve">Créditos (si corresponde): </w:t>
            </w:r>
          </w:p>
          <w:p>
            <w:pPr>
              <w:pStyle w:val="Normal"/>
              <w:tabs>
                <w:tab w:val="left" w:pos="0" w:leader="none"/>
              </w:tabs>
              <w:suppressAutoHyphens w:val="true"/>
              <w:spacing w:lineRule="auto" w:line="360"/>
              <w:rPr>
                <w:rFonts w:ascii="Arial" w:hAnsi="Arial" w:cs="Arial"/>
                <w:b/>
                <w:b/>
                <w:bCs/>
                <w:sz w:val="22"/>
                <w:szCs w:val="22"/>
                <w:lang w:val="es-ES"/>
              </w:rPr>
            </w:pPr>
            <w:r>
              <w:rPr>
                <w:rFonts w:cs="Arial" w:ascii="Arial" w:hAnsi="Arial"/>
                <w:b/>
                <w:bCs/>
                <w:sz w:val="22"/>
                <w:szCs w:val="22"/>
                <w:lang w:val="es-ES"/>
              </w:rPr>
            </w:r>
          </w:p>
        </w:tc>
      </w:tr>
      <w:tr>
        <w:trPr>
          <w:trHeight w:val="345" w:hRule="atLeast"/>
          <w:cantSplit w:val="true"/>
        </w:trPr>
        <w:tc>
          <w:tcPr>
            <w:tcW w:w="449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Carga horaria total: 96 (16 SEMANAS)</w:t>
            </w:r>
          </w:p>
        </w:tc>
        <w:tc>
          <w:tcPr>
            <w:tcW w:w="470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tcPr>
          <w:p>
            <w:pPr>
              <w:pStyle w:val="Normal"/>
              <w:rPr>
                <w:rFonts w:ascii="Arial" w:hAnsi="Arial"/>
                <w:sz w:val="22"/>
                <w:szCs w:val="22"/>
                <w:lang w:val="es-ES"/>
              </w:rPr>
            </w:pPr>
            <w:r>
              <w:rPr>
                <w:rFonts w:ascii="Arial" w:hAnsi="Arial"/>
                <w:sz w:val="22"/>
                <w:szCs w:val="22"/>
                <w:lang w:val="es-ES"/>
              </w:rPr>
            </w:r>
          </w:p>
        </w:tc>
      </w:tr>
    </w:tbl>
    <w:p>
      <w:pPr>
        <w:pStyle w:val="Normal"/>
        <w:rPr>
          <w:rFonts w:ascii="Arial" w:hAnsi="Arial" w:cs="Arial"/>
          <w:sz w:val="22"/>
          <w:szCs w:val="22"/>
          <w:lang w:val="es-ES"/>
        </w:rPr>
      </w:pPr>
      <w:r>
        <w:rPr>
          <w:rFonts w:cs="Arial" w:ascii="Arial" w:hAnsi="Arial"/>
          <w:sz w:val="22"/>
          <w:szCs w:val="22"/>
          <w:lang w:val="es-ES"/>
        </w:rPr>
      </w:r>
    </w:p>
    <w:tbl>
      <w:tblPr>
        <w:tblW w:w="919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5060"/>
        <w:gridCol w:w="4129"/>
      </w:tblGrid>
      <w:tr>
        <w:trPr/>
        <w:tc>
          <w:tcPr>
            <w:tcW w:w="91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360"/>
              <w:rPr>
                <w:rFonts w:ascii="Arial" w:hAnsi="Arial"/>
                <w:sz w:val="22"/>
                <w:szCs w:val="22"/>
                <w:lang w:val="es-ES"/>
              </w:rPr>
            </w:pPr>
            <w:r>
              <w:rPr>
                <w:rFonts w:cs="Arial" w:ascii="Arial" w:hAnsi="Arial"/>
                <w:b/>
                <w:sz w:val="22"/>
                <w:szCs w:val="22"/>
                <w:lang w:val="es-ES"/>
              </w:rPr>
              <w:t xml:space="preserve">Días y horario de cursada: Martes 18 a  21. Jueves 18 a 21 </w:t>
            </w:r>
          </w:p>
        </w:tc>
      </w:tr>
      <w:tr>
        <w:trPr/>
        <w:tc>
          <w:tcPr>
            <w:tcW w:w="91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360"/>
              <w:rPr>
                <w:rFonts w:ascii="Arial" w:hAnsi="Arial"/>
                <w:sz w:val="22"/>
                <w:szCs w:val="22"/>
                <w:lang w:val="es-ES"/>
              </w:rPr>
            </w:pPr>
            <w:r>
              <w:rPr>
                <w:rFonts w:cs="Arial" w:ascii="Arial" w:hAnsi="Arial"/>
                <w:b/>
                <w:sz w:val="22"/>
                <w:szCs w:val="22"/>
                <w:lang w:val="es-ES"/>
              </w:rPr>
              <w:t>Horarios, días y lugar de consulta para alumnos: Martes 21 a 23</w:t>
            </w:r>
          </w:p>
        </w:tc>
      </w:tr>
      <w:tr>
        <w:trPr/>
        <w:tc>
          <w:tcPr>
            <w:tcW w:w="91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360"/>
              <w:rPr>
                <w:rFonts w:ascii="Arial" w:hAnsi="Arial" w:cs="Arial"/>
                <w:b/>
                <w:b/>
                <w:sz w:val="22"/>
                <w:szCs w:val="22"/>
                <w:lang w:val="es-ES"/>
              </w:rPr>
            </w:pPr>
            <w:r>
              <w:rPr>
                <w:rFonts w:cs="Arial" w:ascii="Arial" w:hAnsi="Arial"/>
                <w:b/>
                <w:sz w:val="22"/>
                <w:szCs w:val="22"/>
                <w:lang w:val="es-ES"/>
              </w:rPr>
              <w:t>Horas de estudio recomendadas (extra clase): 4 horas por semana (64 horas en total)</w:t>
            </w:r>
          </w:p>
        </w:tc>
      </w:tr>
      <w:tr>
        <w:trPr>
          <w:trHeight w:val="23" w:hRule="atLeast"/>
        </w:trPr>
        <w:tc>
          <w:tcPr>
            <w:tcW w:w="5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right w:w="70" w:type="dxa"/>
            </w:tcMar>
          </w:tcPr>
          <w:p>
            <w:pPr>
              <w:pStyle w:val="Normal"/>
              <w:tabs>
                <w:tab w:val="left" w:pos="0" w:leader="none"/>
              </w:tabs>
              <w:suppressAutoHyphens w:val="true"/>
              <w:spacing w:lineRule="auto" w:line="360"/>
              <w:rPr>
                <w:rFonts w:ascii="Arial" w:hAnsi="Arial"/>
                <w:sz w:val="22"/>
                <w:szCs w:val="22"/>
                <w:lang w:val="es-ES"/>
              </w:rPr>
            </w:pPr>
            <w:r>
              <w:rPr>
                <w:rFonts w:cs="Arial" w:ascii="Arial" w:hAnsi="Arial"/>
                <w:b/>
                <w:sz w:val="22"/>
                <w:szCs w:val="22"/>
                <w:lang w:val="es-ES"/>
              </w:rPr>
              <w:t>Profesor : Dr. Hernán Asorey</w:t>
            </w:r>
          </w:p>
        </w:tc>
        <w:tc>
          <w:tcPr>
            <w:tcW w:w="4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right w:w="70" w:type="dxa"/>
            </w:tcMar>
          </w:tcPr>
          <w:p>
            <w:pPr>
              <w:pStyle w:val="Normal"/>
              <w:tabs>
                <w:tab w:val="left" w:pos="0" w:leader="none"/>
              </w:tabs>
              <w:suppressAutoHyphens w:val="true"/>
              <w:spacing w:lineRule="auto" w:line="360"/>
              <w:rPr/>
            </w:pPr>
            <w:r>
              <w:rPr>
                <w:rFonts w:cs="Arial" w:ascii="Arial" w:hAnsi="Arial"/>
                <w:b/>
                <w:sz w:val="22"/>
                <w:szCs w:val="22"/>
                <w:lang w:val="es-ES"/>
              </w:rPr>
              <w:t xml:space="preserve">Email: </w:t>
            </w:r>
            <w:hyperlink r:id="rId2">
              <w:r>
                <w:rPr>
                  <w:rStyle w:val="InternetLink"/>
                  <w:rFonts w:cs="Arial" w:ascii="Arial" w:hAnsi="Arial"/>
                  <w:b/>
                  <w:sz w:val="22"/>
                  <w:szCs w:val="22"/>
                  <w:lang w:val="es-ES"/>
                </w:rPr>
                <w:t>hasoreyh</w:t>
              </w:r>
            </w:hyperlink>
            <w:hyperlink r:id="rId3">
              <w:r>
                <w:rPr>
                  <w:rStyle w:val="InternetLink"/>
                  <w:rFonts w:cs="Arial" w:ascii="Arial" w:hAnsi="Arial"/>
                  <w:b/>
                  <w:sz w:val="22"/>
                  <w:szCs w:val="22"/>
                  <w:lang w:val="es-ES"/>
                </w:rPr>
                <w:t>@</w:t>
              </w:r>
            </w:hyperlink>
            <w:hyperlink r:id="rId4">
              <w:r>
                <w:rPr>
                  <w:rStyle w:val="InternetLink"/>
                  <w:rFonts w:cs="Arial" w:ascii="Arial" w:hAnsi="Arial"/>
                  <w:b/>
                  <w:sz w:val="22"/>
                  <w:szCs w:val="22"/>
                  <w:lang w:val="es-ES"/>
                </w:rPr>
                <w:t>unrn.edu.ar</w:t>
              </w:r>
            </w:hyperlink>
          </w:p>
        </w:tc>
      </w:tr>
      <w:tr>
        <w:trPr>
          <w:trHeight w:val="23" w:hRule="atLeast"/>
        </w:trPr>
        <w:tc>
          <w:tcPr>
            <w:tcW w:w="50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right w:w="7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Auxiliar: – – –</w:t>
            </w:r>
          </w:p>
        </w:tc>
        <w:tc>
          <w:tcPr>
            <w:tcW w:w="41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right w:w="70" w:type="dxa"/>
            </w:tcMar>
          </w:tcPr>
          <w:p>
            <w:pPr>
              <w:pStyle w:val="Normal"/>
              <w:tabs>
                <w:tab w:val="left" w:pos="0" w:leader="none"/>
              </w:tabs>
              <w:suppressAutoHyphens w:val="true"/>
              <w:spacing w:lineRule="auto" w:line="360"/>
              <w:rPr>
                <w:rFonts w:ascii="Arial" w:hAnsi="Arial" w:cs="Arial"/>
                <w:b/>
                <w:b/>
                <w:sz w:val="22"/>
                <w:szCs w:val="22"/>
                <w:lang w:val="es-ES"/>
              </w:rPr>
            </w:pPr>
            <w:r>
              <w:rPr>
                <w:rFonts w:cs="Arial" w:ascii="Arial" w:hAnsi="Arial"/>
                <w:b/>
                <w:sz w:val="22"/>
                <w:szCs w:val="22"/>
                <w:lang w:val="es-ES"/>
              </w:rPr>
              <w:t xml:space="preserve">Email: – – – </w:t>
            </w:r>
          </w:p>
        </w:tc>
      </w:tr>
    </w:tbl>
    <w:p>
      <w:pPr>
        <w:pStyle w:val="Normal"/>
        <w:tabs>
          <w:tab w:val="left" w:pos="0" w:leader="none"/>
        </w:tabs>
        <w:suppressAutoHyphens w:val="true"/>
        <w:spacing w:lineRule="auto" w:line="360"/>
        <w:rPr>
          <w:rFonts w:ascii="Arial" w:hAnsi="Arial" w:cs="Arial"/>
          <w:b/>
          <w:b/>
          <w:bCs/>
          <w:sz w:val="22"/>
          <w:szCs w:val="22"/>
          <w:lang w:val="es-ES"/>
        </w:rPr>
      </w:pPr>
      <w:r>
        <w:rPr>
          <w:rFonts w:cs="Arial" w:ascii="Arial" w:hAnsi="Arial"/>
          <w:b/>
          <w:bCs/>
          <w:sz w:val="22"/>
          <w:szCs w:val="22"/>
          <w:lang w:val="es-ES"/>
        </w:rPr>
      </w:r>
    </w:p>
    <w:p>
      <w:pPr>
        <w:pStyle w:val="Normal"/>
        <w:spacing w:lineRule="auto" w:line="360"/>
        <w:jc w:val="both"/>
        <w:rPr>
          <w:rFonts w:ascii="Arial" w:hAnsi="Arial" w:cs="Arial"/>
          <w:sz w:val="22"/>
          <w:szCs w:val="22"/>
          <w:lang w:val="es-ES"/>
        </w:rPr>
      </w:pPr>
      <w:r>
        <w:rPr>
          <w:rFonts w:cs="Arial" w:ascii="Arial" w:hAnsi="Arial"/>
          <w:sz w:val="22"/>
          <w:szCs w:val="22"/>
          <w:lang w:val="es-ES"/>
        </w:rPr>
        <w:t>Programa Analítico de la asignatura</w:t>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Contenidos mínimos establecidos por Plan de Estudio: FÍSICA MODERNA A </w:t>
            </w:r>
          </w:p>
          <w:p>
            <w:pPr>
              <w:pStyle w:val="Normal"/>
              <w:jc w:val="both"/>
              <w:rPr>
                <w:rFonts w:ascii="Arial" w:hAnsi="Arial" w:cs="Arial"/>
                <w:sz w:val="22"/>
                <w:szCs w:val="22"/>
                <w:lang w:val="es-ES"/>
              </w:rPr>
            </w:pPr>
            <w:r>
              <w:rPr>
                <w:rFonts w:cs="Arial" w:ascii="Arial" w:hAnsi="Arial"/>
                <w:sz w:val="22"/>
                <w:szCs w:val="22"/>
                <w:lang w:val="es-ES"/>
              </w:rPr>
              <w:t xml:space="preserve">Radiación del cuerpo negro. Conflictos con la física clásica. La hipótesis de Planck. El efecto fotoeléctrico y los fotones. Dualidad onda-corpúsculo. Difracción de ondas y materia. Los espectros atómicos y la estructura del átomo. La función de onda. Principio de incerteza de Heisenberg. Mecánica cuántica del átomo de hidrógeno. Principio de exclusión. Átomos complejos. </w:t>
            </w:r>
          </w:p>
          <w:p>
            <w:pPr>
              <w:pStyle w:val="Normal"/>
              <w:spacing w:lineRule="auto" w:line="360"/>
              <w:jc w:val="both"/>
              <w:rPr>
                <w:rFonts w:ascii="Arial" w:hAnsi="Arial" w:cs="Arial"/>
                <w:b/>
                <w:b/>
                <w:sz w:val="22"/>
                <w:szCs w:val="22"/>
                <w:lang w:val="es-ES"/>
              </w:rPr>
            </w:pPr>
            <w:r>
              <w:rPr>
                <w:rFonts w:cs="Arial" w:ascii="Arial" w:hAnsi="Arial"/>
                <w:b/>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eastAsia="Times New Roman" w:cs="Arial"/>
                <w:color w:val="00000A"/>
                <w:sz w:val="22"/>
                <w:szCs w:val="22"/>
                <w:lang w:val="es-ES" w:bidi="ar-SA"/>
              </w:rPr>
            </w:pPr>
            <w:r>
              <w:rPr>
                <w:rFonts w:eastAsia="Times New Roman" w:cs="Arial" w:ascii="Arial" w:hAnsi="Arial"/>
                <w:b/>
                <w:bCs/>
                <w:color w:val="00000A"/>
                <w:sz w:val="22"/>
                <w:szCs w:val="22"/>
                <w:lang w:val="es-ES" w:bidi="ar-SA"/>
              </w:rPr>
              <w:t>Objetivos de la asignatura:</w:t>
            </w:r>
          </w:p>
          <w:p>
            <w:pPr>
              <w:pStyle w:val="Normal"/>
              <w:jc w:val="both"/>
              <w:rPr>
                <w:rFonts w:ascii="Arial" w:hAnsi="Arial" w:eastAsia="Times New Roman" w:cs="Arial"/>
                <w:color w:val="00000A"/>
                <w:sz w:val="22"/>
                <w:szCs w:val="22"/>
                <w:lang w:val="es-ES" w:bidi="ar-SA"/>
              </w:rPr>
            </w:pPr>
            <w:r>
              <w:rPr>
                <w:rFonts w:eastAsia="Times New Roman" w:cs="Arial" w:ascii="Arial" w:hAnsi="Arial"/>
                <w:color w:val="00000A"/>
                <w:sz w:val="22"/>
                <w:szCs w:val="22"/>
                <w:lang w:val="es-ES" w:bidi="ar-SA"/>
              </w:rPr>
              <w:t>Lograr una comprensión amplia de los fenómenos físicos asociados tanto con el despertar de la mecánica cuántica en la primera mitad del siglo XX, como en los ulteriores desarrollos, que han tenido una importancia sustancial en nuestra sociedad y en forma de vida.</w:t>
            </w:r>
          </w:p>
          <w:p>
            <w:pPr>
              <w:pStyle w:val="Normal"/>
              <w:jc w:val="both"/>
              <w:rPr>
                <w:rFonts w:ascii="Arial" w:hAnsi="Arial" w:eastAsia="Times New Roman" w:cs="Arial"/>
                <w:color w:val="00000A"/>
                <w:sz w:val="22"/>
                <w:szCs w:val="22"/>
                <w:lang w:val="es-ES" w:bidi="ar-SA"/>
              </w:rPr>
            </w:pPr>
            <w:r>
              <w:rPr>
                <w:rFonts w:eastAsia="Times New Roman" w:cs="Arial" w:ascii="Arial" w:hAnsi="Arial"/>
                <w:color w:val="00000A"/>
                <w:sz w:val="22"/>
                <w:szCs w:val="22"/>
                <w:lang w:val="es-ES" w:bidi="ar-SA"/>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sz w:val="22"/>
                <w:szCs w:val="22"/>
                <w:lang w:val="es-ES"/>
              </w:rPr>
            </w:pPr>
            <w:r>
              <w:rPr>
                <w:rFonts w:cs="Arial" w:ascii="Arial" w:hAnsi="Arial"/>
                <w:b/>
                <w:bCs/>
                <w:sz w:val="22"/>
                <w:szCs w:val="22"/>
                <w:lang w:val="es-ES"/>
              </w:rPr>
              <w:t>Propuesta Metodológica</w:t>
            </w:r>
            <w:r>
              <w:rPr>
                <w:rFonts w:cs="Arial" w:ascii="Arial" w:hAnsi="Arial"/>
                <w:b w:val="false"/>
                <w:bCs w:val="false"/>
                <w:sz w:val="22"/>
                <w:szCs w:val="22"/>
                <w:lang w:val="es-ES"/>
              </w:rPr>
              <w:t xml:space="preserve"> (teóricos/comisiones/laboratorio)</w:t>
            </w:r>
            <w:r>
              <w:rPr>
                <w:rFonts w:cs="Arial" w:ascii="Arial" w:hAnsi="Arial"/>
                <w:b/>
                <w:bCs/>
                <w:sz w:val="22"/>
                <w:szCs w:val="22"/>
                <w:lang w:val="es-ES"/>
              </w:rPr>
              <w:t>:</w:t>
            </w:r>
          </w:p>
          <w:p>
            <w:pPr>
              <w:pStyle w:val="Normal"/>
              <w:jc w:val="both"/>
              <w:rPr>
                <w:rFonts w:ascii="Arial" w:hAnsi="Arial" w:cs="Arial"/>
                <w:sz w:val="22"/>
                <w:szCs w:val="22"/>
                <w:lang w:val="es-ES"/>
              </w:rPr>
            </w:pPr>
            <w:r>
              <w:rPr>
                <w:rFonts w:cs="Arial" w:ascii="Arial" w:hAnsi="Arial"/>
                <w:sz w:val="22"/>
                <w:szCs w:val="22"/>
                <w:lang w:val="es-ES"/>
              </w:rPr>
              <w:t>Las clases serán interactivas. Los alumnos deberán resolver ejercicios, los cuales serán calificados, y aprovechando los materiales disponibles se realizarán experiencias de laboratorio. Además, se organizará una visita a varios laboratorios del Centro Atómico Bariloche e Instituto Balseiro para que los alumnos participen en experimentos o demostraciones y prácticas de los alcances de la Mecánica Cuántica. La interacción estudiante-docente y estudiante-estudiante es central para el desarrollo de habilidades didácticas y dialécticas, que sirven como entrenamiento para el desempeño en clase de los futuros profesores. La materia se divide en dos bloques de igual duración (ocho semanas cada uno) y tres unidades cada uno: bases de la mecánica cuántica (unidades 1, 2 y 3) y aplicación a sistemas simples (unidades 4, 5 y 6). Al final de cada bloque se realizará una evaluación parcial.</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Forma de aprobación </w:t>
            </w:r>
            <w:r>
              <w:rPr>
                <w:rFonts w:cs="Arial" w:ascii="Arial" w:hAnsi="Arial"/>
                <w:i/>
                <w:sz w:val="22"/>
                <w:szCs w:val="22"/>
                <w:lang w:val="es-ES"/>
              </w:rPr>
              <w:t>(indicar si se considera asistencia, evaluación parcial, final, entrega de trabajos prácticos, práctica profesional, pasantía, etc.)</w:t>
            </w:r>
            <w:r>
              <w:rPr>
                <w:rFonts w:cs="Arial" w:ascii="Arial" w:hAnsi="Arial"/>
                <w:i w:val="false"/>
                <w:iCs w:val="false"/>
                <w:sz w:val="22"/>
                <w:szCs w:val="22"/>
                <w:lang w:val="es-ES"/>
              </w:rPr>
              <w:t>:</w:t>
            </w:r>
          </w:p>
          <w:p>
            <w:pPr>
              <w:pStyle w:val="Normal"/>
              <w:numPr>
                <w:ilvl w:val="0"/>
                <w:numId w:val="2"/>
              </w:numPr>
              <w:jc w:val="both"/>
              <w:rPr>
                <w:rFonts w:ascii="Arial" w:hAnsi="Arial"/>
                <w:sz w:val="22"/>
                <w:szCs w:val="22"/>
                <w:lang w:val="es-ES"/>
              </w:rPr>
            </w:pPr>
            <w:r>
              <w:rPr>
                <w:rFonts w:cs="Arial" w:ascii="Arial" w:hAnsi="Arial"/>
                <w:b/>
                <w:bCs/>
                <w:sz w:val="22"/>
                <w:szCs w:val="22"/>
                <w:lang w:val="es-ES"/>
              </w:rPr>
              <w:t>Regularización</w:t>
            </w:r>
            <w:r>
              <w:rPr>
                <w:rFonts w:cs="Arial" w:ascii="Arial" w:hAnsi="Arial"/>
                <w:sz w:val="22"/>
                <w:szCs w:val="22"/>
                <w:lang w:val="es-ES"/>
              </w:rPr>
              <w:t>: Se considera una materia presencial, con una asistencia mínima del 75%. La evaluación será realizada en forma continua, mediante la evaluación de los trabajos en clase, de la entrega de trabajos prácticos y de dos evaluaciones parciales con sus eventuales recuperatorios.</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Aprobación:</w:t>
            </w:r>
            <w:r>
              <w:rPr>
                <w:rFonts w:cs="Arial" w:ascii="Arial" w:hAnsi="Arial"/>
                <w:b w:val="false"/>
                <w:bCs w:val="false"/>
                <w:i w:val="false"/>
                <w:iCs w:val="false"/>
                <w:sz w:val="22"/>
                <w:szCs w:val="22"/>
                <w:lang w:val="es-ES"/>
              </w:rPr>
              <w:t xml:space="preserve"> Será mediante una evaluación final integradora.</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Promoción</w:t>
            </w:r>
            <w:r>
              <w:rPr>
                <w:rFonts w:cs="Arial" w:ascii="Arial" w:hAnsi="Arial"/>
                <w:sz w:val="22"/>
                <w:szCs w:val="22"/>
                <w:lang w:val="es-ES"/>
              </w:rPr>
              <w:t>: Podrán hacerlo aquellos estudiantes que cumplan con las condiciones de promoción de la materia: cumplimiento en tiempo y forma de la entrega de todos los trabajos prácticos e informes de laboratorio, y tener un promedio de la evaluación continua mayor a siete decimal nueve (7.9).</w:t>
            </w:r>
          </w:p>
          <w:p>
            <w:pPr>
              <w:pStyle w:val="Normal"/>
              <w:numPr>
                <w:ilvl w:val="0"/>
                <w:numId w:val="2"/>
              </w:numPr>
              <w:jc w:val="both"/>
              <w:rPr>
                <w:rFonts w:ascii="Arial" w:hAnsi="Arial"/>
                <w:sz w:val="22"/>
                <w:szCs w:val="22"/>
                <w:lang w:val="es-ES"/>
              </w:rPr>
            </w:pPr>
            <w:r>
              <w:rPr>
                <w:rFonts w:cs="Arial" w:ascii="Arial" w:hAnsi="Arial"/>
                <w:b/>
                <w:bCs/>
                <w:i w:val="false"/>
                <w:iCs w:val="false"/>
                <w:sz w:val="22"/>
                <w:szCs w:val="22"/>
                <w:lang w:val="es-ES"/>
              </w:rPr>
              <w:t>Libre</w:t>
            </w:r>
            <w:r>
              <w:rPr>
                <w:rFonts w:cs="Arial" w:ascii="Arial" w:hAnsi="Arial"/>
                <w:sz w:val="22"/>
                <w:szCs w:val="22"/>
                <w:lang w:val="es-ES"/>
              </w:rPr>
              <w:t>: Dado que se trata de una materia presencial e interactiva, solo es posible su aprobación como libre cuando la trayectoria académica del alumno en el Profesorado así lo justifique.</w:t>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1) Unidad o eje temático: La crisis de principios del Siglo XX</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i w:val="false"/>
                <w:iCs w:val="false"/>
                <w:sz w:val="22"/>
                <w:szCs w:val="22"/>
                <w:lang w:val="es-ES"/>
              </w:rPr>
              <w:t>Contenidos:</w:t>
            </w:r>
          </w:p>
          <w:p>
            <w:pPr>
              <w:pStyle w:val="Normal"/>
              <w:jc w:val="both"/>
              <w:rPr/>
            </w:pPr>
            <w:r>
              <w:rPr>
                <w:rFonts w:cs="Arial" w:ascii="Arial" w:hAnsi="Arial"/>
                <w:b w:val="false"/>
                <w:bCs w:val="false"/>
                <w:i w:val="false"/>
                <w:iCs w:val="false"/>
                <w:sz w:val="22"/>
                <w:szCs w:val="22"/>
                <w:lang w:val="es-ES"/>
              </w:rPr>
              <w:t xml:space="preserve">Introducción. Nuestra comprensión, la interacción con el mundo y el gap sensorial.  </w:t>
            </w:r>
            <w:r>
              <w:rPr>
                <w:rFonts w:cs="Arial" w:ascii="Arial" w:hAnsi="Arial"/>
                <w:i w:val="false"/>
                <w:iCs w:val="false"/>
                <w:sz w:val="22"/>
                <w:szCs w:val="22"/>
                <w:lang w:val="es-ES"/>
              </w:rPr>
              <w:t>El cuerpo negro. Ejemplos y propiedades. Emisividad, reflectividad, absorcividad. La catástrofe del ultravioleta y la hipótesis de Planck. El campo electromagnético. El efecto fotoeléctrico y los fotones. Aportes de Albert Einstein. El efecto Compton.</w:t>
            </w:r>
          </w:p>
          <w:p>
            <w:pPr>
              <w:pStyle w:val="Normal"/>
              <w:jc w:val="both"/>
              <w:rPr>
                <w:rFonts w:cs="Arial"/>
              </w:rPr>
            </w:pPr>
            <w:bookmarkStart w:id="0" w:name="__DdeLink__448_965458266"/>
            <w:bookmarkStart w:id="1" w:name="__DdeLink__448_965458266"/>
            <w:bookmarkEnd w:id="1"/>
            <w:r>
              <w:rPr>
                <w:rFonts w:cs="Arial"/>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 xml:space="preserve">Fechas tentativas de inicio y finalización del dictado de la unidad o eje temático: </w:t>
            </w:r>
          </w:p>
          <w:p>
            <w:pPr>
              <w:pStyle w:val="Normal"/>
              <w:jc w:val="both"/>
              <w:rPr/>
            </w:pPr>
            <w:r>
              <w:rPr>
                <w:rFonts w:cs="Arial" w:ascii="Arial" w:hAnsi="Arial"/>
                <w:sz w:val="22"/>
                <w:szCs w:val="22"/>
                <w:lang w:val="es-ES"/>
              </w:rPr>
              <w:t>4 encuentros del Martes 07 de Marzo al Jueves 16 de Marzo</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 xml:space="preserve">Bibliografía obligatoria de la Unidad: </w:t>
            </w:r>
          </w:p>
          <w:p>
            <w:pPr>
              <w:pStyle w:val="Normal"/>
              <w:jc w:val="both"/>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pPr>
            <w:r>
              <w:rPr>
                <w:rFonts w:cs="Arial" w:ascii="Arial" w:hAnsi="Arial"/>
                <w:sz w:val="22"/>
                <w:szCs w:val="22"/>
                <w:lang w:val="es-ES"/>
              </w:rPr>
              <w:t>“</w:t>
            </w:r>
            <w:r>
              <w:rPr>
                <w:rFonts w:cs="Arial" w:ascii="Arial" w:hAnsi="Arial"/>
                <w:sz w:val="22"/>
                <w:szCs w:val="22"/>
                <w:lang w:val="es-ES"/>
              </w:rPr>
              <w:t>Sears-Zemansky, Física Universitaria (con Física Moderna)”, Vol. 2, Young y Freedman, cualquier edición, Addison-Wesley</w:t>
            </w:r>
          </w:p>
          <w:p>
            <w:pPr>
              <w:pStyle w:val="Normal"/>
              <w:jc w:val="both"/>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pPr>
            <w:bookmarkStart w:id="2" w:name="__DdeLink__742_118134957"/>
            <w:bookmarkEnd w:id="2"/>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 xml:space="preserve">Bibliografía complementaria de la Materia: </w:t>
            </w:r>
          </w:p>
          <w:p>
            <w:pPr>
              <w:pStyle w:val="Normal"/>
              <w:jc w:val="both"/>
              <w:rPr/>
            </w:pPr>
            <w:r>
              <w:rPr>
                <w:rFonts w:cs="Arial" w:ascii="Arial" w:hAnsi="Arial"/>
                <w:sz w:val="22"/>
                <w:szCs w:val="22"/>
                <w:lang w:val="es-ES"/>
              </w:rPr>
              <w:t>“</w:t>
            </w:r>
            <w:r>
              <w:rPr>
                <w:rFonts w:cs="Arial" w:ascii="Arial" w:hAnsi="Arial"/>
                <w:sz w:val="22"/>
                <w:szCs w:val="22"/>
                <w:lang w:val="es-ES"/>
              </w:rPr>
              <w:t>Fundamentos de física moderna”, Eisberg, Limusa, 2002.</w:t>
            </w:r>
          </w:p>
          <w:p>
            <w:pPr>
              <w:pStyle w:val="Normal"/>
              <w:jc w:val="both"/>
              <w:rPr>
                <w:rFonts w:cs="Arial"/>
                <w:lang w:val="es-ES"/>
              </w:rPr>
            </w:pPr>
            <w:r>
              <w:rPr>
                <w:rFonts w:cs="Arial"/>
                <w:lang w:val="es-ES"/>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2) Unidad o eje temático: Los inicios de la mecánica cuántica </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Contenidos:</w:t>
            </w:r>
          </w:p>
          <w:p>
            <w:pPr>
              <w:pStyle w:val="Normal"/>
              <w:jc w:val="both"/>
              <w:rPr>
                <w:rFonts w:ascii="Arial" w:hAnsi="Arial"/>
                <w:sz w:val="22"/>
                <w:szCs w:val="22"/>
                <w:lang w:val="es-ES"/>
              </w:rPr>
            </w:pPr>
            <w:r>
              <w:rPr>
                <w:rFonts w:cs="Arial" w:ascii="Arial" w:hAnsi="Arial"/>
                <w:sz w:val="22"/>
                <w:szCs w:val="22"/>
                <w:lang w:val="es-ES"/>
              </w:rPr>
              <w:t>Los espectros atómicos y la estructura del átomo. Modelos de Thomson y Rutherford, aciertos y desaciertos. Cuantización de Bohr-Sommerfeld. El modelo atómico de Bohr. El principio de correspondencia. La hipótesis de de Broglie. Difracción de ondas de materia. Dualidad onda-corpúsculo.</w:t>
            </w:r>
          </w:p>
          <w:p>
            <w:pPr>
              <w:pStyle w:val="Normal"/>
              <w:jc w:val="both"/>
              <w:rPr>
                <w:rFonts w:cs="Arial"/>
              </w:rPr>
            </w:pPr>
            <w:r>
              <w:rPr>
                <w:rFonts w:cs="Arial"/>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inicio y finalización del dictado de la unidad o eje temático: </w:t>
            </w:r>
            <w:r>
              <w:rPr>
                <w:rFonts w:cs="Arial" w:ascii="Arial" w:hAnsi="Arial"/>
                <w:b w:val="false"/>
                <w:bCs w:val="false"/>
                <w:sz w:val="22"/>
                <w:szCs w:val="22"/>
                <w:lang w:val="es-ES"/>
              </w:rPr>
              <w:t xml:space="preserve">5 encuentros, del Martes </w:t>
            </w:r>
            <w:r>
              <w:rPr>
                <w:rFonts w:cs="Arial" w:ascii="Arial" w:hAnsi="Arial"/>
                <w:sz w:val="22"/>
                <w:szCs w:val="22"/>
                <w:lang w:val="es-ES"/>
              </w:rPr>
              <w:t>21 de marzo al Martes 04 de abril</w:t>
            </w:r>
          </w:p>
          <w:p>
            <w:pPr>
              <w:pStyle w:val="Normal"/>
              <w:jc w:val="both"/>
              <w:rPr>
                <w:rFonts w:ascii="Arial" w:hAnsi="Arial"/>
                <w:sz w:val="22"/>
                <w:szCs w:val="22"/>
                <w:lang w:val="es-ES"/>
              </w:rPr>
            </w:pPr>
            <w:r>
              <w:rPr>
                <w:rFonts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Bibliografía obligatoria de la Unidad:</w:t>
            </w:r>
            <w:r>
              <w:rPr>
                <w:rFonts w:cs="Arial" w:ascii="Arial" w:hAnsi="Arial"/>
                <w:sz w:val="22"/>
                <w:szCs w:val="22"/>
                <w:lang w:val="es-ES"/>
              </w:rPr>
              <w:t xml:space="preserve">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Fundamentos de física moderna”, Eisberg, Limusa, 2002.</w:t>
            </w:r>
          </w:p>
          <w:p>
            <w:pPr>
              <w:pStyle w:val="Normal"/>
              <w:jc w:val="both"/>
              <w:rPr>
                <w:rFonts w:cs="Arial"/>
                <w:lang w:val="es-ES"/>
              </w:rPr>
            </w:pPr>
            <w:r>
              <w:rPr>
                <w:rFonts w:cs="Arial"/>
                <w:lang w:val="es-ES"/>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3) Unidad o eje temático: Los postulados de la mecánica cuántica</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spacing w:lineRule="auto" w:line="276"/>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Heisenberg y el principio de incertidumbre. Los postulados de la mecánica cuántica y la función de onda. Reglas de cuantización. La ecuación de Schrödinger. Operadores. Valores de expectación. Interpretación de la mecánica cuántica. Partícula en una caja. Apéndice matemático: ecuaciones diferenciales simples.</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inicio y finalización del dictado de la unidad o eje temático: </w:t>
            </w:r>
            <w:r>
              <w:rPr>
                <w:rFonts w:cs="Arial" w:ascii="Arial" w:hAnsi="Arial"/>
                <w:sz w:val="22"/>
                <w:szCs w:val="22"/>
                <w:lang w:val="es-ES"/>
              </w:rPr>
              <w:t xml:space="preserve"> 5 encuentros (excluyendo el feriado del 13/abr y el parcial el 27/abr), del Jueves 06 de abril al Jueves 27 de abril (primer parcial)</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Fundamentos de física moderna”, Eisberg, Limusa, 2002.</w:t>
            </w:r>
          </w:p>
          <w:p>
            <w:pPr>
              <w:pStyle w:val="Normal"/>
              <w:jc w:val="both"/>
              <w:rPr>
                <w:rFonts w:cs="Arial"/>
                <w:lang w:val="es-ES"/>
              </w:rPr>
            </w:pPr>
            <w:r>
              <w:rPr>
                <w:rFonts w:cs="Arial"/>
                <w:lang w:val="es-ES"/>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4) Unidad o eje temático: </w:t>
            </w:r>
            <w:r>
              <w:rPr>
                <w:rFonts w:cs="Arial" w:ascii="Arial" w:hAnsi="Arial"/>
                <w:b/>
                <w:bCs/>
                <w:sz w:val="22"/>
                <w:szCs w:val="22"/>
                <w:lang w:val="es-ES"/>
              </w:rPr>
              <w:t>Aplicación a sistemas simples</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Pozos y barreras de potencial infinitos y finitos. Estado estacionario</w:t>
            </w:r>
            <w:r>
              <w:rPr>
                <w:rFonts w:cs="Arial" w:ascii="Arial" w:hAnsi="Arial"/>
                <w:i/>
                <w:iCs/>
                <w:sz w:val="22"/>
                <w:szCs w:val="22"/>
                <w:lang w:val="es-ES"/>
              </w:rPr>
              <w:t xml:space="preserve">. </w:t>
            </w:r>
            <w:r>
              <w:rPr>
                <w:rFonts w:cs="Arial" w:ascii="Arial" w:hAnsi="Arial"/>
                <w:sz w:val="22"/>
                <w:szCs w:val="22"/>
                <w:lang w:val="es-ES"/>
              </w:rPr>
              <w:t>La densidad de probabilidad. Corriente de probabilidad. Efecto túnel. Aplicaciones tecnológicas del efecto túnel. El oscilador armónico. Cuantización del oscilador armónico. Autovalores y autofunciones. Reinterpretación del principio de equivalencia.</w:t>
            </w:r>
          </w:p>
          <w:p>
            <w:pPr>
              <w:pStyle w:val="Normal"/>
              <w:jc w:val="both"/>
              <w:rPr>
                <w:rFonts w:cs="Arial"/>
              </w:rPr>
            </w:pPr>
            <w:r>
              <w:rPr>
                <w:rFonts w:cs="Arial"/>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 xml:space="preserve">Fechas tentativas de inicio y finalización del dictado de la unidad o eje temático: </w:t>
            </w:r>
            <w:r>
              <w:rPr>
                <w:rFonts w:cs="Arial" w:ascii="Arial" w:hAnsi="Arial"/>
                <w:b w:val="false"/>
                <w:bCs w:val="false"/>
                <w:sz w:val="22"/>
                <w:szCs w:val="22"/>
                <w:lang w:val="es-ES"/>
              </w:rPr>
              <w:t xml:space="preserve">6 encuentros, del Martes 02 de mayo al </w:t>
            </w:r>
            <w:r>
              <w:rPr>
                <w:rFonts w:cs="Arial" w:ascii="Arial" w:hAnsi="Arial"/>
                <w:sz w:val="22"/>
                <w:szCs w:val="22"/>
                <w:lang w:val="es-ES"/>
              </w:rPr>
              <w:t>Jueves 18 de mayo.</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complementaria de la Unidad: </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Fundamentos de física moderna”, Eisberg, Limusa, 2002.</w:t>
            </w:r>
          </w:p>
          <w:p>
            <w:pPr>
              <w:pStyle w:val="Normal"/>
              <w:jc w:val="both"/>
              <w:rPr>
                <w:rFonts w:cs="Arial"/>
                <w:lang w:val="es-ES"/>
              </w:rPr>
            </w:pPr>
            <w:r>
              <w:rPr>
                <w:rFonts w:cs="Arial"/>
                <w:lang w:val="es-ES"/>
              </w:rPr>
            </w:r>
          </w:p>
        </w:tc>
      </w:tr>
    </w:tbl>
    <w:p>
      <w:pPr>
        <w:pStyle w:val="Normal"/>
        <w:spacing w:lineRule="auto" w:line="360"/>
        <w:jc w:val="both"/>
        <w:rPr>
          <w:rFonts w:ascii="Arial" w:hAnsi="Arial" w:cs="Arial"/>
          <w:b/>
          <w:b/>
          <w:sz w:val="22"/>
          <w:szCs w:val="22"/>
          <w:lang w:val="es-ES"/>
        </w:rPr>
      </w:pPr>
      <w:r>
        <w:rPr>
          <w:rFonts w:cs="Arial" w:ascii="Arial" w:hAnsi="Arial"/>
          <w:b/>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2888" w:leader="none"/>
              </w:tabs>
              <w:jc w:val="both"/>
              <w:rPr>
                <w:rFonts w:ascii="Arial" w:hAnsi="Arial"/>
                <w:sz w:val="22"/>
                <w:szCs w:val="22"/>
                <w:lang w:val="es-ES"/>
              </w:rPr>
            </w:pPr>
            <w:r>
              <w:rPr>
                <w:rFonts w:cs="Arial" w:ascii="Arial" w:hAnsi="Arial"/>
                <w:b/>
                <w:sz w:val="22"/>
                <w:szCs w:val="22"/>
                <w:lang w:val="es-ES"/>
              </w:rPr>
              <w:t xml:space="preserve">5) Unidad o eje temático: </w:t>
            </w:r>
            <w:r>
              <w:rPr>
                <w:rFonts w:cs="Arial" w:ascii="Arial" w:hAnsi="Arial"/>
                <w:b/>
                <w:bCs/>
                <w:sz w:val="22"/>
                <w:szCs w:val="22"/>
                <w:lang w:val="es-ES"/>
              </w:rPr>
              <w:t>El átomo de hidrógeno</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lang w:val="es-ES"/>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rFonts w:ascii="Arial" w:hAnsi="Arial"/>
                <w:sz w:val="22"/>
                <w:szCs w:val="22"/>
                <w:lang w:val="es-ES"/>
              </w:rPr>
            </w:pPr>
            <w:r>
              <w:rPr>
                <w:rFonts w:cs="Arial" w:ascii="Arial" w:hAnsi="Arial"/>
                <w:sz w:val="22"/>
                <w:szCs w:val="22"/>
                <w:lang w:val="es-ES"/>
              </w:rPr>
              <w:t>Ecuación de Schrödinger para el átomo de hidrógeno. Solución de la ecuación de Schrödinger. Números cuánticos. Autovalores de energía. Orbitales atómicos.</w:t>
            </w:r>
          </w:p>
          <w:p>
            <w:pPr>
              <w:pStyle w:val="Normal"/>
              <w:jc w:val="both"/>
              <w:rPr>
                <w:rFonts w:ascii="Arial" w:hAnsi="Arial"/>
                <w:sz w:val="22"/>
                <w:szCs w:val="22"/>
                <w:lang w:val="es-ES"/>
              </w:rPr>
            </w:pPr>
            <w:r>
              <w:rPr>
                <w:rFonts w:cs="Arial" w:ascii="Arial" w:hAnsi="Arial"/>
                <w:sz w:val="22"/>
                <w:szCs w:val="22"/>
                <w:lang w:val="es-ES"/>
              </w:rPr>
              <w:t>Apéndice matemático: Ecuaciones diferenciales separables.</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Fechas tentativas de Inicio y finalización del dictado de la unidad o eje temático: </w:t>
            </w:r>
          </w:p>
          <w:p>
            <w:pPr>
              <w:pStyle w:val="Normal"/>
              <w:jc w:val="both"/>
              <w:rPr>
                <w:rFonts w:ascii="Arial" w:hAnsi="Arial" w:cs="Arial"/>
                <w:sz w:val="22"/>
                <w:szCs w:val="22"/>
                <w:lang w:val="es-ES"/>
              </w:rPr>
            </w:pPr>
            <w:r>
              <w:rPr>
                <w:rFonts w:cs="Arial" w:ascii="Arial" w:hAnsi="Arial"/>
                <w:sz w:val="22"/>
                <w:szCs w:val="22"/>
                <w:lang w:val="es-ES"/>
              </w:rPr>
              <w:t>4 encuentros (excluyendo el feriado del 25/may), del Martes 23 de mayo al Martes 06 de Junio</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cs="Arial"/>
                <w:b/>
                <w:b/>
                <w:sz w:val="22"/>
                <w:szCs w:val="22"/>
                <w:lang w:val="es-ES"/>
              </w:rPr>
            </w:pPr>
            <w:r>
              <w:rPr>
                <w:rFonts w:cs="Arial" w:ascii="Arial" w:hAnsi="Arial"/>
                <w:b/>
                <w:sz w:val="22"/>
                <w:szCs w:val="22"/>
                <w:lang w:val="es-ES"/>
              </w:rPr>
              <w:t xml:space="preserve">Bibliografía obligatoria de la Unidad: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rFonts w:ascii="Arial" w:hAnsi="Arial" w:cs="Arial"/>
                <w:sz w:val="22"/>
                <w:szCs w:val="22"/>
                <w:lang w:val="es-ES"/>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rFonts w:ascii="Arial" w:hAnsi="Arial" w:cs="Arial"/>
                <w:sz w:val="22"/>
                <w:szCs w:val="22"/>
                <w:lang w:val="es-ES"/>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rPr>
            </w:pPr>
            <w:r>
              <w:rPr>
                <w:rFonts w:cs="Arial" w:ascii="Arial" w:hAnsi="Arial"/>
                <w:b/>
                <w:sz w:val="22"/>
                <w:szCs w:val="22"/>
                <w:lang w:val="es-ES"/>
              </w:rPr>
              <w:t>Bibliografía complementaria de la Unidad:</w:t>
            </w:r>
          </w:p>
          <w:p>
            <w:pPr>
              <w:pStyle w:val="Normal"/>
              <w:jc w:val="both"/>
              <w:rPr>
                <w:rFonts w:ascii="Arial" w:hAnsi="Arial"/>
                <w:sz w:val="22"/>
                <w:szCs w:val="22"/>
              </w:rPr>
            </w:pPr>
            <w:r>
              <w:rPr>
                <w:rFonts w:cs="Arial" w:ascii="Arial" w:hAnsi="Arial"/>
                <w:sz w:val="22"/>
                <w:szCs w:val="22"/>
                <w:lang w:val="es-ES"/>
              </w:rPr>
              <w:t>“</w:t>
            </w:r>
            <w:r>
              <w:rPr>
                <w:rFonts w:cs="Arial" w:ascii="Arial" w:hAnsi="Arial"/>
                <w:sz w:val="22"/>
                <w:szCs w:val="22"/>
                <w:lang w:val="es-ES"/>
              </w:rPr>
              <w:t>Fundamentos de física moderna”, Eisberg, Limusa, 2002.</w:t>
            </w:r>
          </w:p>
          <w:p>
            <w:pPr>
              <w:pStyle w:val="Normal"/>
              <w:jc w:val="both"/>
              <w:rPr>
                <w:rFonts w:cs="Arial"/>
                <w:b/>
                <w:b/>
                <w:lang w:val="es-ES"/>
              </w:rPr>
            </w:pPr>
            <w:r>
              <w:rPr>
                <w:rFonts w:cs="Arial"/>
                <w:b/>
                <w:lang w:val="es-ES"/>
              </w:rPr>
            </w:r>
          </w:p>
        </w:tc>
      </w:tr>
    </w:tbl>
    <w:p>
      <w:pPr>
        <w:pStyle w:val="Normal"/>
        <w:spacing w:lineRule="auto" w:line="360"/>
        <w:jc w:val="both"/>
        <w:rPr>
          <w:rFonts w:ascii="Arial" w:hAnsi="Arial" w:cs="Arial"/>
          <w:sz w:val="22"/>
          <w:szCs w:val="22"/>
          <w:lang w:val="es-ES"/>
        </w:rPr>
      </w:pPr>
      <w:r>
        <w:rPr>
          <w:rFonts w:cs="Arial" w:ascii="Arial" w:hAnsi="Arial"/>
          <w:sz w:val="22"/>
          <w:szCs w:val="22"/>
          <w:lang w:val="es-ES"/>
        </w:rPr>
      </w:r>
    </w:p>
    <w:tbl>
      <w:tblPr>
        <w:tblW w:w="8654" w:type="dxa"/>
        <w:jc w:val="left"/>
        <w:tblInd w:w="-1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8" w:type="dxa"/>
          <w:bottom w:w="0" w:type="dxa"/>
          <w:right w:w="108" w:type="dxa"/>
        </w:tblCellMar>
      </w:tblPr>
      <w:tblGrid>
        <w:gridCol w:w="8654"/>
      </w:tblGrid>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tabs>
                <w:tab w:val="left" w:pos="2888" w:leader="none"/>
              </w:tabs>
              <w:jc w:val="both"/>
              <w:rPr>
                <w:rFonts w:ascii="Arial" w:hAnsi="Arial"/>
                <w:sz w:val="22"/>
                <w:szCs w:val="22"/>
                <w:lang w:val="es-ES"/>
              </w:rPr>
            </w:pPr>
            <w:r>
              <w:rPr>
                <w:rFonts w:cs="Arial" w:ascii="Arial" w:hAnsi="Arial"/>
                <w:b/>
                <w:sz w:val="22"/>
                <w:szCs w:val="22"/>
                <w:lang w:val="es-ES"/>
              </w:rPr>
              <w:t xml:space="preserve">6) Unidad o eje temático: </w:t>
            </w:r>
            <w:r>
              <w:rPr>
                <w:rFonts w:cs="Arial" w:ascii="Arial" w:hAnsi="Arial"/>
                <w:sz w:val="22"/>
                <w:szCs w:val="22"/>
                <w:lang w:val="es-ES"/>
              </w:rPr>
              <w:t xml:space="preserve">Átomos complejos. </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Contenidos:</w:t>
            </w:r>
            <w:r>
              <w:rPr>
                <w:rFonts w:cs="Arial" w:ascii="Arial" w:hAnsi="Arial"/>
                <w:sz w:val="22"/>
                <w:szCs w:val="22"/>
                <w:lang w:val="es-ES"/>
              </w:rPr>
              <w:t xml:space="preserve"> </w:t>
            </w:r>
          </w:p>
          <w:p>
            <w:pPr>
              <w:pStyle w:val="Normal"/>
              <w:jc w:val="both"/>
              <w:rPr/>
            </w:pPr>
            <w:r>
              <w:rPr>
                <w:rFonts w:cs="Arial" w:ascii="Arial" w:hAnsi="Arial"/>
                <w:sz w:val="22"/>
                <w:szCs w:val="22"/>
                <w:lang w:val="es-ES"/>
              </w:rPr>
              <w:t>La tabla periódica. La ley de Moseley de los rayos X. El momento magnético orbital. El espín del electrón. Momento magnético del espín de electrón. Apantallamiento. Reglas de Hund. Regla de Madelung. Átomos de muchos electrones.</w:t>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 xml:space="preserve">Fechas tentativas de Inicio y finalización del dictado de la unidad o eje temático: </w:t>
            </w:r>
          </w:p>
          <w:p>
            <w:pPr>
              <w:pStyle w:val="Normal"/>
              <w:jc w:val="both"/>
              <w:rPr/>
            </w:pPr>
            <w:r>
              <w:rPr>
                <w:rFonts w:cs="Arial" w:ascii="Arial" w:hAnsi="Arial"/>
                <w:sz w:val="22"/>
                <w:szCs w:val="22"/>
                <w:lang w:val="es-ES"/>
              </w:rPr>
              <w:t>3 encuentros (excluyendo el feriado del 20/jun y el parcial del 22/jun), del Jueves 08 de junio al Jueves 22 de junio (segundo parcial).</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pPr>
            <w:r>
              <w:rPr>
                <w:rFonts w:cs="Arial" w:ascii="Arial" w:hAnsi="Arial"/>
                <w:b/>
                <w:sz w:val="22"/>
                <w:szCs w:val="22"/>
                <w:lang w:val="es-ES"/>
              </w:rPr>
              <w:t xml:space="preserve">Bibliografía obligatoria de la Unidad: </w:t>
            </w:r>
          </w:p>
          <w:p>
            <w:pPr>
              <w:pStyle w:val="Normal"/>
              <w:jc w:val="both"/>
              <w:rPr/>
            </w:pPr>
            <w:r>
              <w:rPr>
                <w:rFonts w:cs="Arial" w:ascii="Arial" w:hAnsi="Arial"/>
                <w:sz w:val="22"/>
                <w:szCs w:val="22"/>
                <w:lang w:val="es-ES"/>
              </w:rPr>
              <w:t>“</w:t>
            </w:r>
            <w:r>
              <w:rPr>
                <w:rFonts w:cs="Arial" w:ascii="Arial" w:hAnsi="Arial"/>
                <w:sz w:val="22"/>
                <w:szCs w:val="22"/>
                <w:lang w:val="es-ES"/>
              </w:rPr>
              <w:t xml:space="preserve">Física”, Resnick, Halliday y Krane, cualquier edición, Editorial Patria </w:t>
            </w:r>
          </w:p>
          <w:p>
            <w:pPr>
              <w:pStyle w:val="Normal"/>
              <w:jc w:val="both"/>
              <w:rPr/>
            </w:pPr>
            <w:r>
              <w:rPr>
                <w:rFonts w:cs="Arial" w:ascii="Arial" w:hAnsi="Arial"/>
                <w:sz w:val="22"/>
                <w:szCs w:val="22"/>
                <w:lang w:val="es-ES"/>
              </w:rPr>
              <w:t>“</w:t>
            </w:r>
            <w:r>
              <w:rPr>
                <w:rFonts w:cs="Arial" w:ascii="Arial" w:hAnsi="Arial"/>
                <w:sz w:val="22"/>
                <w:szCs w:val="22"/>
                <w:lang w:val="es-ES"/>
              </w:rPr>
              <w:t>Sears – Zemansky, Física Universitaria (con Física Moderna)”, Vol. 2, Young y Freedman, cualquier edición, Addison-Wesley</w:t>
            </w:r>
          </w:p>
          <w:p>
            <w:pPr>
              <w:pStyle w:val="Normal"/>
              <w:jc w:val="both"/>
              <w:rPr/>
            </w:pPr>
            <w:r>
              <w:rPr>
                <w:rFonts w:cs="Arial" w:ascii="Arial" w:hAnsi="Arial"/>
                <w:sz w:val="22"/>
                <w:szCs w:val="22"/>
                <w:lang w:val="es-ES"/>
              </w:rPr>
              <w:t>“</w:t>
            </w:r>
            <w:r>
              <w:rPr>
                <w:rFonts w:cs="Arial" w:ascii="Arial" w:hAnsi="Arial"/>
                <w:sz w:val="22"/>
                <w:szCs w:val="22"/>
                <w:lang w:val="es-ES"/>
              </w:rPr>
              <w:t>Conceptos de Física Moderna”, Beiser, Edición 6, McGraw-Hill, 2003</w:t>
            </w:r>
          </w:p>
          <w:p>
            <w:pPr>
              <w:pStyle w:val="Normal"/>
              <w:jc w:val="both"/>
              <w:rPr/>
            </w:pPr>
            <w:r>
              <w:rPr>
                <w:rFonts w:cs="Arial" w:ascii="Arial" w:hAnsi="Arial"/>
                <w:sz w:val="22"/>
                <w:szCs w:val="22"/>
                <w:lang w:val="es-ES"/>
              </w:rPr>
              <w:t>Cualquier otro libro que cubra los contenidos de la unidad</w:t>
            </w:r>
          </w:p>
          <w:p>
            <w:pPr>
              <w:pStyle w:val="Normal"/>
              <w:jc w:val="both"/>
              <w:rPr>
                <w:rFonts w:ascii="Arial" w:hAnsi="Arial" w:cs="Arial"/>
                <w:sz w:val="22"/>
                <w:szCs w:val="22"/>
                <w:lang w:val="es-ES"/>
              </w:rPr>
            </w:pPr>
            <w:r>
              <w:rPr>
                <w:rFonts w:cs="Arial" w:ascii="Arial" w:hAnsi="Arial"/>
                <w:sz w:val="22"/>
                <w:szCs w:val="22"/>
                <w:lang w:val="es-ES"/>
              </w:rPr>
            </w:r>
          </w:p>
        </w:tc>
      </w:tr>
      <w:tr>
        <w:trPr/>
        <w:tc>
          <w:tcPr>
            <w:tcW w:w="86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98" w:type="dxa"/>
            </w:tcMar>
          </w:tcPr>
          <w:p>
            <w:pPr>
              <w:pStyle w:val="Normal"/>
              <w:jc w:val="both"/>
              <w:rPr>
                <w:rFonts w:ascii="Arial" w:hAnsi="Arial"/>
                <w:sz w:val="22"/>
                <w:szCs w:val="22"/>
              </w:rPr>
            </w:pPr>
            <w:r>
              <w:rPr>
                <w:rFonts w:cs="Arial" w:ascii="Arial" w:hAnsi="Arial"/>
                <w:b/>
                <w:sz w:val="22"/>
                <w:szCs w:val="22"/>
                <w:lang w:val="es-ES"/>
              </w:rPr>
              <w:t>Bibliografía complementaria de la Unidad:</w:t>
            </w:r>
          </w:p>
          <w:p>
            <w:pPr>
              <w:pStyle w:val="Normal"/>
              <w:jc w:val="both"/>
              <w:rPr>
                <w:rFonts w:ascii="Arial" w:hAnsi="Arial"/>
                <w:b w:val="false"/>
                <w:b w:val="false"/>
                <w:bCs w:val="false"/>
                <w:sz w:val="22"/>
                <w:szCs w:val="22"/>
              </w:rPr>
            </w:pPr>
            <w:r>
              <w:rPr>
                <w:rFonts w:cs="Arial" w:ascii="Arial" w:hAnsi="Arial"/>
                <w:b w:val="false"/>
                <w:bCs w:val="false"/>
                <w:sz w:val="22"/>
                <w:szCs w:val="22"/>
                <w:lang w:val="es-ES"/>
              </w:rPr>
              <w:t>“</w:t>
            </w:r>
            <w:r>
              <w:rPr>
                <w:rFonts w:cs="Arial" w:ascii="Arial" w:hAnsi="Arial"/>
                <w:b w:val="false"/>
                <w:bCs w:val="false"/>
                <w:sz w:val="22"/>
                <w:szCs w:val="22"/>
                <w:lang w:val="es-ES"/>
              </w:rPr>
              <w:t>Fundamentos de física moderna”, Eisberg, Limusa, 2002.</w:t>
            </w:r>
          </w:p>
          <w:p>
            <w:pPr>
              <w:pStyle w:val="Normal"/>
              <w:jc w:val="both"/>
              <w:rPr>
                <w:rFonts w:cs="Arial"/>
                <w:lang w:val="es-ES"/>
              </w:rPr>
            </w:pPr>
            <w:r>
              <w:rPr>
                <w:rFonts w:cs="Arial"/>
                <w:lang w:val="es-ES"/>
              </w:rPr>
            </w:r>
          </w:p>
        </w:tc>
      </w:tr>
    </w:tbl>
    <w:p>
      <w:pPr>
        <w:pStyle w:val="Normal"/>
        <w:spacing w:lineRule="auto" w:line="360"/>
        <w:jc w:val="both"/>
        <w:rPr/>
      </w:pPr>
      <w:r>
        <w:rPr/>
      </w:r>
    </w:p>
    <w:sectPr>
      <w:headerReference w:type="default" r:id="rId5"/>
      <w:footerReference w:type="default" r:id="rId6"/>
      <w:type w:val="nextPage"/>
      <w:pgSz w:w="11906" w:h="16838"/>
      <w:pgMar w:left="1701" w:right="1701" w:header="708" w:top="2336"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Bookman Old Style">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Verdana">
    <w:charset w:val="01"/>
    <w:family w:val="roman"/>
    <w:pitch w:val="variable"/>
  </w:font>
  <w:font w:name="Tahom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1"/>
      </w:pBdr>
      <w:rPr/>
    </w:pPr>
    <w:r>
      <w:rPr>
        <w:rFonts w:cs="Arial" w:ascii="Arial" w:hAnsi="Arial"/>
        <w:sz w:val="16"/>
        <w:szCs w:val="16"/>
        <w:lang w:val="es-ES"/>
      </w:rPr>
      <w:t xml:space="preserve">Creada por Ley 26.330 /Colón 450 Oficina 1 .CP 8500 Viedma. Río Negro / </w:t>
    </w:r>
    <w:hyperlink r:id="rId1">
      <w:r>
        <w:rPr>
          <w:rStyle w:val="InternetLink"/>
          <w:rFonts w:cs="Arial" w:ascii="Arial" w:hAnsi="Arial"/>
          <w:sz w:val="16"/>
          <w:szCs w:val="16"/>
          <w:lang w:val="es-ES"/>
        </w:rPr>
        <w:t>info@unrn.edu.ar</w:t>
      </w:r>
    </w:hyperlink>
    <w:r>
      <w:rPr>
        <w:rStyle w:val="Hccdpe"/>
        <w:rFonts w:cs="Arial" w:ascii="Arial" w:hAnsi="Arial"/>
        <w:sz w:val="16"/>
        <w:szCs w:val="16"/>
        <w:lang w:val="es-ES"/>
      </w:rPr>
      <w:t xml:space="preserve"> /</w:t>
    </w:r>
    <w:hyperlink r:id="rId2">
      <w:r>
        <w:rPr>
          <w:rStyle w:val="InternetLink"/>
          <w:rFonts w:cs="Arial" w:ascii="Arial" w:hAnsi="Arial"/>
          <w:sz w:val="16"/>
          <w:szCs w:val="16"/>
          <w:lang w:val="es-ES"/>
        </w:rPr>
        <w:t>www.unrn.edu.ar</w:t>
      </w:r>
    </w:hyperlink>
    <w:r>
      <w:rPr>
        <w:rFonts w:cs="Arial" w:ascii="Arial" w:hAnsi="Arial"/>
        <w:sz w:val="16"/>
        <w:szCs w:val="16"/>
        <w:lang w:val="es-ES"/>
      </w:rPr>
      <w:t xml:space="preserve"> </w:t>
    </w:r>
  </w:p>
  <w:p>
    <w:pPr>
      <w:pStyle w:val="Footer"/>
      <w:rPr>
        <w:rFonts w:ascii="Arial" w:hAnsi="Arial" w:cs="Arial"/>
        <w:sz w:val="16"/>
        <w:szCs w:val="16"/>
        <w:lang w:val="es-ES"/>
      </w:rPr>
    </w:pPr>
    <w:r>
      <w:rPr>
        <w:rFonts w:cs="Arial" w:ascii="Arial" w:hAnsi="Arial"/>
        <w:sz w:val="16"/>
        <w:szCs w:val="16"/>
        <w:lang w:val="es-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lang w:val="es-ES" w:eastAsia="en-US"/>
      </w:rPr>
    </w:pPr>
    <w:r>
      <w:rPr>
        <w:lang w:val="es-ES" w:eastAsia="en-US"/>
      </w:rPr>
      <w:drawing>
        <wp:anchor behindDoc="1" distT="0" distB="0" distL="114935" distR="114935" simplePos="0" locked="0" layoutInCell="1" allowOverlap="1" relativeHeight="6">
          <wp:simplePos x="0" y="0"/>
          <wp:positionH relativeFrom="column">
            <wp:posOffset>-3810</wp:posOffset>
          </wp:positionH>
          <wp:positionV relativeFrom="paragraph">
            <wp:posOffset>635</wp:posOffset>
          </wp:positionV>
          <wp:extent cx="514350" cy="800100"/>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
                  <a:stretch>
                    <a:fillRect/>
                  </a:stretch>
                </pic:blipFill>
                <pic:spPr bwMode="auto">
                  <a:xfrm>
                    <a:off x="0" y="0"/>
                    <a:ext cx="514350" cy="800100"/>
                  </a:xfrm>
                  <a:prstGeom prst="rect">
                    <a:avLst/>
                  </a:prstGeom>
                </pic:spPr>
              </pic:pic>
            </a:graphicData>
          </a:graphic>
        </wp:anchor>
      </w:drawing>
    </w:r>
  </w:p>
  <w:p>
    <w:pPr>
      <w:pStyle w:val="Head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ind w:left="864" w:hanging="864"/>
      </w:pPr>
    </w:lvl>
    <w:lvl w:ilvl="4">
      <w:start w:val="1"/>
      <w:numFmt w:val="none"/>
      <w:suff w:val="nothing"/>
      <w:lvlText w:val=""/>
      <w:lvlJc w:val="left"/>
      <w:pPr>
        <w:tabs>
          <w:tab w:val="num" w:pos="1008"/>
        </w:tabs>
        <w:ind w:left="1008" w:hanging="1008"/>
      </w:pPr>
    </w:lvl>
    <w:lvl w:ilvl="5">
      <w:start w:val="1"/>
      <w:pStyle w:val="Heading6"/>
      <w:numFmt w:val="none"/>
      <w:suff w:val="nothing"/>
      <w:lvlText w:val=""/>
      <w:lvlJc w:val="left"/>
      <w:pPr>
        <w:ind w:left="1152" w:hanging="1152"/>
      </w:pPr>
    </w:lvl>
    <w:lvl w:ilvl="6">
      <w:start w:val="1"/>
      <w:pStyle w:val="Heading7"/>
      <w:numFmt w:val="none"/>
      <w:suff w:val="nothing"/>
      <w:lvlText w:val=""/>
      <w:lvlJc w:val="left"/>
      <w:pPr>
        <w:ind w:left="1296" w:hanging="1296"/>
      </w:pPr>
    </w:lvl>
    <w:lvl w:ilvl="7">
      <w:start w:val="1"/>
      <w:pStyle w:val="Heading8"/>
      <w:numFmt w:val="none"/>
      <w:suff w:val="nothing"/>
      <w:lvlText w:val=""/>
      <w:lvlJc w:val="left"/>
      <w:pPr>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bering>
</file>

<file path=word/settings.xml><?xml version="1.0" encoding="utf-8"?>
<w:settings xmlns:w="http://schemas.openxmlformats.org/wordprocessingml/2006/main">
  <w:zoom w:percent="18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s-ES" w:eastAsia="zh-CN" w:bidi="hi-IN"/>
      </w:rPr>
    </w:rPrDefault>
    <w:pPrDefault>
      <w:pPr/>
    </w:pPrDefault>
  </w:docDefaults>
  <w:style w:type="paragraph" w:styleId="Normal">
    <w:name w:val="Normal"/>
    <w:qFormat/>
    <w:pPr>
      <w:widowControl/>
      <w:overflowPunct w:val="false"/>
      <w:bidi w:val="0"/>
      <w:jc w:val="left"/>
    </w:pPr>
    <w:rPr>
      <w:rFonts w:ascii="Times New Roman" w:hAnsi="Times New Roman" w:eastAsia="Times New Roman" w:cs="Times New Roman"/>
      <w:color w:val="00000A"/>
      <w:sz w:val="24"/>
      <w:szCs w:val="24"/>
      <w:lang w:val="es-ES" w:eastAsia="zh-CN" w:bidi="ar-SA"/>
    </w:rPr>
  </w:style>
  <w:style w:type="paragraph" w:styleId="Heading1">
    <w:name w:val="Heading 1"/>
    <w:basedOn w:val="Normal"/>
    <w:next w:val="Normal"/>
    <w:qFormat/>
    <w:pPr>
      <w:keepNext/>
      <w:numPr>
        <w:ilvl w:val="0"/>
        <w:numId w:val="1"/>
      </w:numPr>
      <w:spacing w:before="240" w:after="60"/>
      <w:outlineLvl w:val="0"/>
      <w:outlineLvl w:val="0"/>
    </w:pPr>
    <w:rPr>
      <w:rFonts w:ascii="Arial" w:hAnsi="Arial" w:cs="Arial"/>
      <w:b/>
      <w:sz w:val="28"/>
      <w:szCs w:val="20"/>
    </w:rPr>
  </w:style>
  <w:style w:type="paragraph" w:styleId="Heading4">
    <w:name w:val="Heading 4"/>
    <w:basedOn w:val="Normal"/>
    <w:next w:val="Normal"/>
    <w:qFormat/>
    <w:pPr>
      <w:keepNext/>
      <w:numPr>
        <w:ilvl w:val="3"/>
        <w:numId w:val="1"/>
      </w:numPr>
      <w:jc w:val="both"/>
      <w:outlineLvl w:val="3"/>
      <w:outlineLvl w:val="3"/>
    </w:pPr>
    <w:rPr>
      <w:rFonts w:ascii="Bookman Old Style" w:hAnsi="Bookman Old Style" w:cs="Bookman Old Style"/>
      <w:b/>
      <w:sz w:val="20"/>
      <w:szCs w:val="20"/>
    </w:rPr>
  </w:style>
  <w:style w:type="paragraph" w:styleId="Heading6">
    <w:name w:val="Heading 6"/>
    <w:basedOn w:val="Normal"/>
    <w:next w:val="Normal"/>
    <w:qFormat/>
    <w:pPr>
      <w:keepNext/>
      <w:numPr>
        <w:ilvl w:val="5"/>
        <w:numId w:val="1"/>
      </w:numPr>
      <w:ind w:left="-314" w:right="0" w:hanging="0"/>
      <w:jc w:val="both"/>
      <w:outlineLvl w:val="5"/>
      <w:outlineLvl w:val="5"/>
    </w:pPr>
    <w:rPr>
      <w:szCs w:val="20"/>
    </w:rPr>
  </w:style>
  <w:style w:type="paragraph" w:styleId="Heading7">
    <w:name w:val="Heading 7"/>
    <w:basedOn w:val="Normal"/>
    <w:next w:val="Normal"/>
    <w:qFormat/>
    <w:pPr>
      <w:keepNext/>
      <w:widowControl w:val="false"/>
      <w:numPr>
        <w:ilvl w:val="6"/>
        <w:numId w:val="1"/>
      </w:numPr>
      <w:jc w:val="both"/>
      <w:outlineLvl w:val="6"/>
      <w:outlineLvl w:val="6"/>
    </w:pPr>
    <w:rPr>
      <w:b/>
      <w:szCs w:val="20"/>
    </w:rPr>
  </w:style>
  <w:style w:type="paragraph" w:styleId="Heading8">
    <w:name w:val="Heading 8"/>
    <w:basedOn w:val="Normal"/>
    <w:next w:val="Normal"/>
    <w:qFormat/>
    <w:pPr>
      <w:keepNext/>
      <w:widowControl w:val="false"/>
      <w:numPr>
        <w:ilvl w:val="7"/>
        <w:numId w:val="1"/>
      </w:numPr>
      <w:jc w:val="both"/>
      <w:outlineLvl w:val="7"/>
      <w:outlineLvl w:val="7"/>
    </w:pPr>
    <w:rPr>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sz w:val="20"/>
    </w:rPr>
  </w:style>
  <w:style w:type="character" w:styleId="WW8Num3z1">
    <w:name w:val="WW8Num3z1"/>
    <w:qFormat/>
    <w:rPr>
      <w:rFonts w:ascii="Courier New" w:hAnsi="Courier New" w:cs="Courier New"/>
      <w:sz w:val="20"/>
    </w:rPr>
  </w:style>
  <w:style w:type="character" w:styleId="WW8Num3z2">
    <w:name w:val="WW8Num3z2"/>
    <w:qFormat/>
    <w:rPr>
      <w:rFonts w:ascii="Wingdings" w:hAnsi="Wingdings" w:cs="Wingdings"/>
      <w:sz w:val="20"/>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Symbol"/>
      <w:sz w:val="20"/>
    </w:rPr>
  </w:style>
  <w:style w:type="character" w:styleId="WW8Num8z1">
    <w:name w:val="WW8Num8z1"/>
    <w:qFormat/>
    <w:rPr>
      <w:rFonts w:ascii="Courier New" w:hAnsi="Courier New" w:cs="Courier New"/>
      <w:sz w:val="20"/>
    </w:rPr>
  </w:style>
  <w:style w:type="character" w:styleId="WW8Num8z2">
    <w:name w:val="WW8Num8z2"/>
    <w:qFormat/>
    <w:rPr>
      <w:rFonts w:ascii="Wingdings" w:hAnsi="Wingdings" w:cs="Wingdings"/>
      <w:sz w:val="20"/>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1z0">
    <w:name w:val="WW8Num11z0"/>
    <w:qFormat/>
    <w:rPr>
      <w:rFonts w:ascii="Symbol" w:hAnsi="Symbol" w:cs="Symbol"/>
      <w:sz w:val="20"/>
    </w:rPr>
  </w:style>
  <w:style w:type="character" w:styleId="WW8Num11z1">
    <w:name w:val="WW8Num11z1"/>
    <w:qFormat/>
    <w:rPr>
      <w:rFonts w:ascii="Courier New" w:hAnsi="Courier New" w:cs="Courier New"/>
      <w:sz w:val="20"/>
    </w:rPr>
  </w:style>
  <w:style w:type="character" w:styleId="WW8Num11z2">
    <w:name w:val="WW8Num11z2"/>
    <w:qFormat/>
    <w:rPr>
      <w:rFonts w:ascii="Wingdings" w:hAnsi="Wingdings" w:cs="Wingdings"/>
      <w:sz w:val="20"/>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Symbol" w:hAnsi="Symbol" w:cs="Symbol"/>
      <w:sz w:val="20"/>
    </w:rPr>
  </w:style>
  <w:style w:type="character" w:styleId="WW8Num16z1">
    <w:name w:val="WW8Num16z1"/>
    <w:qFormat/>
    <w:rPr>
      <w:rFonts w:ascii="Courier New" w:hAnsi="Courier New" w:cs="Courier New"/>
      <w:sz w:val="20"/>
    </w:rPr>
  </w:style>
  <w:style w:type="character" w:styleId="WW8Num16z2">
    <w:name w:val="WW8Num16z2"/>
    <w:qFormat/>
    <w:rPr>
      <w:rFonts w:ascii="Wingdings" w:hAnsi="Wingdings" w:cs="Wingdings"/>
      <w:sz w:val="20"/>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rPr>
  </w:style>
  <w:style w:type="character" w:styleId="WW8Num19z1">
    <w:name w:val="WW8Num19z1"/>
    <w:qFormat/>
    <w:rPr>
      <w:rFonts w:ascii="Courier New" w:hAnsi="Courier New" w:cs="Courier New"/>
      <w:sz w:val="20"/>
    </w:rPr>
  </w:style>
  <w:style w:type="character" w:styleId="WW8Num19z2">
    <w:name w:val="WW8Num19z2"/>
    <w:qFormat/>
    <w:rPr>
      <w:rFonts w:ascii="Wingdings" w:hAnsi="Wingdings" w:cs="Wingdings"/>
      <w:sz w:val="20"/>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Fuentedeprrafopredeter">
    <w:name w:val="Fuente de párrafo predeter."/>
    <w:qFormat/>
    <w:rPr/>
  </w:style>
  <w:style w:type="character" w:styleId="StrongEmphasis">
    <w:name w:val="Strong Emphasis"/>
    <w:qFormat/>
    <w:rPr>
      <w:b/>
      <w:bCs/>
    </w:rPr>
  </w:style>
  <w:style w:type="character" w:styleId="InternetLink">
    <w:name w:val="Internet Link"/>
    <w:rPr>
      <w:color w:val="0000FF"/>
      <w:u w:val="single"/>
    </w:rPr>
  </w:style>
  <w:style w:type="character" w:styleId="Hccdpe">
    <w:name w:val="hccdpe"/>
    <w:basedOn w:val="Fuentedeprrafopredeter"/>
    <w:qFormat/>
    <w:rPr/>
  </w:style>
  <w:style w:type="character" w:styleId="TextonotaalfinalCar">
    <w:name w:val="Texto nota al final Car"/>
    <w:qFormat/>
    <w:rPr/>
  </w:style>
  <w:style w:type="character" w:styleId="EndnoteCharacters">
    <w:name w:val="Endnote Characters"/>
    <w:qFormat/>
    <w:rPr>
      <w:vertAlign w:val="superscript"/>
    </w:rPr>
  </w:style>
  <w:style w:type="character" w:styleId="Appleconvertedspace">
    <w:name w:val="apple-converted-space"/>
    <w:basedOn w:val="Fuentedeprrafopredeter"/>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280" w:after="280"/>
    </w:pPr>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
    <w:name w:val="F"/>
    <w:qFormat/>
    <w:pPr>
      <w:widowControl/>
      <w:overflowPunct w:val="false"/>
      <w:bidi w:val="0"/>
      <w:spacing w:lineRule="exact" w:line="240" w:before="480" w:after="0"/>
      <w:ind w:left="4320" w:right="0" w:hanging="0"/>
      <w:jc w:val="left"/>
    </w:pPr>
    <w:rPr>
      <w:rFonts w:ascii="Courier" w:hAnsi="Courier" w:eastAsia="Times New Roman" w:cs="Courier"/>
      <w:color w:val="00000A"/>
      <w:sz w:val="24"/>
      <w:szCs w:val="20"/>
      <w:lang w:val="es-ES" w:eastAsia="zh-CN" w:bidi="ar-SA"/>
    </w:rPr>
  </w:style>
  <w:style w:type="paragraph" w:styleId="Texto">
    <w:name w:val="texto"/>
    <w:basedOn w:val="Normal"/>
    <w:qFormat/>
    <w:pPr>
      <w:spacing w:lineRule="atLeast" w:line="360" w:before="280" w:after="280"/>
    </w:pPr>
    <w:rPr>
      <w:rFonts w:ascii="Verdana" w:hAnsi="Verdana" w:cs="Verdana"/>
      <w:color w:val="333333"/>
      <w:sz w:val="22"/>
      <w:szCs w:val="22"/>
    </w:rPr>
  </w:style>
  <w:style w:type="paragraph" w:styleId="Textoindependiente3">
    <w:name w:val="Texto independiente 3"/>
    <w:basedOn w:val="Normal"/>
    <w:qFormat/>
    <w:pPr/>
    <w:rPr>
      <w:rFonts w:ascii="Arial" w:hAnsi="Arial" w:cs="Arial"/>
      <w:sz w:val="22"/>
      <w:szCs w:val="20"/>
    </w:rPr>
  </w:style>
  <w:style w:type="paragraph" w:styleId="Epgrafe">
    <w:name w:val="Epígrafe"/>
    <w:basedOn w:val="Normal"/>
    <w:next w:val="Normal"/>
    <w:qFormat/>
    <w:pPr>
      <w:widowControl w:val="false"/>
      <w:jc w:val="center"/>
    </w:pPr>
    <w:rPr>
      <w:b/>
      <w:szCs w:val="20"/>
    </w:rPr>
  </w:style>
  <w:style w:type="paragraph" w:styleId="Textoindependiente2">
    <w:name w:val="Texto independiente 2"/>
    <w:basedOn w:val="Normal"/>
    <w:qFormat/>
    <w:pPr>
      <w:widowControl w:val="false"/>
      <w:jc w:val="both"/>
    </w:pPr>
    <w:rPr>
      <w:szCs w:val="20"/>
    </w:rPr>
  </w:style>
  <w:style w:type="paragraph" w:styleId="Textodeglobo">
    <w:name w:val="Texto de globo"/>
    <w:basedOn w:val="Normal"/>
    <w:qFormat/>
    <w:pPr/>
    <w:rPr>
      <w:rFonts w:ascii="Tahoma" w:hAnsi="Tahoma" w:cs="Tahoma"/>
      <w:sz w:val="16"/>
      <w:szCs w:val="16"/>
    </w:rPr>
  </w:style>
  <w:style w:type="paragraph" w:styleId="EndnoteSymbol">
    <w:name w:val="Endnote Symbol"/>
    <w:basedOn w:val="Normal"/>
    <w:qFormat/>
    <w:pPr/>
    <w:rPr>
      <w:sz w:val="20"/>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soreyh@unrn.edu.ar" TargetMode="External"/><Relationship Id="rId3" Type="http://schemas.openxmlformats.org/officeDocument/2006/relationships/hyperlink" Target="mailto:hasoreyh@unrn.edu.ar" TargetMode="External"/><Relationship Id="rId4" Type="http://schemas.openxmlformats.org/officeDocument/2006/relationships/hyperlink" Target="mailto:hasoreyh@unrn.edu.a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mailto:info@unrn.edu.ar" TargetMode="External"/><Relationship Id="rId2" Type="http://schemas.openxmlformats.org/officeDocument/2006/relationships/hyperlink" Target="http://www.unrn.edu.ar/" TargetMode="Externa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140</TotalTime>
  <Application>LibreOffice/5.1.6.2$Linux_X86_64 LibreOffice_project/10m0$Build-2</Application>
  <Pages>4</Pages>
  <Words>1342</Words>
  <Characters>7944</Characters>
  <CharactersWithSpaces>9228</CharactersWithSpaces>
  <Paragraphs>101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2016-03-27T19:58:00Z</dcterms:created>
  <dc:creator>WinuE</dc:creator>
  <dc:description/>
  <dc:language>en-US</dc:language>
  <cp:lastModifiedBy/>
  <cp:lastPrinted>2012-03-13T15:39:00Z</cp:lastPrinted>
  <dcterms:modified xsi:type="dcterms:W3CDTF">2017-03-05T14:53:23Z</dcterms:modified>
  <cp:revision>13</cp:revision>
  <dc:subject/>
  <dc:title>VIEDMA, 2 de noviembre de 2007</dc:title>
</cp:coreProperties>
</file>