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E4" w:rsidRPr="00F57EE4" w:rsidRDefault="003D76E0" w:rsidP="00F57EE4">
      <w:pPr>
        <w:pStyle w:val="1"/>
        <w:keepLines w:val="0"/>
        <w:tabs>
          <w:tab w:val="num" w:pos="0"/>
        </w:tabs>
        <w:suppressAutoHyphens/>
        <w:spacing w:before="120" w:after="120" w:line="240" w:lineRule="auto"/>
        <w:jc w:val="center"/>
        <w:rPr>
          <w:color w:val="auto"/>
        </w:rPr>
      </w:pPr>
      <w:r>
        <w:rPr>
          <w:color w:val="auto"/>
          <w:sz w:val="27"/>
          <w:szCs w:val="27"/>
        </w:rPr>
        <w:t>Лабораторная работа №3</w:t>
      </w:r>
    </w:p>
    <w:p w:rsidR="00F57EE4" w:rsidRPr="00A03593" w:rsidRDefault="00F57EE4" w:rsidP="00F57EE4">
      <w:pPr>
        <w:pStyle w:val="a4"/>
        <w:ind w:left="900" w:hanging="900"/>
      </w:pPr>
      <w:r>
        <w:rPr>
          <w:i w:val="0"/>
          <w:sz w:val="27"/>
          <w:szCs w:val="27"/>
        </w:rPr>
        <w:t xml:space="preserve">Определение компонентов, </w:t>
      </w:r>
      <w:r w:rsidR="00A03593">
        <w:rPr>
          <w:i w:val="0"/>
          <w:sz w:val="27"/>
          <w:szCs w:val="27"/>
        </w:rPr>
        <w:t xml:space="preserve">действий бизнес-процесса при построении модели </w:t>
      </w:r>
      <w:r w:rsidR="00A03593">
        <w:rPr>
          <w:i w:val="0"/>
          <w:sz w:val="27"/>
          <w:szCs w:val="27"/>
          <w:lang w:val="en-US"/>
        </w:rPr>
        <w:t>BPMN</w:t>
      </w:r>
    </w:p>
    <w:p w:rsidR="00F57EE4" w:rsidRDefault="00F57EE4" w:rsidP="00F57EE4">
      <w:pPr>
        <w:ind w:left="900" w:hanging="900"/>
        <w:jc w:val="both"/>
      </w:pPr>
      <w:r>
        <w:rPr>
          <w:bCs/>
          <w:sz w:val="27"/>
          <w:szCs w:val="27"/>
        </w:rPr>
        <w:t xml:space="preserve">Цель: Научиться определять компоненты </w:t>
      </w:r>
      <w:r w:rsidR="000F130C">
        <w:rPr>
          <w:bCs/>
          <w:sz w:val="27"/>
          <w:szCs w:val="27"/>
          <w:lang w:val="en-US"/>
        </w:rPr>
        <w:t>BPMN</w:t>
      </w:r>
    </w:p>
    <w:p w:rsidR="00F57EE4" w:rsidRDefault="00F57EE4" w:rsidP="00F57EE4">
      <w:r>
        <w:rPr>
          <w:sz w:val="27"/>
          <w:szCs w:val="27"/>
        </w:rPr>
        <w:t xml:space="preserve"> </w:t>
      </w:r>
    </w:p>
    <w:p w:rsidR="00F57EE4" w:rsidRDefault="00F57EE4" w:rsidP="00F57EE4">
      <w:pPr>
        <w:spacing w:before="120" w:after="120"/>
        <w:ind w:firstLine="709"/>
        <w:jc w:val="center"/>
        <w:rPr>
          <w:rStyle w:val="a3"/>
          <w:b/>
          <w:sz w:val="27"/>
          <w:szCs w:val="27"/>
        </w:rPr>
      </w:pPr>
      <w:r>
        <w:rPr>
          <w:rStyle w:val="a3"/>
          <w:b/>
          <w:sz w:val="27"/>
          <w:szCs w:val="27"/>
        </w:rPr>
        <w:t>Контрольные</w:t>
      </w:r>
      <w:r>
        <w:rPr>
          <w:b/>
          <w:i/>
          <w:sz w:val="27"/>
          <w:szCs w:val="27"/>
        </w:rPr>
        <w:t xml:space="preserve"> </w:t>
      </w:r>
      <w:r>
        <w:rPr>
          <w:rStyle w:val="a3"/>
          <w:b/>
          <w:sz w:val="27"/>
          <w:szCs w:val="27"/>
        </w:rPr>
        <w:t>вопросы</w:t>
      </w:r>
    </w:p>
    <w:p w:rsidR="006F006D" w:rsidRDefault="006F006D" w:rsidP="002F723F">
      <w:pPr>
        <w:pStyle w:val="a9"/>
        <w:numPr>
          <w:ilvl w:val="0"/>
          <w:numId w:val="12"/>
        </w:numPr>
        <w:spacing w:before="120" w:after="120"/>
      </w:pPr>
      <w:r>
        <w:t xml:space="preserve">Для чего предназначение модель </w:t>
      </w:r>
      <w:r>
        <w:rPr>
          <w:lang w:val="en-US"/>
        </w:rPr>
        <w:t>BPMN</w:t>
      </w:r>
      <w:r w:rsidRPr="006F006D">
        <w:t>?</w:t>
      </w:r>
    </w:p>
    <w:p w:rsidR="006F006D" w:rsidRDefault="00862FE4" w:rsidP="002F723F">
      <w:pPr>
        <w:pStyle w:val="a9"/>
        <w:numPr>
          <w:ilvl w:val="0"/>
          <w:numId w:val="12"/>
        </w:numPr>
        <w:spacing w:before="120" w:after="120"/>
      </w:pPr>
      <w:r>
        <w:t>Из каких объектов состоит данная модель?</w:t>
      </w:r>
    </w:p>
    <w:p w:rsidR="00F57EE4" w:rsidRPr="00FF00BD" w:rsidRDefault="00F57EE4" w:rsidP="00F57EE4">
      <w:pPr>
        <w:spacing w:before="240" w:after="120"/>
        <w:ind w:firstLine="709"/>
        <w:jc w:val="center"/>
      </w:pPr>
      <w:r>
        <w:rPr>
          <w:b/>
          <w:sz w:val="27"/>
          <w:szCs w:val="27"/>
        </w:rPr>
        <w:t>Теоретически е све</w:t>
      </w:r>
      <w:bookmarkStart w:id="0" w:name="_GoBack"/>
      <w:bookmarkEnd w:id="0"/>
      <w:r>
        <w:rPr>
          <w:b/>
          <w:sz w:val="27"/>
          <w:szCs w:val="27"/>
        </w:rPr>
        <w:t>дения для выполнения работы</w:t>
      </w:r>
    </w:p>
    <w:p w:rsidR="00F57EE4" w:rsidRDefault="00F57EE4" w:rsidP="000E7F94">
      <w:pPr>
        <w:spacing w:after="0" w:line="240" w:lineRule="auto"/>
        <w:ind w:firstLine="709"/>
        <w:jc w:val="both"/>
        <w:rPr>
          <w:rFonts w:ascii="Segoe UI" w:hAnsi="Segoe UI" w:cs="Segoe UI"/>
          <w:color w:val="222222"/>
          <w:shd w:val="clear" w:color="auto" w:fill="FFF7D7"/>
        </w:rPr>
      </w:pPr>
    </w:p>
    <w:p w:rsidR="00660245" w:rsidRPr="00F57EE4" w:rsidRDefault="00660245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Segoe UI" w:hAnsi="Segoe UI" w:cs="Segoe UI"/>
          <w:color w:val="222222"/>
          <w:shd w:val="clear" w:color="auto" w:fill="FFF7D7"/>
        </w:rPr>
        <w:t>Важно понимать: BPMN не является языком описания IT-систем. Эта нотация предназначена для описания предметной области реального бизнеса. И здесь могут быть задействованы как программные системы, так и люди (сотрудники компании, заказчики, поставщики). Это самое главное отличие этой нотации от графических инструментов для описания программ.</w:t>
      </w:r>
    </w:p>
    <w:p w:rsidR="00FF1904" w:rsidRP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Язык описания бизнес-процессов опирается на следующие базовые объекты: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Event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Событие;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Activity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Действия;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Gateway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Шлюзы или Развилки;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Flow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Поток.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Date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Данные;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Artefact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Артефакты;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Swimline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«плавательные дорожки»;</w:t>
      </w:r>
    </w:p>
    <w:p w:rsidR="00FF1904" w:rsidRPr="00FF1904" w:rsidRDefault="00FF1904" w:rsidP="000E7F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Pool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(Пул) — набор.</w:t>
      </w: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EVENT (СОБЫТИЕ)</w:t>
      </w:r>
    </w:p>
    <w:p w:rsidR="00580C93" w:rsidRDefault="00FF1904" w:rsidP="00CD244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8" name="Рисунок 8" descr="EVENT (СОБЫТ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(СОБЫТИЕ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C9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F1904" w:rsidRP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Event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это то событие, которое произошло в описании процесса. Эти события могут быть начальными, конечными или промежуточными.</w:t>
      </w: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 опишем процесс получения заказа от клиента по телефону:</w:t>
      </w:r>
    </w:p>
    <w:p w:rsidR="00FF1904" w:rsidRPr="00FF1904" w:rsidRDefault="00FF1904" w:rsidP="000E7F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Событие Старт – это входящий звонок от клиента.</w:t>
      </w:r>
    </w:p>
    <w:p w:rsidR="00E8384D" w:rsidRPr="00581CF1" w:rsidRDefault="00FF1904" w:rsidP="00581C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Событие Финиш – это отправка готового расходного документа на печать.</w:t>
      </w:r>
    </w:p>
    <w:p w:rsid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Конечными могут быть самые разные события. Здесь и запись перечня потребностей клиента, и сохранение документа заказа, и создание на его основе расходной накладной, налоговой и т.д.</w:t>
      </w:r>
      <w:r w:rsidR="00BE0F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Примеры событий:</w:t>
      </w:r>
    </w:p>
    <w:p w:rsidR="007C0401" w:rsidRDefault="00DD3B79" w:rsidP="002314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5172075"/>
            <wp:effectExtent l="0" t="0" r="0" b="9525"/>
            <wp:docPr id="10" name="Рисунок 10" descr="https://upload.wikimedia.org/wikipedia/commons/thumb/9/9a/BPMN_Events.png/400px-BPMN_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a/BPMN_Events.png/400px-BPMN_Ev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33" cy="51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72" w:rsidRPr="00FF1904" w:rsidRDefault="00652072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ACTIVITY (ДЕЙСТВИЯ)</w:t>
      </w:r>
    </w:p>
    <w:p w:rsidR="00CE3A58" w:rsidRDefault="00FF1904" w:rsidP="00CD244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7" name="Рисунок 7" descr="ACTIVITY (ДЕЙСТВ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(ДЕЙСТВИЯ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A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76DB7" w:rsidRDefault="00FF1904" w:rsidP="008A2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Activity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это те действия (задачи), которые должны быть выполнены на определенном этапе бизнес-процесса. Их при моделировании обычно обозначают в виде прямоугольников, в которые вписывают суть действия.</w:t>
      </w:r>
    </w:p>
    <w:p w:rsidR="008A2410" w:rsidRDefault="00FF1904" w:rsidP="008A2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Действия могут быть элементарными, т.е. неделимыми на какие-то более простые действия, так и не элементарными, т.е. такими, которые при детализации делятся на последовательность определенных более простых действий.</w:t>
      </w:r>
    </w:p>
    <w:p w:rsidR="00FF1904" w:rsidRPr="00F76DB7" w:rsidRDefault="00FF1904" w:rsidP="008A24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Обычно действия делят следующим образом:</w:t>
      </w:r>
    </w:p>
    <w:p w:rsidR="00FF1904" w:rsidRPr="00FF1904" w:rsidRDefault="00FF1904" w:rsidP="008A241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Процесс – крупное действие, которое требует дальнейшей детализации при моделировании.</w:t>
      </w:r>
    </w:p>
    <w:p w:rsidR="00FF1904" w:rsidRDefault="00FF1904" w:rsidP="008A241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Задача – элементарное действие, которое уже не может быть дальше детализировано.</w:t>
      </w:r>
    </w:p>
    <w:p w:rsidR="002A0E26" w:rsidRDefault="002A0E26" w:rsidP="002A0E26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Примеры процессов:</w:t>
      </w:r>
    </w:p>
    <w:p w:rsidR="00A91879" w:rsidRPr="00FF1904" w:rsidRDefault="00A91879" w:rsidP="00ED7A9A">
      <w:pPr>
        <w:shd w:val="clear" w:color="auto" w:fill="FFFFFF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10000" cy="2865120"/>
            <wp:effectExtent l="19050" t="19050" r="19050" b="11430"/>
            <wp:docPr id="11" name="Рисунок 11" descr="https://upload.wikimedia.org/wikipedia/commons/thumb/1/1c/BPMN_Activities.png/400px-BPMN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c/BPMN_Activities.png/400px-BPMN_Activit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904" w:rsidRP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GATEWAY (ШЛЮЗ, РАЗВИЛКА)</w:t>
      </w:r>
    </w:p>
    <w:p w:rsidR="00BC28EB" w:rsidRDefault="00FF1904" w:rsidP="001C7D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6" name="Рисунок 6" descr="GATEWAY (ШЛЮЗ, РАЗВИЛ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TEWAY (ШЛЮЗ, РАЗВИЛКА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8E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C28EB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Gateway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это контрольный узел, который появляется в случае условного ветвления бизнес-процесса. Графически изображается в виде ромба.</w:t>
      </w:r>
    </w:p>
    <w:p w:rsid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Также шлюзы необходимы в случаях, когда порядок действий зависит от тех или иных факторов. Например, при работе с заказчиками шлюз появляется на этапе принятия клиентом решения о покупке – «да или нет». При положительном решении необходимо оформить покупку, при отрицательном – выяснить возможные причины отказа, провести работу с «отказом» и т.д.</w:t>
      </w:r>
      <w:r w:rsidR="00E6293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Примеры шлюзов:</w:t>
      </w:r>
    </w:p>
    <w:p w:rsidR="00C14171" w:rsidRDefault="00C14171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2781300"/>
            <wp:effectExtent l="0" t="0" r="0" b="0"/>
            <wp:docPr id="9" name="Рисунок 9" descr="https://upload.wikimedia.org/wikipedia/commons/thumb/6/6e/BPMN_Gateways.png/400px-BPMN_Gate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e/BPMN_Gateways.png/400px-BPMN_Gatew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FB" w:rsidRPr="00FF1904" w:rsidRDefault="00CE6EFB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FLOW (ПОТОК) И MESSAGE FLOWS (ПОТОК СООБЩЕНИЙ)</w:t>
      </w:r>
    </w:p>
    <w:p w:rsidR="00860AB8" w:rsidRDefault="00FF1904" w:rsidP="007B16A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1432560"/>
            <wp:effectExtent l="0" t="0" r="0" b="0"/>
            <wp:docPr id="5" name="Рисунок 5" descr="FLOW (ПОТОК) И MESSAGE FLOWS (ПОТОК СООБЩЕНИ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 (ПОТОК) И MESSAGE FLOWS (ПОТОК СООБЩЕНИЙ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AB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860AB8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Поток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Flow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это последовательность действий, обозначается как стрелка, и показывает, какое действие после какого необходимо совершить.</w:t>
      </w:r>
    </w:p>
    <w:p w:rsidR="00860AB8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Message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Flows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это пунктирные стрелки в бизнес-модели, которые показывают сообщения, которыми обмениваются участники бизнес-процесса. Например, если заказ переходит от клиента в обработку в отдел продаж, он сопровождается сообщением, которое содержит информацию об этом заказе. Также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Message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Flows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могут связывать</w:t>
      </w:r>
      <w:r w:rsidR="00860AB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два отдельных пула в диаграмме.</w:t>
      </w:r>
    </w:p>
    <w:p w:rsidR="00FF1904" w:rsidRP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Message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Flows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Association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– еще один вид линий, в отличие от сообщений, которые являются пунктирными линиями, этот вариант отображается в виде последовательности не отрезков, а точек. Необходима для того, чтобы показывать артефакты (о них – ниже).</w:t>
      </w:r>
      <w:r w:rsidR="002306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POOL (ПУЛ)</w:t>
      </w:r>
    </w:p>
    <w:p w:rsidR="00230663" w:rsidRDefault="00FF1904" w:rsidP="007876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1432560"/>
            <wp:effectExtent l="0" t="0" r="0" b="0"/>
            <wp:docPr id="4" name="Рисунок 4" descr="POOL (ПУ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OL (ПУЛ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6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30663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Пул – это </w:t>
      </w:r>
      <w:proofErr w:type="gram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объект</w:t>
      </w:r>
      <w:proofErr w:type="gram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описывающий какой-то один процесс на диаграмме. Он может быть не изображен на диаграмме, но он всегда есть. На одной диаграмме может быть несколько Пулов. Пул можно развернуть для просмотра деталей.</w:t>
      </w:r>
    </w:p>
    <w:p w:rsid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Пул может также содержать, так называемые, «дорожки». Они нужны для того, чтобы указать участников процессов, которые скрыты в пуле. Например, в процессе работы с клиентами участвует менеджер по продажам, руководитель отдела продаж, возможно, бухгалтер или кассир.</w:t>
      </w:r>
    </w:p>
    <w:p w:rsidR="00230663" w:rsidRPr="00FF1904" w:rsidRDefault="00230663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DATE OBJECT (ДАННЫЕ, ОБЪЕКТЫ ДАННЫХ)</w:t>
      </w:r>
    </w:p>
    <w:p w:rsidR="00230663" w:rsidRDefault="00FF1904" w:rsidP="00915A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3" name="Рисунок 3" descr="DATE OBJECT (ДАННЫЕ, ОБЪЕКТЫ ДАННЫХ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E OBJECT (ДАННЫЕ, ОБЪЕКТЫ ДАННЫХ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Объекты данных – это элемент, который показывает, какие данные и документы нужны для того, чтобы какое-то действие запустилось, либо которые являются результатом выполненного действия. Объектом данных может быть сформированный заказ. Для менеджера это будет результат действий, а для склада, который получает заказ – началом действия (сбор товаров и отгрузка).</w:t>
      </w:r>
    </w:p>
    <w:p w:rsidR="00230663" w:rsidRPr="00FF1904" w:rsidRDefault="00230663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MESSAGE (СООБЩЕНИЕ)</w:t>
      </w:r>
    </w:p>
    <w:p w:rsidR="00230663" w:rsidRDefault="00FF1904" w:rsidP="00915A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291B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2560" cy="1432560"/>
            <wp:effectExtent l="0" t="0" r="0" b="0"/>
            <wp:docPr id="2" name="Рисунок 2" descr="MESSAGE (СООБЩ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SSAGE (СООБЩЕНИЕ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66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Этот элемент необходим, чтобы показать коммуникацию между двумя участниками процесса. Это может быть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Email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сообщения внутри системы совместной работы, переписка в каком-либо из мессенджеров, которыми пользуются участники процесса, коммуникации на сайте компании,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sms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-сообщения и т.д.</w:t>
      </w:r>
    </w:p>
    <w:p w:rsidR="006E722D" w:rsidRPr="00FF1904" w:rsidRDefault="006E722D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1904" w:rsidRPr="00FF1904" w:rsidRDefault="00FF1904" w:rsidP="000E7F94">
      <w:pPr>
        <w:shd w:val="clear" w:color="auto" w:fill="FFFFFF"/>
        <w:spacing w:after="0" w:line="420" w:lineRule="atLeast"/>
        <w:ind w:firstLine="709"/>
        <w:jc w:val="both"/>
        <w:outlineLvl w:val="2"/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0"/>
          <w:szCs w:val="30"/>
          <w:lang w:eastAsia="ru-RU"/>
        </w:rPr>
        <w:t>ARTEFACT (АРТЕФАКТЫ)</w:t>
      </w:r>
    </w:p>
    <w:p w:rsidR="00230663" w:rsidRDefault="00230663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30663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 артефактами в BPMN понимают объекты, не являющиеся действиями и не связанные с действиями напрямую. Это могут быть любые документы, данные, информация, которая не влияет напрямую на исполнение процесса.</w:t>
      </w:r>
    </w:p>
    <w:p w:rsidR="00FF1904" w:rsidRPr="00FF1904" w:rsidRDefault="00FF1904" w:rsidP="000E7F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Выделяют два вида артефактов:</w:t>
      </w:r>
    </w:p>
    <w:p w:rsidR="00FF1904" w:rsidRPr="00FF1904" w:rsidRDefault="00FF1904" w:rsidP="000E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Object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Group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(Группа объектов)</w:t>
      </w:r>
    </w:p>
    <w:p w:rsidR="00FF1904" w:rsidRPr="00FF1904" w:rsidRDefault="00FF1904" w:rsidP="000E7F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Text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Annotation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(Текстовая аннотация)</w:t>
      </w:r>
    </w:p>
    <w:p w:rsidR="00230663" w:rsidRDefault="00FF1904" w:rsidP="00230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Object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Group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(Группа объектов) – это еще одна возможность объединить под общим символом несколько элементов, чтобы сэкономить место на диаграмме и повысить простоту ее восприятия. Здесь собираются различные активности под одним общим названием. Группу объектов также всегда можно рассмотреть детально. Группа выглядит как прямоугольник с закругленными углами, выполненный штриховой линией с точками.</w:t>
      </w:r>
    </w:p>
    <w:p w:rsidR="00FF1904" w:rsidRPr="00230663" w:rsidRDefault="00FF1904" w:rsidP="002306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Text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Annotation</w:t>
      </w:r>
      <w:proofErr w:type="spellEnd"/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(текстовые аннотации) применяют для различных уточнений к диаграмме. Это могут быть комментарии, пояснения, другая информация, которая повысит читабельность диаграммы. Аннотации – это незакрытый прямоугольник, выполненный сплошной линией, от которого к объекту аннотации ведет линия, состоящая из точек.</w:t>
      </w:r>
      <w:r w:rsidRPr="00FF190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FF190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C65848" w:rsidRPr="00C65848" w:rsidRDefault="00C65848" w:rsidP="00C658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F1904" w:rsidRPr="00FF1904" w:rsidRDefault="00FF1904" w:rsidP="005F376C">
      <w:pPr>
        <w:shd w:val="clear" w:color="auto" w:fill="FFFFFF"/>
        <w:spacing w:after="0" w:line="480" w:lineRule="atLeast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ПРИМЕР ПРАКТИЧЕСКОГО ПРИМЕНЕНИЯ BPMN</w:t>
      </w:r>
    </w:p>
    <w:p w:rsidR="00A46DC4" w:rsidRDefault="00FF1904" w:rsidP="00A46DC4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Конечно же, без примера описание моделирования бизнес-процессов было бы неполным и не до конца понятным</w:t>
      </w:r>
      <w:r w:rsidR="005C1AE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В</w:t>
      </w: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качестве примера </w:t>
      </w:r>
      <w:r w:rsidR="00370FE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приве</w:t>
      </w:r>
      <w:r w:rsidR="00F435C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ден </w:t>
      </w: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процесс обеспечения заказов покупателей, так как этот этап работы присутствует практически в любом направлении бизнеса, а потому реализация этого процесса на практике будет понятна без дополнительных пояснений широкому кругу читателей.</w:t>
      </w:r>
    </w:p>
    <w:p w:rsidR="00A46DC4" w:rsidRDefault="00FF1904" w:rsidP="00A46DC4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Результатом этого процесса должно быть обеспечение покупателя необходимыми ему наименованиями товара.</w:t>
      </w:r>
    </w:p>
    <w:p w:rsidR="00FF1904" w:rsidRPr="00FF1904" w:rsidRDefault="00FF1904" w:rsidP="00A46DC4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Данный бизнес-процесс выполняется следующим образом:</w:t>
      </w:r>
    </w:p>
    <w:p w:rsidR="00FF1904" w:rsidRPr="00FF1904" w:rsidRDefault="00FF1904" w:rsidP="00A46DC4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Менеджер по продажам получает информацию о потребностях клиента (заказ).</w:t>
      </w:r>
    </w:p>
    <w:p w:rsidR="00FF1904" w:rsidRPr="00FF1904" w:rsidRDefault="00FF1904" w:rsidP="00A46DC4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системе CRM создается документ Заказ покупателя.</w:t>
      </w:r>
    </w:p>
    <w:p w:rsidR="00FF1904" w:rsidRPr="00FF1904" w:rsidRDefault="00FF1904" w:rsidP="00A46DC4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нужные товары есть в наличие, то менеджер создает расходный документ в программе учета. Если товара нет в наличии, менеджер делает запрос в отдел закупки.</w:t>
      </w:r>
    </w:p>
    <w:p w:rsidR="00FF1904" w:rsidRPr="00FF1904" w:rsidRDefault="00FF1904" w:rsidP="00A46DC4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Отдел закупки оформляет запрос поставщикам на получение товара.</w:t>
      </w:r>
    </w:p>
    <w:p w:rsidR="003474DC" w:rsidRDefault="00FF1904" w:rsidP="00EA01E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 этом мы будем считать бизнес-процесс завершенным, так как покупатель сейчас или после поступлений товаров от поставщиков, сможет купить все необходимое.</w:t>
      </w:r>
    </w:p>
    <w:p w:rsidR="000F2B4B" w:rsidRDefault="00FF1904" w:rsidP="00EA01E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BPMN позволяет при моделировании бизнес-процессов опускать на определенном уровне те или иные реальные процессы. Так, в нашем случае мы оставляем «за скобками» получение заказа и согласование перечня товаров и их стоимости с клиентом. Это можно будет детализировать в случае необходимости отдельно. Также в этом примере мы оставили «за скобками» процессы оплаты товары, отгрузки, оформления расходных документов и т.д. А сейчас у нас другая задача – описать сам процесс обеспечения покупателя необходимыми товарами.</w:t>
      </w:r>
    </w:p>
    <w:p w:rsidR="00E0478D" w:rsidRDefault="00FF1904" w:rsidP="00EA01E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Точкой входа служит получение заказа от покупателя. Точкой выхода – «резервирование товара».</w:t>
      </w:r>
    </w:p>
    <w:p w:rsidR="000F2B4B" w:rsidRDefault="00E0478D" w:rsidP="00EA01E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F37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FF1904" w:rsidRPr="005F376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62650" cy="3547262"/>
            <wp:effectExtent l="0" t="0" r="0" b="0"/>
            <wp:docPr id="1" name="Рисунок 1" descr="Изображение примера BPMN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примера BPMN диаграмм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37" cy="355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04" w:rsidRPr="00FF1904" w:rsidRDefault="00FF1904" w:rsidP="00EA01E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9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Обратите внимание, что после получения заказа стрелка ведет к этапу-ромбу, т.е. условию:</w:t>
      </w:r>
    </w:p>
    <w:p w:rsidR="00FF1904" w:rsidRPr="00C55B51" w:rsidRDefault="00FF1904" w:rsidP="005F37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Если весь товар имеется в наличие, то менеджер выполняет </w:t>
      </w:r>
      <w:proofErr w:type="spellStart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</w:t>
      </w:r>
      <w:proofErr w:type="spellEnd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«резервирование товаров». Я специально оформил эти действия именно </w:t>
      </w:r>
      <w:proofErr w:type="spellStart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подпроцессом</w:t>
      </w:r>
      <w:proofErr w:type="spellEnd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чтобы иметь возможность при необходимости детализировать действия менеджера. А потом – к точке выхода «Резервирование товаров проведено».</w:t>
      </w:r>
    </w:p>
    <w:p w:rsidR="00FF1904" w:rsidRPr="00C55B51" w:rsidRDefault="00FF1904" w:rsidP="005F37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товаров в наличие нет, то менеджер выполняет запрос в отдел закупки. Информация о заказе переходит в отдел закупки к другому исполнителю – менеджеру по закупкам, что наглядно видно на схеме, и уже этот исполнитель создает заказ поставщику. На схеме также видно, что заказ поставщику создан на основе запроса на поставку и заказа поставщикам.</w:t>
      </w:r>
    </w:p>
    <w:p w:rsidR="00C55B51" w:rsidRPr="00C55B51" w:rsidRDefault="00FF1904" w:rsidP="00DE53B1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C55B51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Зачем может понадобиться такое описание бизнес-процесса? В наглядной форме вы можете показать своим бизнес-клиентам каким образом функционирует или должна функционировать связь между отделами продаж и закупки с целью максимального удовлетворения потребностей покупателей. Также при помощи этого бизнес-процесса техническим специалистам будет намного проще создавать и настраивать программное обеспечение для автоматизации работы компании, так как на диаграмме наглядно видно, какие процессы в какой последовательности должны происходить, какая информация поступает на каком этапе, а также из каких источников, какие из пользователей должны иметь доступ к тем или иным процессам и документам.</w:t>
      </w:r>
      <w:r w:rsidRPr="00C55B51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C55B51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При необходимости этот бизнес-процесс может быть детализирован, что также помогает увидеть, что и как работает (должно работать) для получения результата.</w:t>
      </w:r>
      <w:r w:rsidR="00C55B51" w:rsidRPr="00C55B51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:rsidR="00FF1904" w:rsidRPr="00C55B51" w:rsidRDefault="009A5839" w:rsidP="00DE53B1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C55B51">
        <w:rPr>
          <w:rFonts w:ascii="Times New Roman" w:hAnsi="Times New Roman" w:cs="Times New Roman"/>
          <w:sz w:val="24"/>
          <w:szCs w:val="24"/>
          <w:lang w:eastAsia="ru-RU"/>
        </w:rPr>
        <w:t>Рекомендации</w:t>
      </w:r>
    </w:p>
    <w:p w:rsidR="00FF1904" w:rsidRPr="00C55B51" w:rsidRDefault="00C55B51" w:rsidP="00DE53B1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 </w:t>
      </w:r>
      <w:r w:rsidR="00FF1904" w:rsidRPr="00C55B51">
        <w:rPr>
          <w:rFonts w:ascii="Times New Roman" w:hAnsi="Times New Roman" w:cs="Times New Roman"/>
          <w:sz w:val="24"/>
          <w:szCs w:val="24"/>
          <w:lang w:eastAsia="ru-RU"/>
        </w:rPr>
        <w:t>Необходимо запланировать начало и конец процесса. С этого начинается моделирование любого процесса. Так мы обозначаем рамки, в которых будем работать.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2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начала лучше всего описать линейную последовательность действий: шаг за шагом движение от начала к финальному результату. Далее при необходимости добавляются ветвления. В таком порядке работать намного проще, чем ставить две или более ветвей одновременно и путаться в стрелках, что откуда и куда идет.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Пришло время определить ответственных лиц. До этого мы работали с событиями «в чистом виде». Теперь у них появились исполнители и ответственные.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Добавляем данные, сноски, комментарии.</w:t>
      </w:r>
    </w:p>
    <w:p w:rsidR="00FF1904" w:rsidRPr="00C55B51" w:rsidRDefault="00813F72" w:rsidP="00DE53B1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Доп</w:t>
      </w:r>
      <w:proofErr w:type="spellEnd"/>
      <w:r w:rsidRPr="00C55B5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советы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Создавайте диаграммы как можно менее разветвленные. Чем больше элементов окажется на вашей диаграмме, тем сложнее ее будет читать и вам, и вашим заказчикам.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Используйте наиболее простую и понятную терминологию. Очень важно, чтобы ваши заказчики, а также технические специалисты, которые будут работать с диаграммами, без лишних пояснений понимали все (или почти все) термины.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 названия процессов должны быть максимально информативны и понятны. Иначе читабельность диаграммы также будет крайне низкой. Для названий процессов лучше всего подойдут либо термины, принятые в конкретной организации для описания работы, либо – просто понятные интуитивно фразы.</w:t>
      </w:r>
    </w:p>
    <w:p w:rsidR="00FF1904" w:rsidRPr="00C55B51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 </w:t>
      </w:r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Зоны ответственности также важно называть понятно для сотрудников компании, бизнес-модель работы которой вы описываете. Самое простое решение – выбирать названия среди существующих подразделений. А если необходимой должности или отдела в компании пока еще не существует, не бойтесь придумывать его сами. Но постарайтесь, чтобы название также было «говорящим», понятным для широкого круга бизнес-аудитории.</w:t>
      </w:r>
    </w:p>
    <w:p w:rsidR="001E25E5" w:rsidRDefault="00C55B51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5 </w:t>
      </w:r>
      <w:proofErr w:type="spellStart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Подпроцессов</w:t>
      </w:r>
      <w:proofErr w:type="spellEnd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должно быть столько, чтобы избежать ненужной детализации, но не более того. Помните о чувстве меры. Если </w:t>
      </w:r>
      <w:proofErr w:type="spellStart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подпроцессов</w:t>
      </w:r>
      <w:proofErr w:type="spellEnd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будет слишком мало, то действия, которые стоило бы спрятать в них, будут находиться в общем процессе, создавая дополнительные объекты, стрелки, ветвления и, как следствие, путаницу. Если вы перестараетесь с желанием убрать все в </w:t>
      </w:r>
      <w:proofErr w:type="spellStart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подпроцессы</w:t>
      </w:r>
      <w:proofErr w:type="spellEnd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то диаграмма потеряет свою информативность, а какие-то изменения в </w:t>
      </w:r>
      <w:proofErr w:type="spellStart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подпроцессе</w:t>
      </w:r>
      <w:proofErr w:type="spellEnd"/>
      <w:r w:rsidR="00FF1904" w:rsidRPr="00C55B5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начнут ненаглядно влиять на результаты всего процесса.</w:t>
      </w:r>
    </w:p>
    <w:p w:rsidR="005171DD" w:rsidRDefault="005171DD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171DD" w:rsidRPr="000C4432" w:rsidRDefault="005171DD" w:rsidP="005171DD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C4432">
        <w:rPr>
          <w:rStyle w:val="a3"/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5171DD" w:rsidRPr="000C4432" w:rsidRDefault="005171DD" w:rsidP="005171DD">
      <w:pPr>
        <w:pStyle w:val="a9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 xml:space="preserve">Изучите методические рекомендации по </w:t>
      </w:r>
      <w:r w:rsidR="009E4E70">
        <w:rPr>
          <w:rFonts w:ascii="Times New Roman" w:hAnsi="Times New Roman" w:cs="Times New Roman"/>
          <w:sz w:val="24"/>
          <w:szCs w:val="24"/>
        </w:rPr>
        <w:t xml:space="preserve">проектированию </w:t>
      </w:r>
      <w:r w:rsidR="009E4E70">
        <w:rPr>
          <w:rFonts w:ascii="Times New Roman" w:hAnsi="Times New Roman" w:cs="Times New Roman"/>
          <w:sz w:val="24"/>
          <w:szCs w:val="24"/>
          <w:lang w:val="en-US"/>
        </w:rPr>
        <w:t>BPMN</w:t>
      </w:r>
    </w:p>
    <w:p w:rsidR="005171DD" w:rsidRPr="000C4432" w:rsidRDefault="005171DD" w:rsidP="005171DD">
      <w:pPr>
        <w:pStyle w:val="a9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>Разработайте диаграмму в соответствии с вариантом индивидуального задания на проектирование системы</w:t>
      </w:r>
    </w:p>
    <w:p w:rsidR="005171DD" w:rsidRPr="00C55B51" w:rsidRDefault="005171DD" w:rsidP="00DE53B1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sectPr w:rsidR="005171DD" w:rsidRPr="00C5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171E134D"/>
    <w:multiLevelType w:val="hybridMultilevel"/>
    <w:tmpl w:val="EE0C0B4C"/>
    <w:lvl w:ilvl="0" w:tplc="4776022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DA218E"/>
    <w:multiLevelType w:val="multilevel"/>
    <w:tmpl w:val="085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420F9"/>
    <w:multiLevelType w:val="multilevel"/>
    <w:tmpl w:val="641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B62DD"/>
    <w:multiLevelType w:val="multilevel"/>
    <w:tmpl w:val="265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304DDE"/>
    <w:multiLevelType w:val="multilevel"/>
    <w:tmpl w:val="192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F75D64"/>
    <w:multiLevelType w:val="multilevel"/>
    <w:tmpl w:val="F99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A31AF"/>
    <w:multiLevelType w:val="multilevel"/>
    <w:tmpl w:val="6622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B6D30"/>
    <w:multiLevelType w:val="multilevel"/>
    <w:tmpl w:val="228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021351"/>
    <w:multiLevelType w:val="multilevel"/>
    <w:tmpl w:val="920C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361B1"/>
    <w:multiLevelType w:val="multilevel"/>
    <w:tmpl w:val="3B7A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D1E53"/>
    <w:multiLevelType w:val="multilevel"/>
    <w:tmpl w:val="2ED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1D"/>
    <w:rsid w:val="00022394"/>
    <w:rsid w:val="000E750D"/>
    <w:rsid w:val="000E7F94"/>
    <w:rsid w:val="000F130C"/>
    <w:rsid w:val="000F2B4B"/>
    <w:rsid w:val="0012281D"/>
    <w:rsid w:val="00136EA1"/>
    <w:rsid w:val="00163E9A"/>
    <w:rsid w:val="001B3012"/>
    <w:rsid w:val="001C7DF7"/>
    <w:rsid w:val="00230663"/>
    <w:rsid w:val="002314C7"/>
    <w:rsid w:val="00242B49"/>
    <w:rsid w:val="00272138"/>
    <w:rsid w:val="00291B0F"/>
    <w:rsid w:val="002A0E26"/>
    <w:rsid w:val="002B2C76"/>
    <w:rsid w:val="002E6CA9"/>
    <w:rsid w:val="002F723F"/>
    <w:rsid w:val="0032556F"/>
    <w:rsid w:val="00327F4E"/>
    <w:rsid w:val="003474DC"/>
    <w:rsid w:val="00370FED"/>
    <w:rsid w:val="003B4E8A"/>
    <w:rsid w:val="003D76E0"/>
    <w:rsid w:val="003F7DD7"/>
    <w:rsid w:val="00402575"/>
    <w:rsid w:val="0042095B"/>
    <w:rsid w:val="004818E7"/>
    <w:rsid w:val="004D0905"/>
    <w:rsid w:val="005171DD"/>
    <w:rsid w:val="00527C94"/>
    <w:rsid w:val="0053267B"/>
    <w:rsid w:val="00537AFA"/>
    <w:rsid w:val="00580C93"/>
    <w:rsid w:val="00581CF1"/>
    <w:rsid w:val="005C1AEB"/>
    <w:rsid w:val="005F376C"/>
    <w:rsid w:val="00652072"/>
    <w:rsid w:val="00660245"/>
    <w:rsid w:val="006B2A13"/>
    <w:rsid w:val="006E722D"/>
    <w:rsid w:val="006F006D"/>
    <w:rsid w:val="00705451"/>
    <w:rsid w:val="007203F3"/>
    <w:rsid w:val="007409BD"/>
    <w:rsid w:val="00750B78"/>
    <w:rsid w:val="007876CF"/>
    <w:rsid w:val="007876D9"/>
    <w:rsid w:val="007B16A2"/>
    <w:rsid w:val="007C0401"/>
    <w:rsid w:val="007D7793"/>
    <w:rsid w:val="00813F72"/>
    <w:rsid w:val="00827A3B"/>
    <w:rsid w:val="00860AB8"/>
    <w:rsid w:val="00862FE4"/>
    <w:rsid w:val="008A2410"/>
    <w:rsid w:val="00915A56"/>
    <w:rsid w:val="0095154B"/>
    <w:rsid w:val="009A5839"/>
    <w:rsid w:val="009E4E70"/>
    <w:rsid w:val="00A03593"/>
    <w:rsid w:val="00A46DC4"/>
    <w:rsid w:val="00A91879"/>
    <w:rsid w:val="00A963E9"/>
    <w:rsid w:val="00AE5C48"/>
    <w:rsid w:val="00B65E4A"/>
    <w:rsid w:val="00BC28EB"/>
    <w:rsid w:val="00BE0F83"/>
    <w:rsid w:val="00C14171"/>
    <w:rsid w:val="00C4405E"/>
    <w:rsid w:val="00C526B2"/>
    <w:rsid w:val="00C55B51"/>
    <w:rsid w:val="00C65848"/>
    <w:rsid w:val="00CA170C"/>
    <w:rsid w:val="00CA3A49"/>
    <w:rsid w:val="00CD244E"/>
    <w:rsid w:val="00CE3A58"/>
    <w:rsid w:val="00CE6EFB"/>
    <w:rsid w:val="00D76C3F"/>
    <w:rsid w:val="00D81EC6"/>
    <w:rsid w:val="00DD3B79"/>
    <w:rsid w:val="00DE53B1"/>
    <w:rsid w:val="00DF25AB"/>
    <w:rsid w:val="00DF4190"/>
    <w:rsid w:val="00E0478D"/>
    <w:rsid w:val="00E62936"/>
    <w:rsid w:val="00E8384D"/>
    <w:rsid w:val="00EA01E3"/>
    <w:rsid w:val="00ED7A9A"/>
    <w:rsid w:val="00F435CD"/>
    <w:rsid w:val="00F57EE4"/>
    <w:rsid w:val="00F60F5E"/>
    <w:rsid w:val="00F76DB7"/>
    <w:rsid w:val="00F81282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69C49-ADEE-463A-AEE7-6E19FC8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F1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1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19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19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Emphasis"/>
    <w:qFormat/>
    <w:rsid w:val="00F57EE4"/>
    <w:rPr>
      <w:i/>
      <w:iCs/>
    </w:rPr>
  </w:style>
  <w:style w:type="paragraph" w:customStyle="1" w:styleId="a4">
    <w:name w:val="Заголовок"/>
    <w:basedOn w:val="a"/>
    <w:next w:val="a5"/>
    <w:rsid w:val="00F57EE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zh-CN"/>
    </w:rPr>
  </w:style>
  <w:style w:type="paragraph" w:styleId="a6">
    <w:name w:val="Body Text Indent"/>
    <w:basedOn w:val="a"/>
    <w:link w:val="a7"/>
    <w:rsid w:val="00F57EE4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7">
    <w:name w:val="Основной текст с отступом Знак"/>
    <w:basedOn w:val="a0"/>
    <w:link w:val="a6"/>
    <w:rsid w:val="00F57EE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ody Text"/>
    <w:basedOn w:val="a"/>
    <w:link w:val="a8"/>
    <w:uiPriority w:val="99"/>
    <w:semiHidden/>
    <w:unhideWhenUsed/>
    <w:rsid w:val="00F57EE4"/>
    <w:pPr>
      <w:spacing w:after="120"/>
    </w:pPr>
  </w:style>
  <w:style w:type="character" w:customStyle="1" w:styleId="a8">
    <w:name w:val="Основной текст Знак"/>
    <w:basedOn w:val="a0"/>
    <w:link w:val="a5"/>
    <w:uiPriority w:val="99"/>
    <w:semiHidden/>
    <w:rsid w:val="00F57EE4"/>
  </w:style>
  <w:style w:type="paragraph" w:styleId="a9">
    <w:name w:val="List Paragraph"/>
    <w:basedOn w:val="a"/>
    <w:uiPriority w:val="34"/>
    <w:qFormat/>
    <w:rsid w:val="0051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1693</Words>
  <Characters>9655</Characters>
  <Application>Microsoft Office Word</Application>
  <DocSecurity>0</DocSecurity>
  <Lines>80</Lines>
  <Paragraphs>22</Paragraphs>
  <ScaleCrop>false</ScaleCrop>
  <Company/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127</cp:revision>
  <dcterms:created xsi:type="dcterms:W3CDTF">2020-11-20T03:16:00Z</dcterms:created>
  <dcterms:modified xsi:type="dcterms:W3CDTF">2020-11-21T07:56:00Z</dcterms:modified>
</cp:coreProperties>
</file>