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20"/>
      </w:pPr>
      <w:r>
        <w:rPr>
          <w:rFonts w:ascii="Arial" w:cs="Arial" w:eastAsia="Arial" w:hAnsi="Arial"/>
          <w:b/>
          <w:bCs/>
          <w:color w:val="c9956a"/>
          <w:spacing w:val="80"/>
          <w:sz w:val="16"/>
          <w:szCs w:val="16"/>
        </w:rPr>
        <w:t xml:space="preserve">ASP &amp; CO. · CREATION RESEARCH</w:t>
      </w:r>
    </w:p>
    <w:p>
      <w:pPr>
        <w:spacing w:after="200" w:before="160"/>
      </w:pPr>
      <w:r>
        <w:rPr>
          <w:rFonts w:ascii="Garamond" w:cs="Garamond" w:eastAsia="Garamond" w:hAnsi="Garamond"/>
          <w:b w:val="false"/>
          <w:bCs w:val="false"/>
          <w:color w:val="2a4a5e"/>
          <w:sz w:val="52"/>
          <w:szCs w:val="52"/>
        </w:rPr>
        <w:t xml:space="preserve">Website Continuation Brief</w:t>
      </w:r>
    </w:p>
    <w:p>
      <w:pPr>
        <w:spacing w:after="120" w:before="80"/>
      </w:pPr>
      <w:r>
        <w:rPr>
          <w:rFonts w:ascii="Garamond" w:cs="Garamond" w:eastAsia="Garamond" w:hAnsi="Garamond"/>
          <w:i/>
          <w:iCs/>
          <w:color w:val="666666"/>
          <w:sz w:val="24"/>
          <w:szCs w:val="24"/>
        </w:rPr>
        <w:t xml:space="preserve">For Claude Code · July 2026</w:t>
      </w:r>
    </w:p>
    <w:p>
      <w:pPr>
        <w:spacing w:after="0" w:before="120"/>
      </w:pPr>
      <w:r>
        <w:t xml:space="preserve"/>
      </w:r>
    </w:p>
    <w:p>
      <w:pPr>
        <w:spacing w:after="120" w:before="80"/>
      </w:pPr>
      <w:r>
        <w:rPr>
          <w:rFonts w:ascii="Arial" w:cs="Arial" w:eastAsia="Arial" w:hAnsi="Arial"/>
          <w:color w:val="1a1a1a"/>
          <w:sz w:val="22"/>
          <w:szCs w:val="22"/>
        </w:rPr>
        <w:t xml:space="preserve">This document gives Claude Code everything it needs to continue building the ASP &amp; Co. website from where it currently stands. Read it fully before touching any file.</w:t>
      </w:r>
    </w:p>
    <w:p>
      <w:pPr>
        <w:pBdr>
          <w:bottom w:val="single" w:color="e8e4dd" w:sz="4"/>
        </w:pBdr>
        <w:spacing w:after="240" w:before="240"/>
      </w:pPr>
      <w:r>
        <w:t xml:space="preserve"/>
      </w:r>
    </w:p>
    <w:p>
      <w:pPr>
        <w:spacing w:after="120" w:before="480"/>
      </w:pPr>
      <w:r>
        <w:rPr>
          <w:rFonts w:ascii="Garamond" w:cs="Garamond" w:eastAsia="Garamond" w:hAnsi="Garamond"/>
          <w:b w:val="false"/>
          <w:bCs w:val="false"/>
          <w:color w:val="2a4a5e"/>
          <w:sz w:val="32"/>
          <w:szCs w:val="32"/>
        </w:rPr>
        <w:t xml:space="preserve">1. What This Project Is</w:t>
      </w:r>
    </w:p>
    <w:p>
      <w:pPr>
        <w:spacing w:after="120" w:before="80"/>
      </w:pPr>
      <w:r>
        <w:rPr>
          <w:rFonts w:ascii="Arial" w:cs="Arial" w:eastAsia="Arial" w:hAnsi="Arial"/>
          <w:color w:val="1a1a1a"/>
          <w:sz w:val="22"/>
          <w:szCs w:val="22"/>
        </w:rPr>
        <w:t xml:space="preserve">ASP &amp; Co. is a creation research practice founded by Ashton Stepter. It documents the intersection of cultural heritage and environmental significance across specific places in the American coastal South and Atlantic world — producing visual archives, written reckonings, and experience design outputs for DMOs, luxury travel operators, cultural institutions, and hospitality businesses.</w:t>
      </w:r>
    </w:p>
    <w:p>
      <w:pPr>
        <w:spacing w:after="0" w:before="80"/>
      </w:pPr>
      <w:r>
        <w:t xml:space="preserve"/>
      </w:r>
    </w:p>
    <w:p>
      <w:pPr>
        <w:spacing w:after="120" w:before="80"/>
      </w:pPr>
      <w:r>
        <w:rPr>
          <w:rFonts w:ascii="Arial" w:cs="Arial" w:eastAsia="Arial" w:hAnsi="Arial"/>
          <w:color w:val="1a1a1a"/>
          <w:sz w:val="22"/>
          <w:szCs w:val="22"/>
        </w:rPr>
        <w:t xml:space="preserve">The practice's intellectual core is the 225 Framework — a four-movement research methodology named after Joel 2:25. The website is the public face of that methodology and the archive it produces.</w:t>
      </w:r>
    </w:p>
    <w:p>
      <w:pPr>
        <w:spacing w:after="0" w:before="80"/>
      </w:pPr>
      <w:r>
        <w:t xml:space="preserve"/>
      </w:r>
    </w:p>
    <w:p>
      <w:pPr>
        <w:spacing w:after="120" w:before="80"/>
      </w:pPr>
      <w:r>
        <w:rPr>
          <w:rFonts w:ascii="Arial" w:cs="Arial" w:eastAsia="Arial" w:hAnsi="Arial"/>
          <w:color w:val="1a1a1a"/>
          <w:sz w:val="22"/>
          <w:szCs w:val="22"/>
        </w:rPr>
        <w:t xml:space="preserve">The founder identifies as a cultural scientist. ASP &amp; Co. is the research practice he founded. That scientist-and-lab distinction is intentional and matters to how the site speaks.</w:t>
      </w:r>
    </w:p>
    <w:p>
      <w:pPr>
        <w:pBdr>
          <w:bottom w:val="single" w:color="e8e4dd" w:sz="4"/>
        </w:pBdr>
        <w:spacing w:after="240" w:before="240"/>
      </w:pPr>
      <w:r>
        <w:t xml:space="preserve"/>
      </w:r>
    </w:p>
    <w:p>
      <w:pPr>
        <w:spacing w:after="120" w:before="480"/>
      </w:pPr>
      <w:r>
        <w:rPr>
          <w:rFonts w:ascii="Garamond" w:cs="Garamond" w:eastAsia="Garamond" w:hAnsi="Garamond"/>
          <w:b w:val="false"/>
          <w:bCs w:val="false"/>
          <w:color w:val="2a4a5e"/>
          <w:sz w:val="32"/>
          <w:szCs w:val="32"/>
        </w:rPr>
        <w:t xml:space="preserve">2. The File You Are Working On</w:t>
      </w:r>
    </w:p>
    <w:p>
      <w:pPr>
        <w:spacing w:after="120" w:before="80"/>
      </w:pPr>
      <w:r>
        <w:rPr>
          <w:rFonts w:ascii="Arial" w:cs="Arial" w:eastAsia="Arial" w:hAnsi="Arial"/>
          <w:color w:val="1a1a1a"/>
          <w:sz w:val="22"/>
          <w:szCs w:val="22"/>
        </w:rPr>
        <w:t xml:space="preserve">The current website lives in a single HTML file: asp-and-co_88.html. This is the 88th iteration. All CSS, JavaScript, and HTML are in one file. Do not split them unless explicitly asked.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E9E0" w:val="clear"/>
            <w:tcMar>
              <w:top w:type="dxa" w:w="160"/>
              <w:left w:type="dxa" w:w="200"/>
              <w:bottom w:type="dxa" w:w="160"/>
              <w:right w:type="dxa" w:w="200"/>
            </w:tcMar>
          </w:tcPr>
          <w:p>
            <w:pPr>
              <w:spacing w:after="60" w:before="0"/>
            </w:pPr>
            <w:r>
              <w:rPr>
                <w:rFonts w:ascii="Arial" w:cs="Arial" w:eastAsia="Arial" w:hAnsi="Arial"/>
                <w:b/>
                <w:bCs/>
                <w:color w:val="c9956a"/>
                <w:spacing w:val="60"/>
                <w:sz w:val="16"/>
                <w:szCs w:val="16"/>
              </w:rPr>
              <w:t xml:space="preserve">BEFORE YOU TOUCH ANYTHING</w:t>
            </w:r>
          </w:p>
          <w:p>
            <w:pPr>
              <w:spacing w:after="0" w:before="0"/>
            </w:pPr>
            <w:r>
              <w:rPr>
                <w:rFonts w:ascii="Arial" w:cs="Arial" w:eastAsia="Arial" w:hAnsi="Arial"/>
                <w:color w:val="1a1a1a"/>
                <w:sz w:val="21"/>
                <w:szCs w:val="21"/>
              </w:rPr>
              <w:t xml:space="preserve">Read the entire file first. It has a specific visual system, a map built with Leaflet.js, a navigation dropdown, multiple distinct sections, and terminology that has been carefully updated to match the 225 Framework document. Every edit must respect what's already there.</w:t>
            </w:r>
          </w:p>
        </w:tc>
      </w:tr>
    </w:tbl>
    <w:p>
      <w:pPr>
        <w:spacing w:after="0" w:before="160"/>
      </w:pPr>
      <w:r>
        <w:t xml:space="preserve"/>
      </w:r>
    </w:p>
    <w:p>
      <w:pPr>
        <w:spacing w:after="120" w:before="80"/>
      </w:pPr>
      <w:r>
        <w:rPr>
          <w:rFonts w:ascii="Arial" w:cs="Arial" w:eastAsia="Arial" w:hAnsi="Arial"/>
          <w:color w:val="1a1a1a"/>
          <w:sz w:val="22"/>
          <w:szCs w:val="22"/>
        </w:rPr>
        <w:t xml:space="preserve">The file is deployed via GitHub and Netlify. Edits should be made to the local file. The founder pushes to GitHub when ready — do not automate deployment unless asked.</w:t>
      </w:r>
    </w:p>
    <w:p>
      <w:pPr>
        <w:pBdr>
          <w:bottom w:val="single" w:color="e8e4dd" w:sz="4"/>
        </w:pBdr>
        <w:spacing w:after="240" w:before="240"/>
      </w:pPr>
      <w:r>
        <w:t xml:space="preserve"/>
      </w:r>
    </w:p>
    <w:p>
      <w:pPr>
        <w:spacing w:after="120" w:before="480"/>
      </w:pPr>
      <w:r>
        <w:rPr>
          <w:rFonts w:ascii="Garamond" w:cs="Garamond" w:eastAsia="Garamond" w:hAnsi="Garamond"/>
          <w:b w:val="false"/>
          <w:bCs w:val="false"/>
          <w:color w:val="2a4a5e"/>
          <w:sz w:val="32"/>
          <w:szCs w:val="32"/>
        </w:rPr>
        <w:t xml:space="preserve">3. The Visual System — Never Deviate</w:t>
      </w:r>
    </w:p>
    <w:p>
      <w:pPr>
        <w:spacing w:after="120" w:before="80"/>
      </w:pPr>
      <w:r>
        <w:rPr>
          <w:rFonts w:ascii="Arial" w:cs="Arial" w:eastAsia="Arial" w:hAnsi="Arial"/>
          <w:color w:val="1a1a1a"/>
          <w:sz w:val="22"/>
          <w:szCs w:val="22"/>
        </w:rPr>
        <w:t xml:space="preserve">These are the exact values in use. Do not introduce new colors, fonts, or spacing systems.</w:t>
      </w:r>
    </w:p>
    <w:p>
      <w:pPr>
        <w:spacing w:after="0" w:before="120"/>
      </w:pPr>
      <w:r>
        <w:t xml:space="preserve"/>
      </w:r>
    </w:p>
    <w:p>
      <w:pPr>
        <w:spacing w:after="100" w:before="320"/>
      </w:pPr>
      <w:r>
        <w:rPr>
          <w:rFonts w:ascii="Arial" w:cs="Arial" w:eastAsia="Arial" w:hAnsi="Arial"/>
          <w:b/>
          <w:bCs/>
          <w:color w:val="2a4a5e"/>
          <w:spacing w:val="40"/>
          <w:sz w:val="20"/>
          <w:szCs w:val="20"/>
        </w:rPr>
        <w:t xml:space="preserve">Colors</w:t>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Mar>
              <w:top w:type="dxa" w:w="60"/>
              <w:bottom w:type="dxa" w:w="60"/>
              <w:right w:type="dxa" w:w="160"/>
            </w:tcMar>
            <w:vAlign w:val="top"/>
          </w:tcPr>
          <w:p>
            <w:r>
              <w:rPr>
                <w:rFonts w:ascii="Arial" w:cs="Arial" w:eastAsia="Arial" w:hAnsi="Arial"/>
                <w:b/>
                <w:bCs/>
                <w:color w:val="2a4a5e"/>
                <w:spacing w:val="60"/>
                <w:sz w:val="18"/>
                <w:szCs w:val="18"/>
              </w:rPr>
              <w:t xml:space="preserve">DEEP BLUE #2A4A5E</w:t>
            </w:r>
          </w:p>
        </w:tc>
        <w:tc>
          <w:tcPr>
            <w:tcW w:type="dxa" w:w="7920"/>
            <w:tcMar>
              <w:top w:type="dxa" w:w="60"/>
              <w:bottom w:type="dxa" w:w="60"/>
            </w:tcMar>
            <w:vAlign w:val="top"/>
          </w:tcPr>
          <w:p>
            <w:r>
              <w:rPr>
                <w:rFonts w:ascii="Arial" w:cs="Arial" w:eastAsia="Arial" w:hAnsi="Arial"/>
                <w:color w:val="666666"/>
                <w:sz w:val="21"/>
                <w:szCs w:val="21"/>
              </w:rPr>
              <w:t xml:space="preserve">Primary brand color. Documented region fills, pins, active nav, primary headings.</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Mar>
              <w:top w:type="dxa" w:w="60"/>
              <w:bottom w:type="dxa" w:w="60"/>
              <w:right w:type="dxa" w:w="160"/>
            </w:tcMar>
            <w:vAlign w:val="top"/>
          </w:tcPr>
          <w:p>
            <w:r>
              <w:rPr>
                <w:rFonts w:ascii="Arial" w:cs="Arial" w:eastAsia="Arial" w:hAnsi="Arial"/>
                <w:b/>
                <w:bCs/>
                <w:color w:val="6b8fa3"/>
                <w:spacing w:val="60"/>
                <w:sz w:val="18"/>
                <w:szCs w:val="18"/>
              </w:rPr>
              <w:t xml:space="preserve">STEEL BLUE #6B8FA3</w:t>
            </w:r>
          </w:p>
        </w:tc>
        <w:tc>
          <w:tcPr>
            <w:tcW w:type="dxa" w:w="7920"/>
            <w:tcMar>
              <w:top w:type="dxa" w:w="60"/>
              <w:bottom w:type="dxa" w:w="60"/>
            </w:tcMar>
            <w:vAlign w:val="top"/>
          </w:tcPr>
          <w:p>
            <w:r>
              <w:rPr>
                <w:rFonts w:ascii="Arial" w:cs="Arial" w:eastAsia="Arial" w:hAnsi="Arial"/>
                <w:color w:val="666666"/>
                <w:sz w:val="21"/>
                <w:szCs w:val="21"/>
              </w:rPr>
              <w:t xml:space="preserve">In-development region fills, pins, secondary UI elements.</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Mar>
              <w:top w:type="dxa" w:w="60"/>
              <w:bottom w:type="dxa" w:w="60"/>
              <w:right w:type="dxa" w:w="160"/>
            </w:tcMar>
            <w:vAlign w:val="top"/>
          </w:tcPr>
          <w:p>
            <w:r>
              <w:rPr>
                <w:rFonts w:ascii="Arial" w:cs="Arial" w:eastAsia="Arial" w:hAnsi="Arial"/>
                <w:b/>
                <w:bCs/>
                <w:color w:val="c9956a"/>
                <w:spacing w:val="60"/>
                <w:sz w:val="18"/>
                <w:szCs w:val="18"/>
              </w:rPr>
              <w:t xml:space="preserve">TERRACOTTA #C9956A</w:t>
            </w:r>
          </w:p>
        </w:tc>
        <w:tc>
          <w:tcPr>
            <w:tcW w:type="dxa" w:w="7920"/>
            <w:tcMar>
              <w:top w:type="dxa" w:w="60"/>
              <w:bottom w:type="dxa" w:w="60"/>
            </w:tcMar>
            <w:vAlign w:val="top"/>
          </w:tcPr>
          <w:p>
            <w:r>
              <w:rPr>
                <w:rFonts w:ascii="Arial" w:cs="Arial" w:eastAsia="Arial" w:hAnsi="Arial"/>
                <w:color w:val="666666"/>
                <w:sz w:val="21"/>
                <w:szCs w:val="21"/>
              </w:rPr>
              <w:t xml:space="preserve">Text labels only — map city names, eyebrows, tag accents. Never fills.</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Mar>
              <w:top w:type="dxa" w:w="60"/>
              <w:bottom w:type="dxa" w:w="60"/>
              <w:right w:type="dxa" w:w="160"/>
            </w:tcMar>
            <w:vAlign w:val="top"/>
          </w:tcPr>
          <w:p>
            <w:r>
              <w:rPr>
                <w:rFonts w:ascii="Arial" w:cs="Arial" w:eastAsia="Arial" w:hAnsi="Arial"/>
                <w:b/>
                <w:bCs/>
                <w:color w:val="8B7355"/>
                <w:spacing w:val="60"/>
                <w:sz w:val="18"/>
                <w:szCs w:val="18"/>
              </w:rPr>
              <w:t xml:space="preserve">CREAM #F7F4EF</w:t>
            </w:r>
          </w:p>
        </w:tc>
        <w:tc>
          <w:tcPr>
            <w:tcW w:type="dxa" w:w="7920"/>
            <w:tcMar>
              <w:top w:type="dxa" w:w="60"/>
              <w:bottom w:type="dxa" w:w="60"/>
            </w:tcMar>
            <w:vAlign w:val="top"/>
          </w:tcPr>
          <w:p>
            <w:r>
              <w:rPr>
                <w:rFonts w:ascii="Arial" w:cs="Arial" w:eastAsia="Arial" w:hAnsi="Arial"/>
                <w:color w:val="666666"/>
                <w:sz w:val="21"/>
                <w:szCs w:val="21"/>
              </w:rPr>
              <w:t xml:space="preserve">Page background. Light section backgrounds.</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Mar>
              <w:top w:type="dxa" w:w="60"/>
              <w:bottom w:type="dxa" w:w="60"/>
              <w:right w:type="dxa" w:w="160"/>
            </w:tcMar>
            <w:vAlign w:val="top"/>
          </w:tcPr>
          <w:p>
            <w:r>
              <w:rPr>
                <w:rFonts w:ascii="Arial" w:cs="Arial" w:eastAsia="Arial" w:hAnsi="Arial"/>
                <w:b/>
                <w:bCs/>
                <w:color w:val="888888"/>
                <w:spacing w:val="60"/>
                <w:sz w:val="18"/>
                <w:szCs w:val="18"/>
              </w:rPr>
              <w:t xml:space="preserve">MIST #E8E4DD</w:t>
            </w:r>
          </w:p>
        </w:tc>
        <w:tc>
          <w:tcPr>
            <w:tcW w:type="dxa" w:w="7920"/>
            <w:tcMar>
              <w:top w:type="dxa" w:w="60"/>
              <w:bottom w:type="dxa" w:w="60"/>
            </w:tcMar>
            <w:vAlign w:val="top"/>
          </w:tcPr>
          <w:p>
            <w:r>
              <w:rPr>
                <w:rFonts w:ascii="Arial" w:cs="Arial" w:eastAsia="Arial" w:hAnsi="Arial"/>
                <w:color w:val="666666"/>
                <w:sz w:val="21"/>
                <w:szCs w:val="21"/>
              </w:rPr>
              <w:t xml:space="preserve">Borders, dividers, subtle section breaks.</w:t>
            </w:r>
          </w:p>
        </w:tc>
      </w:tr>
    </w:tbl>
    <w:p>
      <w:pPr>
        <w:spacing w:after="0" w:before="160"/>
      </w:pPr>
      <w:r>
        <w:t xml:space="preserve"/>
      </w:r>
    </w:p>
    <w:p>
      <w:pPr>
        <w:spacing w:after="100" w:before="320"/>
      </w:pPr>
      <w:r>
        <w:rPr>
          <w:rFonts w:ascii="Arial" w:cs="Arial" w:eastAsia="Arial" w:hAnsi="Arial"/>
          <w:b/>
          <w:bCs/>
          <w:color w:val="2a4a5e"/>
          <w:spacing w:val="40"/>
          <w:sz w:val="20"/>
          <w:szCs w:val="20"/>
        </w:rPr>
        <w:t xml:space="preserve">Typography</w:t>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Mar>
              <w:top w:type="dxa" w:w="60"/>
              <w:bottom w:type="dxa" w:w="60"/>
              <w:right w:type="dxa" w:w="160"/>
            </w:tcMar>
            <w:vAlign w:val="top"/>
          </w:tcPr>
          <w:p>
            <w:r>
              <w:rPr>
                <w:rFonts w:ascii="Arial" w:cs="Arial" w:eastAsia="Arial" w:hAnsi="Arial"/>
                <w:b/>
                <w:bCs/>
                <w:color w:val="2a4a5e"/>
                <w:spacing w:val="60"/>
                <w:sz w:val="18"/>
                <w:szCs w:val="18"/>
              </w:rPr>
              <w:t xml:space="preserve">CORMORANT GARAMOND</w:t>
            </w:r>
          </w:p>
        </w:tc>
        <w:tc>
          <w:tcPr>
            <w:tcW w:type="dxa" w:w="7920"/>
            <w:tcMar>
              <w:top w:type="dxa" w:w="60"/>
              <w:bottom w:type="dxa" w:w="60"/>
            </w:tcMar>
            <w:vAlign w:val="top"/>
          </w:tcPr>
          <w:p>
            <w:r>
              <w:rPr>
                <w:rFonts w:ascii="Arial" w:cs="Arial" w:eastAsia="Arial" w:hAnsi="Arial"/>
                <w:color w:val="666666"/>
                <w:sz w:val="21"/>
                <w:szCs w:val="21"/>
              </w:rPr>
              <w:t xml:space="preserve">Display and heading face. Weights 300 and 400. Italic variants used for emphasis and pull quotes.</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Mar>
              <w:top w:type="dxa" w:w="60"/>
              <w:bottom w:type="dxa" w:w="60"/>
              <w:right w:type="dxa" w:w="160"/>
            </w:tcMar>
            <w:vAlign w:val="top"/>
          </w:tcPr>
          <w:p>
            <w:r>
              <w:rPr>
                <w:rFonts w:ascii="Arial" w:cs="Arial" w:eastAsia="Arial" w:hAnsi="Arial"/>
                <w:b/>
                <w:bCs/>
                <w:color w:val="6b8fa3"/>
                <w:spacing w:val="60"/>
                <w:sz w:val="18"/>
                <w:szCs w:val="18"/>
              </w:rPr>
              <w:t xml:space="preserve">INTER</w:t>
            </w:r>
          </w:p>
        </w:tc>
        <w:tc>
          <w:tcPr>
            <w:tcW w:type="dxa" w:w="7920"/>
            <w:tcMar>
              <w:top w:type="dxa" w:w="60"/>
              <w:bottom w:type="dxa" w:w="60"/>
            </w:tcMar>
            <w:vAlign w:val="top"/>
          </w:tcPr>
          <w:p>
            <w:r>
              <w:rPr>
                <w:rFonts w:ascii="Arial" w:cs="Arial" w:eastAsia="Arial" w:hAnsi="Arial"/>
                <w:color w:val="666666"/>
                <w:sz w:val="21"/>
                <w:szCs w:val="21"/>
              </w:rPr>
              <w:t xml:space="preserve">Body and utility face. Weights 300, 400, 500. Used for all labels, nav, tags, metadata.</w:t>
            </w:r>
          </w:p>
        </w:tc>
      </w:tr>
    </w:tbl>
    <w:p>
      <w:pPr>
        <w:spacing w:after="0" w:before="160"/>
      </w:pPr>
      <w:r>
        <w:t xml:space="preserve"/>
      </w:r>
    </w:p>
    <w:p>
      <w:pPr>
        <w:spacing w:after="100" w:before="320"/>
      </w:pPr>
      <w:r>
        <w:rPr>
          <w:rFonts w:ascii="Arial" w:cs="Arial" w:eastAsia="Arial" w:hAnsi="Arial"/>
          <w:b/>
          <w:bCs/>
          <w:color w:val="2a4a5e"/>
          <w:spacing w:val="40"/>
          <w:sz w:val="20"/>
          <w:szCs w:val="20"/>
        </w:rPr>
        <w:t xml:space="preserve">Map (Leaflet.js)</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Deep blue pins and region fills = documented / Identity status</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Steel blue pins and region fills = In Development</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Terracotta = label text only (city names, region labels, legend text)</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map zooms to encompass Miami through Nashville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Do not change the map's tile layer, zoom level, or color logic without asking first</w:t>
      </w:r>
    </w:p>
    <w:p>
      <w:pPr>
        <w:pBdr>
          <w:bottom w:val="single" w:color="e8e4dd" w:sz="4"/>
        </w:pBdr>
        <w:spacing w:after="240" w:before="240"/>
      </w:pPr>
      <w:r>
        <w:t xml:space="preserve"/>
      </w:r>
    </w:p>
    <w:p>
      <w:pPr>
        <w:spacing w:after="120" w:before="480"/>
      </w:pPr>
      <w:r>
        <w:rPr>
          <w:rFonts w:ascii="Garamond" w:cs="Garamond" w:eastAsia="Garamond" w:hAnsi="Garamond"/>
          <w:b w:val="false"/>
          <w:bCs w:val="false"/>
          <w:color w:val="2a4a5e"/>
          <w:sz w:val="32"/>
          <w:szCs w:val="32"/>
        </w:rPr>
        <w:t xml:space="preserve">4. Terminology — Use These Exactly</w:t>
      </w:r>
    </w:p>
    <w:p>
      <w:pPr>
        <w:spacing w:after="120" w:before="80"/>
      </w:pPr>
      <w:r>
        <w:rPr>
          <w:rFonts w:ascii="Arial" w:cs="Arial" w:eastAsia="Arial" w:hAnsi="Arial"/>
          <w:color w:val="1a1a1a"/>
          <w:sz w:val="22"/>
          <w:szCs w:val="22"/>
        </w:rPr>
        <w:t xml:space="preserve">The following terms have been carefully aligned with the 225 Framework document. Use them precisely. Do not revert to older terms or invent new ones.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9E0" w:val="clear"/>
            <w:tcMar>
              <w:top w:type="dxa" w:w="80"/>
              <w:left w:type="dxa" w:w="120"/>
              <w:bottom w:type="dxa" w:w="80"/>
              <w:right w:type="dxa" w:w="120"/>
            </w:tcMar>
          </w:tcPr>
          <w:p>
            <w:r>
              <w:rPr>
                <w:rFonts w:ascii="Arial" w:cs="Arial" w:eastAsia="Arial" w:hAnsi="Arial"/>
                <w:b/>
                <w:bCs/>
                <w:color w:val="2a4a5e"/>
                <w:spacing w:val="50"/>
                <w:sz w:val="17"/>
                <w:szCs w:val="17"/>
              </w:rPr>
              <w:t xml:space="preserve">USE THIS</w:t>
            </w:r>
          </w:p>
        </w:tc>
        <w:tc>
          <w:tcPr>
            <w:tcW w:type="dxa" w:w="3120"/>
            <w:shd w:fill="EEE9E0" w:val="clear"/>
            <w:tcMar>
              <w:top w:type="dxa" w:w="80"/>
              <w:left w:type="dxa" w:w="120"/>
              <w:bottom w:type="dxa" w:w="80"/>
              <w:right w:type="dxa" w:w="120"/>
            </w:tcMar>
          </w:tcPr>
          <w:p>
            <w:r>
              <w:rPr>
                <w:rFonts w:ascii="Arial" w:cs="Arial" w:eastAsia="Arial" w:hAnsi="Arial"/>
                <w:b/>
                <w:bCs/>
                <w:color w:val="2a4a5e"/>
                <w:spacing w:val="50"/>
                <w:sz w:val="17"/>
                <w:szCs w:val="17"/>
              </w:rPr>
              <w:t xml:space="preserve">NOT THIS</w:t>
            </w:r>
          </w:p>
        </w:tc>
        <w:tc>
          <w:tcPr>
            <w:tcW w:type="dxa" w:w="3120"/>
            <w:shd w:fill="EEE9E0" w:val="clear"/>
            <w:tcMar>
              <w:top w:type="dxa" w:w="80"/>
              <w:left w:type="dxa" w:w="120"/>
              <w:bottom w:type="dxa" w:w="80"/>
              <w:right w:type="dxa" w:w="120"/>
            </w:tcMar>
          </w:tcPr>
          <w:p>
            <w:r>
              <w:rPr>
                <w:rFonts w:ascii="Arial" w:cs="Arial" w:eastAsia="Arial" w:hAnsi="Arial"/>
                <w:b/>
                <w:bCs/>
                <w:color w:val="2a4a5e"/>
                <w:spacing w:val="50"/>
                <w:sz w:val="17"/>
                <w:szCs w:val="17"/>
              </w:rPr>
              <w:t xml:space="preserve">NOTES</w:t>
            </w:r>
          </w:p>
        </w:tc>
      </w:tr>
      <w:tr>
        <w:tc>
          <w:tcPr>
            <w:tcW w:type="dxa" w:w="3120"/>
            <w:tcMar>
              <w:top w:type="dxa" w:w="80"/>
              <w:left w:type="dxa" w:w="120"/>
              <w:bottom w:type="dxa" w:w="80"/>
              <w:right w:type="dxa" w:w="120"/>
            </w:tcMar>
          </w:tcPr>
          <w:p>
            <w:r>
              <w:rPr>
                <w:rFonts w:ascii="Arial" w:cs="Arial" w:eastAsia="Arial" w:hAnsi="Arial"/>
                <w:b/>
                <w:bCs/>
                <w:color w:val="2a4a5e"/>
                <w:sz w:val="20"/>
                <w:szCs w:val="20"/>
              </w:rPr>
              <w:t xml:space="preserve">Identity Portfolio</w:t>
            </w:r>
          </w:p>
        </w:tc>
        <w:tc>
          <w:tcPr>
            <w:tcW w:type="dxa" w:w="3120"/>
            <w:tcMar>
              <w:top w:type="dxa" w:w="80"/>
              <w:left w:type="dxa" w:w="120"/>
              <w:bottom w:type="dxa" w:w="80"/>
              <w:right w:type="dxa" w:w="120"/>
            </w:tcMar>
          </w:tcPr>
          <w:p>
            <w:r>
              <w:rPr>
                <w:rFonts w:ascii="Arial" w:cs="Arial" w:eastAsia="Arial" w:hAnsi="Arial"/>
                <w:color w:val="aa6666"/>
                <w:sz w:val="20"/>
                <w:szCs w:val="20"/>
              </w:rPr>
              <w:t xml:space="preserve">Founder's Record / Portfolio</w:t>
            </w:r>
          </w:p>
        </w:tc>
        <w:tc>
          <w:tcPr>
            <w:tcW w:type="dxa" w:w="3120"/>
            <w:tcMar>
              <w:top w:type="dxa" w:w="80"/>
              <w:left w:type="dxa" w:w="120"/>
              <w:bottom w:type="dxa" w:w="80"/>
              <w:right w:type="dxa" w:w="120"/>
            </w:tcMar>
          </w:tcPr>
          <w:p>
            <w:r>
              <w:rPr>
                <w:rFonts w:ascii="Arial" w:cs="Arial" w:eastAsia="Arial" w:hAnsi="Arial"/>
                <w:color w:val="666666"/>
                <w:sz w:val="19"/>
                <w:szCs w:val="19"/>
              </w:rPr>
              <w:t xml:space="preserve">The location-level container</w:t>
            </w:r>
          </w:p>
        </w:tc>
      </w:tr>
      <w:tr>
        <w:tc>
          <w:tcPr>
            <w:tcW w:type="dxa" w:w="3120"/>
            <w:tcMar>
              <w:top w:type="dxa" w:w="80"/>
              <w:left w:type="dxa" w:w="120"/>
              <w:bottom w:type="dxa" w:w="80"/>
              <w:right w:type="dxa" w:w="120"/>
            </w:tcMar>
          </w:tcPr>
          <w:p>
            <w:r>
              <w:rPr>
                <w:rFonts w:ascii="Arial" w:cs="Arial" w:eastAsia="Arial" w:hAnsi="Arial"/>
                <w:b/>
                <w:bCs/>
                <w:color w:val="2a4a5e"/>
                <w:sz w:val="20"/>
                <w:szCs w:val="20"/>
              </w:rPr>
              <w:t xml:space="preserve">Known Portrait</w:t>
            </w:r>
          </w:p>
        </w:tc>
        <w:tc>
          <w:tcPr>
            <w:tcW w:type="dxa" w:w="3120"/>
            <w:tcMar>
              <w:top w:type="dxa" w:w="80"/>
              <w:left w:type="dxa" w:w="120"/>
              <w:bottom w:type="dxa" w:w="80"/>
              <w:right w:type="dxa" w:w="120"/>
            </w:tcMar>
          </w:tcPr>
          <w:p>
            <w:r>
              <w:rPr>
                <w:rFonts w:ascii="Arial" w:cs="Arial" w:eastAsia="Arial" w:hAnsi="Arial"/>
                <w:color w:val="aa6666"/>
                <w:sz w:val="20"/>
                <w:szCs w:val="20"/>
              </w:rPr>
              <w:t xml:space="preserve">Opening Record / Hero Collection</w:t>
            </w:r>
          </w:p>
        </w:tc>
        <w:tc>
          <w:tcPr>
            <w:tcW w:type="dxa" w:w="3120"/>
            <w:tcMar>
              <w:top w:type="dxa" w:w="80"/>
              <w:left w:type="dxa" w:w="120"/>
              <w:bottom w:type="dxa" w:w="80"/>
              <w:right w:type="dxa" w:w="120"/>
            </w:tcMar>
          </w:tcPr>
          <w:p>
            <w:r>
              <w:rPr>
                <w:rFonts w:ascii="Arial" w:cs="Arial" w:eastAsia="Arial" w:hAnsi="Arial"/>
                <w:color w:val="666666"/>
                <w:sz w:val="19"/>
                <w:szCs w:val="19"/>
              </w:rPr>
              <w:t xml:space="preserve">The recognized visual identity opening each Portfolio</w:t>
            </w:r>
          </w:p>
        </w:tc>
      </w:tr>
      <w:tr>
        <w:tc>
          <w:tcPr>
            <w:tcW w:type="dxa" w:w="3120"/>
            <w:tcMar>
              <w:top w:type="dxa" w:w="80"/>
              <w:left w:type="dxa" w:w="120"/>
              <w:bottom w:type="dxa" w:w="80"/>
              <w:right w:type="dxa" w:w="120"/>
            </w:tcMar>
          </w:tcPr>
          <w:p>
            <w:r>
              <w:rPr>
                <w:rFonts w:ascii="Arial" w:cs="Arial" w:eastAsia="Arial" w:hAnsi="Arial"/>
                <w:b/>
                <w:bCs/>
                <w:color w:val="2a4a5e"/>
                <w:sz w:val="20"/>
                <w:szCs w:val="20"/>
              </w:rPr>
              <w:t xml:space="preserve">The [Place] Record</w:t>
            </w:r>
          </w:p>
        </w:tc>
        <w:tc>
          <w:tcPr>
            <w:tcW w:type="dxa" w:w="3120"/>
            <w:tcMar>
              <w:top w:type="dxa" w:w="80"/>
              <w:left w:type="dxa" w:w="120"/>
              <w:bottom w:type="dxa" w:w="80"/>
              <w:right w:type="dxa" w:w="120"/>
            </w:tcMar>
          </w:tcPr>
          <w:p>
            <w:r>
              <w:rPr>
                <w:rFonts w:ascii="Arial" w:cs="Arial" w:eastAsia="Arial" w:hAnsi="Arial"/>
                <w:color w:val="aa6666"/>
                <w:sz w:val="20"/>
                <w:szCs w:val="20"/>
              </w:rPr>
              <w:t xml:space="preserve">Dear [Place]</w:t>
            </w:r>
          </w:p>
        </w:tc>
        <w:tc>
          <w:tcPr>
            <w:tcW w:type="dxa" w:w="3120"/>
            <w:tcMar>
              <w:top w:type="dxa" w:w="80"/>
              <w:left w:type="dxa" w:w="120"/>
              <w:bottom w:type="dxa" w:w="80"/>
              <w:right w:type="dxa" w:w="120"/>
            </w:tcMar>
          </w:tcPr>
          <w:p>
            <w:r>
              <w:rPr>
                <w:rFonts w:ascii="Arial" w:cs="Arial" w:eastAsia="Arial" w:hAnsi="Arial"/>
                <w:color w:val="666666"/>
                <w:sz w:val="19"/>
                <w:szCs w:val="19"/>
              </w:rPr>
              <w:t xml:space="preserve">Named research units inside a Portfolio</w:t>
            </w:r>
          </w:p>
        </w:tc>
      </w:tr>
      <w:tr>
        <w:tc>
          <w:tcPr>
            <w:tcW w:type="dxa" w:w="3120"/>
            <w:tcMar>
              <w:top w:type="dxa" w:w="80"/>
              <w:left w:type="dxa" w:w="120"/>
              <w:bottom w:type="dxa" w:w="80"/>
              <w:right w:type="dxa" w:w="120"/>
            </w:tcMar>
          </w:tcPr>
          <w:p>
            <w:r>
              <w:rPr>
                <w:rFonts w:ascii="Arial" w:cs="Arial" w:eastAsia="Arial" w:hAnsi="Arial"/>
                <w:b/>
                <w:bCs/>
                <w:color w:val="2a4a5e"/>
                <w:sz w:val="20"/>
                <w:szCs w:val="20"/>
              </w:rPr>
              <w:t xml:space="preserve">Visual Reckoning</w:t>
            </w:r>
          </w:p>
        </w:tc>
        <w:tc>
          <w:tcPr>
            <w:tcW w:type="dxa" w:w="3120"/>
            <w:tcMar>
              <w:top w:type="dxa" w:w="80"/>
              <w:left w:type="dxa" w:w="120"/>
              <w:bottom w:type="dxa" w:w="80"/>
              <w:right w:type="dxa" w:w="120"/>
            </w:tcMar>
          </w:tcPr>
          <w:p>
            <w:r>
              <w:rPr>
                <w:rFonts w:ascii="Arial" w:cs="Arial" w:eastAsia="Arial" w:hAnsi="Arial"/>
                <w:color w:val="aa6666"/>
                <w:sz w:val="20"/>
                <w:szCs w:val="20"/>
              </w:rPr>
              <w:t xml:space="preserve">Visual Archive</w:t>
            </w:r>
          </w:p>
        </w:tc>
        <w:tc>
          <w:tcPr>
            <w:tcW w:type="dxa" w:w="3120"/>
            <w:tcMar>
              <w:top w:type="dxa" w:w="80"/>
              <w:left w:type="dxa" w:w="120"/>
              <w:bottom w:type="dxa" w:w="80"/>
              <w:right w:type="dxa" w:w="120"/>
            </w:tcMar>
          </w:tcPr>
          <w:p>
            <w:r>
              <w:rPr>
                <w:rFonts w:ascii="Arial" w:cs="Arial" w:eastAsia="Arial" w:hAnsi="Arial"/>
                <w:color w:val="666666"/>
                <w:sz w:val="19"/>
                <w:szCs w:val="19"/>
              </w:rPr>
              <w:t xml:space="preserve">First of three outputs</w:t>
            </w:r>
          </w:p>
        </w:tc>
      </w:tr>
      <w:tr>
        <w:tc>
          <w:tcPr>
            <w:tcW w:type="dxa" w:w="3120"/>
            <w:tcMar>
              <w:top w:type="dxa" w:w="80"/>
              <w:left w:type="dxa" w:w="120"/>
              <w:bottom w:type="dxa" w:w="80"/>
              <w:right w:type="dxa" w:w="120"/>
            </w:tcMar>
          </w:tcPr>
          <w:p>
            <w:r>
              <w:rPr>
                <w:rFonts w:ascii="Arial" w:cs="Arial" w:eastAsia="Arial" w:hAnsi="Arial"/>
                <w:b/>
                <w:bCs/>
                <w:color w:val="2a4a5e"/>
                <w:sz w:val="20"/>
                <w:szCs w:val="20"/>
              </w:rPr>
              <w:t xml:space="preserve">Written Reckoning</w:t>
            </w:r>
          </w:p>
        </w:tc>
        <w:tc>
          <w:tcPr>
            <w:tcW w:type="dxa" w:w="3120"/>
            <w:tcMar>
              <w:top w:type="dxa" w:w="80"/>
              <w:left w:type="dxa" w:w="120"/>
              <w:bottom w:type="dxa" w:w="80"/>
              <w:right w:type="dxa" w:w="120"/>
            </w:tcMar>
          </w:tcPr>
          <w:p>
            <w:r>
              <w:rPr>
                <w:rFonts w:ascii="Arial" w:cs="Arial" w:eastAsia="Arial" w:hAnsi="Arial"/>
                <w:color w:val="aa6666"/>
                <w:sz w:val="20"/>
                <w:szCs w:val="20"/>
              </w:rPr>
              <w:t xml:space="preserve">Written Cultural Audit</w:t>
            </w:r>
          </w:p>
        </w:tc>
        <w:tc>
          <w:tcPr>
            <w:tcW w:type="dxa" w:w="3120"/>
            <w:tcMar>
              <w:top w:type="dxa" w:w="80"/>
              <w:left w:type="dxa" w:w="120"/>
              <w:bottom w:type="dxa" w:w="80"/>
              <w:right w:type="dxa" w:w="120"/>
            </w:tcMar>
          </w:tcPr>
          <w:p>
            <w:r>
              <w:rPr>
                <w:rFonts w:ascii="Arial" w:cs="Arial" w:eastAsia="Arial" w:hAnsi="Arial"/>
                <w:color w:val="666666"/>
                <w:sz w:val="19"/>
                <w:szCs w:val="19"/>
              </w:rPr>
              <w:t xml:space="preserve">Second output — two-tier document</w:t>
            </w:r>
          </w:p>
        </w:tc>
      </w:tr>
      <w:tr>
        <w:tc>
          <w:tcPr>
            <w:tcW w:type="dxa" w:w="3120"/>
            <w:tcMar>
              <w:top w:type="dxa" w:w="80"/>
              <w:left w:type="dxa" w:w="120"/>
              <w:bottom w:type="dxa" w:w="80"/>
              <w:right w:type="dxa" w:w="120"/>
            </w:tcMar>
          </w:tcPr>
          <w:p>
            <w:r>
              <w:rPr>
                <w:rFonts w:ascii="Arial" w:cs="Arial" w:eastAsia="Arial" w:hAnsi="Arial"/>
                <w:b/>
                <w:bCs/>
                <w:color w:val="2a4a5e"/>
                <w:sz w:val="20"/>
                <w:szCs w:val="20"/>
              </w:rPr>
              <w:t xml:space="preserve">Physical Reckoning</w:t>
            </w:r>
          </w:p>
        </w:tc>
        <w:tc>
          <w:tcPr>
            <w:tcW w:type="dxa" w:w="3120"/>
            <w:tcMar>
              <w:top w:type="dxa" w:w="80"/>
              <w:left w:type="dxa" w:w="120"/>
              <w:bottom w:type="dxa" w:w="80"/>
              <w:right w:type="dxa" w:w="120"/>
            </w:tcMar>
          </w:tcPr>
          <w:p>
            <w:r>
              <w:rPr>
                <w:rFonts w:ascii="Arial" w:cs="Arial" w:eastAsia="Arial" w:hAnsi="Arial"/>
                <w:color w:val="aa6666"/>
                <w:sz w:val="20"/>
                <w:szCs w:val="20"/>
              </w:rPr>
              <w:t xml:space="preserve">Experience Design</w:t>
            </w:r>
          </w:p>
        </w:tc>
        <w:tc>
          <w:tcPr>
            <w:tcW w:type="dxa" w:w="3120"/>
            <w:tcMar>
              <w:top w:type="dxa" w:w="80"/>
              <w:left w:type="dxa" w:w="120"/>
              <w:bottom w:type="dxa" w:w="80"/>
              <w:right w:type="dxa" w:w="120"/>
            </w:tcMar>
          </w:tcPr>
          <w:p>
            <w:r>
              <w:rPr>
                <w:rFonts w:ascii="Arial" w:cs="Arial" w:eastAsia="Arial" w:hAnsi="Arial"/>
                <w:color w:val="666666"/>
                <w:sz w:val="19"/>
                <w:szCs w:val="19"/>
              </w:rPr>
              <w:t xml:space="preserve">Third output — applied layer</w:t>
            </w:r>
          </w:p>
        </w:tc>
      </w:tr>
      <w:tr>
        <w:tc>
          <w:tcPr>
            <w:tcW w:type="dxa" w:w="3120"/>
            <w:tcMar>
              <w:top w:type="dxa" w:w="80"/>
              <w:left w:type="dxa" w:w="120"/>
              <w:bottom w:type="dxa" w:w="80"/>
              <w:right w:type="dxa" w:w="120"/>
            </w:tcMar>
          </w:tcPr>
          <w:p>
            <w:r>
              <w:rPr>
                <w:rFonts w:ascii="Arial" w:cs="Arial" w:eastAsia="Arial" w:hAnsi="Arial"/>
                <w:b/>
                <w:bCs/>
                <w:color w:val="2a4a5e"/>
                <w:sz w:val="20"/>
                <w:szCs w:val="20"/>
              </w:rPr>
              <w:t xml:space="preserve">Reckoning of Place</w:t>
            </w:r>
          </w:p>
        </w:tc>
        <w:tc>
          <w:tcPr>
            <w:tcW w:type="dxa" w:w="3120"/>
            <w:tcMar>
              <w:top w:type="dxa" w:w="80"/>
              <w:left w:type="dxa" w:w="120"/>
              <w:bottom w:type="dxa" w:w="80"/>
              <w:right w:type="dxa" w:w="120"/>
            </w:tcMar>
          </w:tcPr>
          <w:p>
            <w:r>
              <w:rPr>
                <w:rFonts w:ascii="Arial" w:cs="Arial" w:eastAsia="Arial" w:hAnsi="Arial"/>
                <w:color w:val="aa6666"/>
                <w:sz w:val="20"/>
                <w:szCs w:val="20"/>
              </w:rPr>
              <w:t xml:space="preserve">Place Audit / Public Report</w:t>
            </w:r>
          </w:p>
        </w:tc>
        <w:tc>
          <w:tcPr>
            <w:tcW w:type="dxa" w:w="3120"/>
            <w:tcMar>
              <w:top w:type="dxa" w:w="80"/>
              <w:left w:type="dxa" w:w="120"/>
              <w:bottom w:type="dxa" w:w="80"/>
              <w:right w:type="dxa" w:w="120"/>
            </w:tcMar>
          </w:tcPr>
          <w:p>
            <w:r>
              <w:rPr>
                <w:rFonts w:ascii="Arial" w:cs="Arial" w:eastAsia="Arial" w:hAnsi="Arial"/>
                <w:color w:val="666666"/>
                <w:sz w:val="19"/>
                <w:szCs w:val="19"/>
              </w:rPr>
              <w:t xml:space="preserve">Public tier of the Written Reckoning</w:t>
            </w:r>
          </w:p>
        </w:tc>
      </w:tr>
      <w:tr>
        <w:tc>
          <w:tcPr>
            <w:tcW w:type="dxa" w:w="3120"/>
            <w:tcMar>
              <w:top w:type="dxa" w:w="80"/>
              <w:left w:type="dxa" w:w="120"/>
              <w:bottom w:type="dxa" w:w="80"/>
              <w:right w:type="dxa" w:w="120"/>
            </w:tcMar>
          </w:tcPr>
          <w:p>
            <w:r>
              <w:rPr>
                <w:rFonts w:ascii="Arial" w:cs="Arial" w:eastAsia="Arial" w:hAnsi="Arial"/>
                <w:b/>
                <w:bCs/>
                <w:color w:val="2a4a5e"/>
                <w:sz w:val="20"/>
                <w:szCs w:val="20"/>
              </w:rPr>
              <w:t xml:space="preserve">Stepter Cultural Report</w:t>
            </w:r>
          </w:p>
        </w:tc>
        <w:tc>
          <w:tcPr>
            <w:tcW w:type="dxa" w:w="3120"/>
            <w:tcMar>
              <w:top w:type="dxa" w:w="80"/>
              <w:left w:type="dxa" w:w="120"/>
              <w:bottom w:type="dxa" w:w="80"/>
              <w:right w:type="dxa" w:w="120"/>
            </w:tcMar>
          </w:tcPr>
          <w:p>
            <w:r>
              <w:rPr>
                <w:rFonts w:ascii="Arial" w:cs="Arial" w:eastAsia="Arial" w:hAnsi="Arial"/>
                <w:color w:val="aa6666"/>
                <w:sz w:val="20"/>
                <w:szCs w:val="20"/>
              </w:rPr>
              <w:t xml:space="preserve">Client Report</w:t>
            </w:r>
          </w:p>
        </w:tc>
        <w:tc>
          <w:tcPr>
            <w:tcW w:type="dxa" w:w="3120"/>
            <w:tcMar>
              <w:top w:type="dxa" w:w="80"/>
              <w:left w:type="dxa" w:w="120"/>
              <w:bottom w:type="dxa" w:w="80"/>
              <w:right w:type="dxa" w:w="120"/>
            </w:tcMar>
          </w:tcPr>
          <w:p>
            <w:r>
              <w:rPr>
                <w:rFonts w:ascii="Arial" w:cs="Arial" w:eastAsia="Arial" w:hAnsi="Arial"/>
                <w:color w:val="666666"/>
                <w:sz w:val="19"/>
                <w:szCs w:val="19"/>
              </w:rPr>
              <w:t xml:space="preserve">Private, client-facing tier</w:t>
            </w:r>
          </w:p>
        </w:tc>
      </w:tr>
      <w:tr>
        <w:tc>
          <w:tcPr>
            <w:tcW w:type="dxa" w:w="3120"/>
            <w:tcMar>
              <w:top w:type="dxa" w:w="80"/>
              <w:left w:type="dxa" w:w="120"/>
              <w:bottom w:type="dxa" w:w="80"/>
              <w:right w:type="dxa" w:w="120"/>
            </w:tcMar>
          </w:tcPr>
          <w:p>
            <w:r>
              <w:rPr>
                <w:rFonts w:ascii="Arial" w:cs="Arial" w:eastAsia="Arial" w:hAnsi="Arial"/>
                <w:b/>
                <w:bCs/>
                <w:color w:val="2a4a5e"/>
                <w:sz w:val="20"/>
                <w:szCs w:val="20"/>
              </w:rPr>
              <w:t xml:space="preserve">The Archive</w:t>
            </w:r>
          </w:p>
        </w:tc>
        <w:tc>
          <w:tcPr>
            <w:tcW w:type="dxa" w:w="3120"/>
            <w:tcMar>
              <w:top w:type="dxa" w:w="80"/>
              <w:left w:type="dxa" w:w="120"/>
              <w:bottom w:type="dxa" w:w="80"/>
              <w:right w:type="dxa" w:w="120"/>
            </w:tcMar>
          </w:tcPr>
          <w:p>
            <w:r>
              <w:rPr>
                <w:rFonts w:ascii="Arial" w:cs="Arial" w:eastAsia="Arial" w:hAnsi="Arial"/>
                <w:color w:val="aa6666"/>
                <w:sz w:val="20"/>
                <w:szCs w:val="20"/>
              </w:rPr>
              <w:t xml:space="preserve">The Portfolio / The Collection</w:t>
            </w:r>
          </w:p>
        </w:tc>
        <w:tc>
          <w:tcPr>
            <w:tcW w:type="dxa" w:w="3120"/>
            <w:tcMar>
              <w:top w:type="dxa" w:w="80"/>
              <w:left w:type="dxa" w:w="120"/>
              <w:bottom w:type="dxa" w:w="80"/>
              <w:right w:type="dxa" w:w="120"/>
            </w:tcMar>
          </w:tcPr>
          <w:p>
            <w:r>
              <w:rPr>
                <w:rFonts w:ascii="Arial" w:cs="Arial" w:eastAsia="Arial" w:hAnsi="Arial"/>
                <w:color w:val="666666"/>
                <w:sz w:val="19"/>
                <w:szCs w:val="19"/>
              </w:rPr>
              <w:t xml:space="preserve">Site-wide umbrella holding all Portfolios</w:t>
            </w:r>
          </w:p>
        </w:tc>
      </w:tr>
      <w:tr>
        <w:tc>
          <w:tcPr>
            <w:tcW w:type="dxa" w:w="3120"/>
            <w:tcMar>
              <w:top w:type="dxa" w:w="80"/>
              <w:left w:type="dxa" w:w="120"/>
              <w:bottom w:type="dxa" w:w="80"/>
              <w:right w:type="dxa" w:w="120"/>
            </w:tcMar>
          </w:tcPr>
          <w:p>
            <w:r>
              <w:rPr>
                <w:rFonts w:ascii="Arial" w:cs="Arial" w:eastAsia="Arial" w:hAnsi="Arial"/>
                <w:b/>
                <w:bCs/>
                <w:color w:val="2a4a5e"/>
                <w:sz w:val="20"/>
                <w:szCs w:val="20"/>
              </w:rPr>
              <w:t xml:space="preserve">Founder's Portfolios</w:t>
            </w:r>
          </w:p>
        </w:tc>
        <w:tc>
          <w:tcPr>
            <w:tcW w:type="dxa" w:w="3120"/>
            <w:tcMar>
              <w:top w:type="dxa" w:w="80"/>
              <w:left w:type="dxa" w:w="120"/>
              <w:bottom w:type="dxa" w:w="80"/>
              <w:right w:type="dxa" w:w="120"/>
            </w:tcMar>
          </w:tcPr>
          <w:p>
            <w:r>
              <w:rPr>
                <w:rFonts w:ascii="Arial" w:cs="Arial" w:eastAsia="Arial" w:hAnsi="Arial"/>
                <w:color w:val="aa6666"/>
                <w:sz w:val="20"/>
                <w:szCs w:val="20"/>
              </w:rPr>
              <w:t xml:space="preserve">Founder's Records</w:t>
            </w:r>
          </w:p>
        </w:tc>
        <w:tc>
          <w:tcPr>
            <w:tcW w:type="dxa" w:w="3120"/>
            <w:tcMar>
              <w:top w:type="dxa" w:w="80"/>
              <w:left w:type="dxa" w:w="120"/>
              <w:bottom w:type="dxa" w:w="80"/>
              <w:right w:type="dxa" w:w="120"/>
            </w:tcMar>
          </w:tcPr>
          <w:p>
            <w:r>
              <w:rPr>
                <w:rFonts w:ascii="Arial" w:cs="Arial" w:eastAsia="Arial" w:hAnsi="Arial"/>
                <w:color w:val="666666"/>
                <w:sz w:val="19"/>
                <w:szCs w:val="19"/>
              </w:rPr>
              <w:t xml:space="preserve">Nav label for the portfolio section</w:t>
            </w:r>
          </w:p>
        </w:tc>
      </w:tr>
      <w:tr>
        <w:tc>
          <w:tcPr>
            <w:tcW w:type="dxa" w:w="3120"/>
            <w:tcMar>
              <w:top w:type="dxa" w:w="80"/>
              <w:left w:type="dxa" w:w="120"/>
              <w:bottom w:type="dxa" w:w="80"/>
              <w:right w:type="dxa" w:w="120"/>
            </w:tcMar>
          </w:tcPr>
          <w:p>
            <w:r>
              <w:rPr>
                <w:rFonts w:ascii="Arial" w:cs="Arial" w:eastAsia="Arial" w:hAnsi="Arial"/>
                <w:b/>
                <w:bCs/>
                <w:color w:val="2a4a5e"/>
                <w:sz w:val="20"/>
                <w:szCs w:val="20"/>
              </w:rPr>
              <w:t xml:space="preserve">Movement I–IV</w:t>
            </w:r>
          </w:p>
        </w:tc>
        <w:tc>
          <w:tcPr>
            <w:tcW w:type="dxa" w:w="3120"/>
            <w:tcMar>
              <w:top w:type="dxa" w:w="80"/>
              <w:left w:type="dxa" w:w="120"/>
              <w:bottom w:type="dxa" w:w="80"/>
              <w:right w:type="dxa" w:w="120"/>
            </w:tcMar>
          </w:tcPr>
          <w:p>
            <w:r>
              <w:rPr>
                <w:rFonts w:ascii="Arial" w:cs="Arial" w:eastAsia="Arial" w:hAnsi="Arial"/>
                <w:color w:val="aa6666"/>
                <w:sz w:val="20"/>
                <w:szCs w:val="20"/>
              </w:rPr>
              <w:t xml:space="preserve">Phase 1–4</w:t>
            </w:r>
          </w:p>
        </w:tc>
        <w:tc>
          <w:tcPr>
            <w:tcW w:type="dxa" w:w="3120"/>
            <w:tcMar>
              <w:top w:type="dxa" w:w="80"/>
              <w:left w:type="dxa" w:w="120"/>
              <w:bottom w:type="dxa" w:w="80"/>
              <w:right w:type="dxa" w:w="120"/>
            </w:tcMar>
          </w:tcPr>
          <w:p>
            <w:r>
              <w:rPr>
                <w:rFonts w:ascii="Arial" w:cs="Arial" w:eastAsia="Arial" w:hAnsi="Arial"/>
                <w:color w:val="666666"/>
                <w:sz w:val="19"/>
                <w:szCs w:val="19"/>
              </w:rPr>
              <w:t xml:space="preserve">The four research stages of the 225 Framework</w:t>
            </w:r>
          </w:p>
        </w:tc>
      </w:tr>
    </w:tbl>
    <w:p>
      <w:pPr>
        <w:pBdr>
          <w:bottom w:val="single" w:color="e8e4dd" w:sz="4"/>
        </w:pBdr>
        <w:spacing w:after="240" w:before="240"/>
      </w:pPr>
      <w:r>
        <w:t xml:space="preserve"/>
      </w:r>
    </w:p>
    <w:p>
      <w:pPr>
        <w:spacing w:after="120" w:before="480"/>
      </w:pPr>
      <w:r>
        <w:rPr>
          <w:rFonts w:ascii="Garamond" w:cs="Garamond" w:eastAsia="Garamond" w:hAnsi="Garamond"/>
          <w:b w:val="false"/>
          <w:bCs w:val="false"/>
          <w:color w:val="2a4a5e"/>
          <w:sz w:val="32"/>
          <w:szCs w:val="32"/>
        </w:rPr>
        <w:t xml:space="preserve">5. Current Navigation Structure</w:t>
      </w:r>
    </w:p>
    <w:p>
      <w:pPr>
        <w:spacing w:after="120" w:before="80"/>
      </w:pPr>
      <w:r>
        <w:rPr>
          <w:rFonts w:ascii="Arial" w:cs="Arial" w:eastAsia="Arial" w:hAnsi="Arial"/>
          <w:color w:val="1a1a1a"/>
          <w:sz w:val="22"/>
          <w:szCs w:val="22"/>
        </w:rPr>
        <w:t xml:space="preserve">This is the nav as it currently exists in the file:</w:t>
      </w:r>
    </w:p>
    <w:p>
      <w:pPr>
        <w:spacing w:after="0" w:before="80"/>
      </w:pPr>
      <w:r>
        <w:t xml:space="preserve"/>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Home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About</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Work — dropdown containing: Founder's Portfolios, License Imagery, Media Kit</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Archive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Contact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E9E0" w:val="clear"/>
            <w:tcMar>
              <w:top w:type="dxa" w:w="160"/>
              <w:left w:type="dxa" w:w="200"/>
              <w:bottom w:type="dxa" w:w="160"/>
              <w:right w:type="dxa" w:w="200"/>
            </w:tcMar>
          </w:tcPr>
          <w:p>
            <w:pPr>
              <w:spacing w:after="60" w:before="0"/>
            </w:pPr>
            <w:r>
              <w:rPr>
                <w:rFonts w:ascii="Arial" w:cs="Arial" w:eastAsia="Arial" w:hAnsi="Arial"/>
                <w:b/>
                <w:bCs/>
                <w:color w:val="c9956a"/>
                <w:spacing w:val="60"/>
                <w:sz w:val="16"/>
                <w:szCs w:val="16"/>
              </w:rPr>
              <w:t xml:space="preserve">HOVER BEHAVIOR NOTE</w:t>
            </w:r>
          </w:p>
          <w:p>
            <w:pPr>
              <w:spacing w:after="0" w:before="0"/>
            </w:pPr>
            <w:r>
              <w:rPr>
                <w:rFonts w:ascii="Arial" w:cs="Arial" w:eastAsia="Arial" w:hAnsi="Arial"/>
                <w:color w:val="1a1a1a"/>
                <w:sz w:val="21"/>
                <w:szCs w:val="21"/>
              </w:rPr>
              <w:t xml:space="preserve">The Work nav item triggers its dropdown on hover only — it does not navigate on click. An invisible bridge element covers the gap between the nav item and the dropdown so the mouse can travel down without the menu collapsing. Do not change this behavior.</w:t>
            </w:r>
          </w:p>
        </w:tc>
      </w:tr>
    </w:tbl>
    <w:p>
      <w:pPr>
        <w:pBdr>
          <w:bottom w:val="single" w:color="e8e4dd" w:sz="4"/>
        </w:pBdr>
        <w:spacing w:after="240" w:before="240"/>
      </w:pPr>
      <w:r>
        <w:t xml:space="preserve"/>
      </w:r>
    </w:p>
    <w:p>
      <w:pPr>
        <w:spacing w:after="120" w:before="480"/>
      </w:pPr>
      <w:r>
        <w:rPr>
          <w:rFonts w:ascii="Garamond" w:cs="Garamond" w:eastAsia="Garamond" w:hAnsi="Garamond"/>
          <w:b w:val="false"/>
          <w:bCs w:val="false"/>
          <w:color w:val="2a4a5e"/>
          <w:sz w:val="32"/>
          <w:szCs w:val="32"/>
        </w:rPr>
        <w:t xml:space="preserve">6. The Work To Do — In Priority Order</w:t>
      </w:r>
    </w:p>
    <w:p>
      <w:pPr>
        <w:spacing w:after="120" w:before="80"/>
      </w:pPr>
      <w:r>
        <w:rPr>
          <w:rFonts w:ascii="Arial" w:cs="Arial" w:eastAsia="Arial" w:hAnsi="Arial"/>
          <w:color w:val="1a1a1a"/>
          <w:sz w:val="22"/>
          <w:szCs w:val="22"/>
        </w:rPr>
        <w:t xml:space="preserve">These are the structural decisions that have been made and need to be built. Do them in this order. Do not begin the next item until the current one is confirmed working.</w:t>
      </w:r>
    </w:p>
    <w:p>
      <w:pPr>
        <w:spacing w:after="0" w:before="160"/>
      </w:pPr>
      <w:r>
        <w:t xml:space="preserve"/>
      </w:r>
    </w:p>
    <w:p>
      <w:pPr>
        <w:spacing w:after="100" w:before="320"/>
      </w:pPr>
      <w:r>
        <w:rPr>
          <w:rFonts w:ascii="Arial" w:cs="Arial" w:eastAsia="Arial" w:hAnsi="Arial"/>
          <w:b/>
          <w:bCs/>
          <w:color w:val="2a4a5e"/>
          <w:spacing w:val="40"/>
          <w:sz w:val="20"/>
          <w:szCs w:val="20"/>
        </w:rPr>
        <w:t xml:space="preserve">6A. Add the Four Sector Tags to the Archive</w:t>
      </w:r>
    </w:p>
    <w:p>
      <w:pPr>
        <w:spacing w:after="120" w:before="80"/>
      </w:pPr>
      <w:r>
        <w:rPr>
          <w:rFonts w:ascii="Arial" w:cs="Arial" w:eastAsia="Arial" w:hAnsi="Arial"/>
          <w:color w:val="1a1a1a"/>
          <w:sz w:val="22"/>
          <w:szCs w:val="22"/>
        </w:rPr>
        <w:t xml:space="preserve">The Archive needs to be reorganized around four sectors: Place, Practice, People, and Passage. These are not service categories — they are lenses through which the work is understood. Here is what each means:</w:t>
      </w:r>
    </w:p>
    <w:p>
      <w:pPr>
        <w:spacing w:after="0" w:before="12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Mar>
              <w:top w:type="dxa" w:w="60"/>
              <w:bottom w:type="dxa" w:w="60"/>
              <w:right w:type="dxa" w:w="160"/>
            </w:tcMar>
            <w:vAlign w:val="top"/>
          </w:tcPr>
          <w:p>
            <w:r>
              <w:rPr>
                <w:rFonts w:ascii="Arial" w:cs="Arial" w:eastAsia="Arial" w:hAnsi="Arial"/>
                <w:b/>
                <w:bCs/>
                <w:color w:val="2a4a5e"/>
                <w:spacing w:val="60"/>
                <w:sz w:val="18"/>
                <w:szCs w:val="18"/>
              </w:rPr>
              <w:t xml:space="preserve">PLACE</w:t>
            </w:r>
          </w:p>
        </w:tc>
        <w:tc>
          <w:tcPr>
            <w:tcW w:type="dxa" w:w="7920"/>
            <w:tcMar>
              <w:top w:type="dxa" w:w="60"/>
              <w:bottom w:type="dxa" w:w="60"/>
            </w:tcMar>
            <w:vAlign w:val="top"/>
          </w:tcPr>
          <w:p>
            <w:r>
              <w:rPr>
                <w:rFonts w:ascii="Arial" w:cs="Arial" w:eastAsia="Arial" w:hAnsi="Arial"/>
                <w:color w:val="666666"/>
                <w:sz w:val="21"/>
                <w:szCs w:val="21"/>
              </w:rPr>
              <w:t xml:space="preserve">The geography itself — waterways, coastal corridors, ecological zones. The land and water as document.</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Mar>
              <w:top w:type="dxa" w:w="60"/>
              <w:bottom w:type="dxa" w:w="60"/>
              <w:right w:type="dxa" w:w="160"/>
            </w:tcMar>
            <w:vAlign w:val="top"/>
          </w:tcPr>
          <w:p>
            <w:r>
              <w:rPr>
                <w:rFonts w:ascii="Arial" w:cs="Arial" w:eastAsia="Arial" w:hAnsi="Arial"/>
                <w:b/>
                <w:bCs/>
                <w:color w:val="6b8fa3"/>
                <w:spacing w:val="60"/>
                <w:sz w:val="18"/>
                <w:szCs w:val="18"/>
              </w:rPr>
              <w:t xml:space="preserve">PRACTICE</w:t>
            </w:r>
          </w:p>
        </w:tc>
        <w:tc>
          <w:tcPr>
            <w:tcW w:type="dxa" w:w="7920"/>
            <w:tcMar>
              <w:top w:type="dxa" w:w="60"/>
              <w:bottom w:type="dxa" w:w="60"/>
            </w:tcMar>
            <w:vAlign w:val="top"/>
          </w:tcPr>
          <w:p>
            <w:r>
              <w:rPr>
                <w:rFonts w:ascii="Arial" w:cs="Arial" w:eastAsia="Arial" w:hAnsi="Arial"/>
                <w:color w:val="666666"/>
                <w:sz w:val="21"/>
                <w:szCs w:val="21"/>
              </w:rPr>
              <w:t xml:space="preserve">How communities do the things that define them — worship, music, craft, cuisine. The living expressions of a geography.</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Mar>
              <w:top w:type="dxa" w:w="60"/>
              <w:bottom w:type="dxa" w:w="60"/>
              <w:right w:type="dxa" w:w="160"/>
            </w:tcMar>
            <w:vAlign w:val="top"/>
          </w:tcPr>
          <w:p>
            <w:r>
              <w:rPr>
                <w:rFonts w:ascii="Arial" w:cs="Arial" w:eastAsia="Arial" w:hAnsi="Arial"/>
                <w:b/>
                <w:bCs/>
                <w:color w:val="c9956a"/>
                <w:spacing w:val="60"/>
                <w:sz w:val="18"/>
                <w:szCs w:val="18"/>
              </w:rPr>
              <w:t xml:space="preserve">PEOPLE</w:t>
            </w:r>
          </w:p>
        </w:tc>
        <w:tc>
          <w:tcPr>
            <w:tcW w:type="dxa" w:w="7920"/>
            <w:tcMar>
              <w:top w:type="dxa" w:w="60"/>
              <w:bottom w:type="dxa" w:w="60"/>
            </w:tcMar>
            <w:vAlign w:val="top"/>
          </w:tcPr>
          <w:p>
            <w:r>
              <w:rPr>
                <w:rFonts w:ascii="Arial" w:cs="Arial" w:eastAsia="Arial" w:hAnsi="Arial"/>
                <w:color w:val="666666"/>
                <w:sz w:val="21"/>
                <w:szCs w:val="21"/>
              </w:rPr>
              <w:t xml:space="preserve">The living carriers of origin — artists, pastors, elders, practitioners. When this tag activates, the work shifts from documenting a geography to documenting a person who embodies it.</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tcMar>
              <w:top w:type="dxa" w:w="60"/>
              <w:bottom w:type="dxa" w:w="60"/>
              <w:right w:type="dxa" w:w="160"/>
            </w:tcMar>
            <w:vAlign w:val="top"/>
          </w:tcPr>
          <w:p>
            <w:r>
              <w:rPr>
                <w:rFonts w:ascii="Arial" w:cs="Arial" w:eastAsia="Arial" w:hAnsi="Arial"/>
                <w:b/>
                <w:bCs/>
                <w:color w:val="aaaaaa"/>
                <w:spacing w:val="60"/>
                <w:sz w:val="18"/>
                <w:szCs w:val="18"/>
              </w:rPr>
              <w:t xml:space="preserve">PASSAGE</w:t>
            </w:r>
          </w:p>
        </w:tc>
        <w:tc>
          <w:tcPr>
            <w:tcW w:type="dxa" w:w="7920"/>
            <w:tcMar>
              <w:top w:type="dxa" w:w="60"/>
              <w:bottom w:type="dxa" w:w="60"/>
            </w:tcMar>
            <w:vAlign w:val="top"/>
          </w:tcPr>
          <w:p>
            <w:r>
              <w:rPr>
                <w:rFonts w:ascii="Arial" w:cs="Arial" w:eastAsia="Arial" w:hAnsi="Arial"/>
                <w:color w:val="666666"/>
                <w:sz w:val="21"/>
                <w:szCs w:val="21"/>
              </w:rPr>
              <w:t xml:space="preserve">The applied commercial layer — experience design, operator partnerships, hospitality programming. Passage is what the other three make possible.</w:t>
            </w:r>
          </w:p>
        </w:tc>
      </w:tr>
    </w:tbl>
    <w:p>
      <w:pPr>
        <w:spacing w:after="0" w:before="160"/>
      </w:pPr>
      <w:r>
        <w:t xml:space="preserve"/>
      </w:r>
    </w:p>
    <w:p>
      <w:pPr>
        <w:spacing w:after="120" w:before="80"/>
      </w:pPr>
      <w:r>
        <w:rPr>
          <w:rFonts w:ascii="Arial" w:cs="Arial" w:eastAsia="Arial" w:hAnsi="Arial"/>
          <w:color w:val="1a1a1a"/>
          <w:sz w:val="22"/>
          <w:szCs w:val="22"/>
        </w:rPr>
        <w:t xml:space="preserve">The chosen implementation is Concept A from the comparison mockup — a dual view with both a map pane and a filterable grid pane side by side, with sector descriptions visible on each Portfolio card. Specifically:</w:t>
      </w:r>
    </w:p>
    <w:p>
      <w:pPr>
        <w:spacing w:after="0" w:before="80"/>
      </w:pPr>
      <w:r>
        <w:t xml:space="preserve"/>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Archive page gets a filter bar above the map with tag buttons: All · Place · Practice · People · Passage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A view toggle allows switching between Map view and Grid view</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In Grid view, each Portfolio card shows its name, status, active sector tags, and a brief description of what each active sector means for that specific location</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In Map view, clicking a pin opens a popup that also shows the active sector tags for that location</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filter applies to both views simultaneously</w:t>
      </w:r>
    </w:p>
    <w:p>
      <w:pPr>
        <w:spacing w:after="0" w:before="120"/>
      </w:pPr>
      <w:r>
        <w:t xml:space="preserve"/>
      </w:r>
    </w:p>
    <w:p>
      <w:pPr>
        <w:spacing w:after="120" w:before="80"/>
      </w:pPr>
      <w:r>
        <w:rPr>
          <w:rFonts w:ascii="Arial" w:cs="Arial" w:eastAsia="Arial" w:hAnsi="Arial"/>
          <w:color w:val="1a1a1a"/>
          <w:sz w:val="22"/>
          <w:szCs w:val="22"/>
        </w:rPr>
        <w:t xml:space="preserve">Here is the tag assignment for every current and anticipated Portfolio: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1440"/>
        <w:gridCol w:w="2160"/>
      </w:tblGrid>
      <w:tr>
        <w:trPr>
          <w:tblHeader/>
        </w:trPr>
        <w:tc>
          <w:tcPr>
            <w:tcW w:type="dxa" w:w="2880"/>
            <w:shd w:fill="EEE9E0" w:val="clear"/>
            <w:tcMar>
              <w:top w:type="dxa" w:w="80"/>
              <w:left w:type="dxa" w:w="120"/>
              <w:bottom w:type="dxa" w:w="80"/>
              <w:right w:type="dxa" w:w="120"/>
            </w:tcMar>
          </w:tcPr>
          <w:p>
            <w:r>
              <w:rPr>
                <w:rFonts w:ascii="Arial" w:cs="Arial" w:eastAsia="Arial" w:hAnsi="Arial"/>
                <w:b/>
                <w:bCs/>
                <w:color w:val="2a4a5e"/>
                <w:spacing w:val="50"/>
                <w:sz w:val="17"/>
                <w:szCs w:val="17"/>
              </w:rPr>
              <w:t xml:space="preserve">PORTFOLIO</w:t>
            </w:r>
          </w:p>
        </w:tc>
        <w:tc>
          <w:tcPr>
            <w:tcW w:type="dxa" w:w="2880"/>
            <w:shd w:fill="EEE9E0" w:val="clear"/>
            <w:tcMar>
              <w:top w:type="dxa" w:w="80"/>
              <w:left w:type="dxa" w:w="120"/>
              <w:bottom w:type="dxa" w:w="80"/>
              <w:right w:type="dxa" w:w="120"/>
            </w:tcMar>
          </w:tcPr>
          <w:p>
            <w:r>
              <w:rPr>
                <w:rFonts w:ascii="Arial" w:cs="Arial" w:eastAsia="Arial" w:hAnsi="Arial"/>
                <w:b/>
                <w:bCs/>
                <w:color w:val="2a4a5e"/>
                <w:spacing w:val="50"/>
                <w:sz w:val="17"/>
                <w:szCs w:val="17"/>
              </w:rPr>
              <w:t xml:space="preserve">REGION</w:t>
            </w:r>
          </w:p>
        </w:tc>
        <w:tc>
          <w:tcPr>
            <w:tcW w:type="dxa" w:w="1440"/>
            <w:shd w:fill="EEE9E0" w:val="clear"/>
            <w:tcMar>
              <w:top w:type="dxa" w:w="80"/>
              <w:left w:type="dxa" w:w="120"/>
              <w:bottom w:type="dxa" w:w="80"/>
              <w:right w:type="dxa" w:w="120"/>
            </w:tcMar>
          </w:tcPr>
          <w:p>
            <w:r>
              <w:rPr>
                <w:rFonts w:ascii="Arial" w:cs="Arial" w:eastAsia="Arial" w:hAnsi="Arial"/>
                <w:b/>
                <w:bCs/>
                <w:color w:val="2a4a5e"/>
                <w:spacing w:val="50"/>
                <w:sz w:val="17"/>
                <w:szCs w:val="17"/>
              </w:rPr>
              <w:t xml:space="preserve">STATUS</w:t>
            </w:r>
          </w:p>
        </w:tc>
        <w:tc>
          <w:tcPr>
            <w:tcW w:type="dxa" w:w="2160"/>
            <w:shd w:fill="EEE9E0" w:val="clear"/>
            <w:tcMar>
              <w:top w:type="dxa" w:w="80"/>
              <w:left w:type="dxa" w:w="120"/>
              <w:bottom w:type="dxa" w:w="80"/>
              <w:right w:type="dxa" w:w="120"/>
            </w:tcMar>
          </w:tcPr>
          <w:p>
            <w:r>
              <w:rPr>
                <w:rFonts w:ascii="Arial" w:cs="Arial" w:eastAsia="Arial" w:hAnsi="Arial"/>
                <w:b/>
                <w:bCs/>
                <w:color w:val="2a4a5e"/>
                <w:spacing w:val="50"/>
                <w:sz w:val="17"/>
                <w:szCs w:val="17"/>
              </w:rPr>
              <w:t xml:space="preserve">SECTORS</w:t>
            </w:r>
          </w:p>
        </w:tc>
      </w:tr>
      <w:tr>
        <w:tc>
          <w:tcPr>
            <w:tcW w:type="dxa" w:w="2880"/>
            <w:tcMar>
              <w:top w:type="dxa" w:w="100"/>
              <w:left w:type="dxa" w:w="120"/>
              <w:bottom w:type="dxa" w:w="100"/>
              <w:right w:type="dxa" w:w="120"/>
            </w:tcMar>
          </w:tcPr>
          <w:p>
            <w:r>
              <w:rPr>
                <w:rFonts w:ascii="Garamond" w:cs="Garamond" w:eastAsia="Garamond" w:hAnsi="Garamond"/>
                <w:color w:val="2a4a5e"/>
                <w:sz w:val="22"/>
                <w:szCs w:val="22"/>
              </w:rPr>
              <w:t xml:space="preserve">St. Petersburg</w:t>
            </w:r>
          </w:p>
        </w:tc>
        <w:tc>
          <w:tcPr>
            <w:tcW w:type="dxa" w:w="2880"/>
            <w:tcMar>
              <w:top w:type="dxa" w:w="100"/>
              <w:left w:type="dxa" w:w="120"/>
              <w:bottom w:type="dxa" w:w="100"/>
              <w:right w:type="dxa" w:w="120"/>
            </w:tcMar>
          </w:tcPr>
          <w:p>
            <w:r>
              <w:rPr>
                <w:rFonts w:ascii="Arial" w:cs="Arial" w:eastAsia="Arial" w:hAnsi="Arial"/>
                <w:color w:val="666666"/>
                <w:sz w:val="20"/>
                <w:szCs w:val="20"/>
              </w:rPr>
              <w:t xml:space="preserve">Tampa Bay, FL</w:t>
            </w:r>
          </w:p>
        </w:tc>
        <w:tc>
          <w:tcPr>
            <w:tcW w:type="dxa" w:w="1440"/>
            <w:tcMar>
              <w:top w:type="dxa" w:w="100"/>
              <w:left w:type="dxa" w:w="120"/>
              <w:bottom w:type="dxa" w:w="100"/>
              <w:right w:type="dxa" w:w="120"/>
            </w:tcMar>
          </w:tcPr>
          <w:p>
            <w:r>
              <w:rPr>
                <w:rFonts w:ascii="Arial" w:cs="Arial" w:eastAsia="Arial" w:hAnsi="Arial"/>
                <w:b/>
                <w:bCs/>
                <w:color w:val="2a4a5e"/>
                <w:sz w:val="19"/>
                <w:szCs w:val="19"/>
              </w:rPr>
              <w:t xml:space="preserve">Identity</w:t>
            </w:r>
          </w:p>
        </w:tc>
        <w:tc>
          <w:tcPr>
            <w:tcW w:type="dxa" w:w="2160"/>
            <w:tcMar>
              <w:top w:type="dxa" w:w="100"/>
              <w:left w:type="dxa" w:w="120"/>
              <w:bottom w:type="dxa" w:w="100"/>
              <w:right w:type="dxa" w:w="120"/>
            </w:tcMar>
          </w:tcPr>
          <w:p>
            <w:r>
              <w:rPr>
                <w:rFonts w:ascii="Arial" w:cs="Arial" w:eastAsia="Arial" w:hAnsi="Arial"/>
                <w:color w:val="aaaaaa"/>
                <w:spacing w:val="30"/>
                <w:sz w:val="18"/>
                <w:szCs w:val="18"/>
              </w:rPr>
              <w:t xml:space="preserve">Place · Practice · Passage</w:t>
            </w:r>
          </w:p>
        </w:tc>
      </w:tr>
      <w:tr>
        <w:tc>
          <w:tcPr>
            <w:tcW w:type="dxa" w:w="2880"/>
            <w:tcMar>
              <w:top w:type="dxa" w:w="100"/>
              <w:left w:type="dxa" w:w="120"/>
              <w:bottom w:type="dxa" w:w="100"/>
              <w:right w:type="dxa" w:w="120"/>
            </w:tcMar>
          </w:tcPr>
          <w:p>
            <w:r>
              <w:rPr>
                <w:rFonts w:ascii="Garamond" w:cs="Garamond" w:eastAsia="Garamond" w:hAnsi="Garamond"/>
                <w:color w:val="2a4a5e"/>
                <w:sz w:val="22"/>
                <w:szCs w:val="22"/>
              </w:rPr>
              <w:t xml:space="preserve">Tarpon Springs</w:t>
            </w:r>
          </w:p>
        </w:tc>
        <w:tc>
          <w:tcPr>
            <w:tcW w:type="dxa" w:w="2880"/>
            <w:tcMar>
              <w:top w:type="dxa" w:w="100"/>
              <w:left w:type="dxa" w:w="120"/>
              <w:bottom w:type="dxa" w:w="100"/>
              <w:right w:type="dxa" w:w="120"/>
            </w:tcMar>
          </w:tcPr>
          <w:p>
            <w:r>
              <w:rPr>
                <w:rFonts w:ascii="Arial" w:cs="Arial" w:eastAsia="Arial" w:hAnsi="Arial"/>
                <w:color w:val="666666"/>
                <w:sz w:val="20"/>
                <w:szCs w:val="20"/>
              </w:rPr>
              <w:t xml:space="preserve">Tampa Bay, FL</w:t>
            </w:r>
          </w:p>
        </w:tc>
        <w:tc>
          <w:tcPr>
            <w:tcW w:type="dxa" w:w="1440"/>
            <w:tcMar>
              <w:top w:type="dxa" w:w="100"/>
              <w:left w:type="dxa" w:w="120"/>
              <w:bottom w:type="dxa" w:w="100"/>
              <w:right w:type="dxa" w:w="120"/>
            </w:tcMar>
          </w:tcPr>
          <w:p>
            <w:r>
              <w:rPr>
                <w:rFonts w:ascii="Arial" w:cs="Arial" w:eastAsia="Arial" w:hAnsi="Arial"/>
                <w:b/>
                <w:bCs/>
                <w:color w:val="2a4a5e"/>
                <w:sz w:val="19"/>
                <w:szCs w:val="19"/>
              </w:rPr>
              <w:t xml:space="preserve">Identity</w:t>
            </w:r>
          </w:p>
        </w:tc>
        <w:tc>
          <w:tcPr>
            <w:tcW w:type="dxa" w:w="2160"/>
            <w:tcMar>
              <w:top w:type="dxa" w:w="100"/>
              <w:left w:type="dxa" w:w="120"/>
              <w:bottom w:type="dxa" w:w="100"/>
              <w:right w:type="dxa" w:w="120"/>
            </w:tcMar>
          </w:tcPr>
          <w:p>
            <w:r>
              <w:rPr>
                <w:rFonts w:ascii="Arial" w:cs="Arial" w:eastAsia="Arial" w:hAnsi="Arial"/>
                <w:color w:val="aaaaaa"/>
                <w:spacing w:val="30"/>
                <w:sz w:val="18"/>
                <w:szCs w:val="18"/>
              </w:rPr>
              <w:t xml:space="preserve">Place · Practice · Passage</w:t>
            </w:r>
          </w:p>
        </w:tc>
      </w:tr>
      <w:tr>
        <w:tc>
          <w:tcPr>
            <w:tcW w:type="dxa" w:w="2880"/>
            <w:tcMar>
              <w:top w:type="dxa" w:w="100"/>
              <w:left w:type="dxa" w:w="120"/>
              <w:bottom w:type="dxa" w:w="100"/>
              <w:right w:type="dxa" w:w="120"/>
            </w:tcMar>
          </w:tcPr>
          <w:p>
            <w:r>
              <w:rPr>
                <w:rFonts w:ascii="Garamond" w:cs="Garamond" w:eastAsia="Garamond" w:hAnsi="Garamond"/>
                <w:color w:val="2a4a5e"/>
                <w:sz w:val="22"/>
                <w:szCs w:val="22"/>
              </w:rPr>
              <w:t xml:space="preserve">Nashville</w:t>
            </w:r>
          </w:p>
        </w:tc>
        <w:tc>
          <w:tcPr>
            <w:tcW w:type="dxa" w:w="2880"/>
            <w:tcMar>
              <w:top w:type="dxa" w:w="100"/>
              <w:left w:type="dxa" w:w="120"/>
              <w:bottom w:type="dxa" w:w="100"/>
              <w:right w:type="dxa" w:w="120"/>
            </w:tcMar>
          </w:tcPr>
          <w:p>
            <w:r>
              <w:rPr>
                <w:rFonts w:ascii="Arial" w:cs="Arial" w:eastAsia="Arial" w:hAnsi="Arial"/>
                <w:color w:val="666666"/>
                <w:sz w:val="20"/>
                <w:szCs w:val="20"/>
              </w:rPr>
              <w:t xml:space="preserve">Tennessee</w:t>
            </w:r>
          </w:p>
        </w:tc>
        <w:tc>
          <w:tcPr>
            <w:tcW w:type="dxa" w:w="1440"/>
            <w:tcMar>
              <w:top w:type="dxa" w:w="100"/>
              <w:left w:type="dxa" w:w="120"/>
              <w:bottom w:type="dxa" w:w="100"/>
              <w:right w:type="dxa" w:w="120"/>
            </w:tcMar>
          </w:tcPr>
          <w:p>
            <w:r>
              <w:rPr>
                <w:rFonts w:ascii="Arial" w:cs="Arial" w:eastAsia="Arial" w:hAnsi="Arial"/>
                <w:b/>
                <w:bCs/>
                <w:color w:val="2a4a5e"/>
                <w:sz w:val="19"/>
                <w:szCs w:val="19"/>
              </w:rPr>
              <w:t xml:space="preserve">Identity</w:t>
            </w:r>
          </w:p>
        </w:tc>
        <w:tc>
          <w:tcPr>
            <w:tcW w:type="dxa" w:w="2160"/>
            <w:tcMar>
              <w:top w:type="dxa" w:w="100"/>
              <w:left w:type="dxa" w:w="120"/>
              <w:bottom w:type="dxa" w:w="100"/>
              <w:right w:type="dxa" w:w="120"/>
            </w:tcMar>
          </w:tcPr>
          <w:p>
            <w:r>
              <w:rPr>
                <w:rFonts w:ascii="Arial" w:cs="Arial" w:eastAsia="Arial" w:hAnsi="Arial"/>
                <w:color w:val="aaaaaa"/>
                <w:spacing w:val="30"/>
                <w:sz w:val="18"/>
                <w:szCs w:val="18"/>
              </w:rPr>
              <w:t xml:space="preserve">Place · Practice · People · Passage</w:t>
            </w:r>
          </w:p>
        </w:tc>
      </w:tr>
      <w:tr>
        <w:tc>
          <w:tcPr>
            <w:tcW w:type="dxa" w:w="2880"/>
            <w:tcMar>
              <w:top w:type="dxa" w:w="100"/>
              <w:left w:type="dxa" w:w="120"/>
              <w:bottom w:type="dxa" w:w="100"/>
              <w:right w:type="dxa" w:w="120"/>
            </w:tcMar>
          </w:tcPr>
          <w:p>
            <w:r>
              <w:rPr>
                <w:rFonts w:ascii="Garamond" w:cs="Garamond" w:eastAsia="Garamond" w:hAnsi="Garamond"/>
                <w:color w:val="2a4a5e"/>
                <w:sz w:val="22"/>
                <w:szCs w:val="22"/>
              </w:rPr>
              <w:t xml:space="preserve">Raleigh / Triangle</w:t>
            </w:r>
          </w:p>
        </w:tc>
        <w:tc>
          <w:tcPr>
            <w:tcW w:type="dxa" w:w="2880"/>
            <w:tcMar>
              <w:top w:type="dxa" w:w="100"/>
              <w:left w:type="dxa" w:w="120"/>
              <w:bottom w:type="dxa" w:w="100"/>
              <w:right w:type="dxa" w:w="120"/>
            </w:tcMar>
          </w:tcPr>
          <w:p>
            <w:r>
              <w:rPr>
                <w:rFonts w:ascii="Arial" w:cs="Arial" w:eastAsia="Arial" w:hAnsi="Arial"/>
                <w:color w:val="666666"/>
                <w:sz w:val="20"/>
                <w:szCs w:val="20"/>
              </w:rPr>
              <w:t xml:space="preserve">North Carolina</w:t>
            </w:r>
          </w:p>
        </w:tc>
        <w:tc>
          <w:tcPr>
            <w:tcW w:type="dxa" w:w="1440"/>
            <w:tcMar>
              <w:top w:type="dxa" w:w="100"/>
              <w:left w:type="dxa" w:w="120"/>
              <w:bottom w:type="dxa" w:w="100"/>
              <w:right w:type="dxa" w:w="120"/>
            </w:tcMar>
          </w:tcPr>
          <w:p>
            <w:r>
              <w:rPr>
                <w:rFonts w:ascii="Arial" w:cs="Arial" w:eastAsia="Arial" w:hAnsi="Arial"/>
                <w:b w:val="false"/>
                <w:bCs w:val="false"/>
                <w:color w:val="6b8fa3"/>
                <w:sz w:val="19"/>
                <w:szCs w:val="19"/>
              </w:rPr>
              <w:t xml:space="preserve">In Development</w:t>
            </w:r>
          </w:p>
        </w:tc>
        <w:tc>
          <w:tcPr>
            <w:tcW w:type="dxa" w:w="2160"/>
            <w:tcMar>
              <w:top w:type="dxa" w:w="100"/>
              <w:left w:type="dxa" w:w="120"/>
              <w:bottom w:type="dxa" w:w="100"/>
              <w:right w:type="dxa" w:w="120"/>
            </w:tcMar>
          </w:tcPr>
          <w:p>
            <w:r>
              <w:rPr>
                <w:rFonts w:ascii="Arial" w:cs="Arial" w:eastAsia="Arial" w:hAnsi="Arial"/>
                <w:color w:val="aaaaaa"/>
                <w:spacing w:val="30"/>
                <w:sz w:val="18"/>
                <w:szCs w:val="18"/>
              </w:rPr>
              <w:t xml:space="preserve">Place · Practice</w:t>
            </w:r>
          </w:p>
        </w:tc>
      </w:tr>
      <w:tr>
        <w:tc>
          <w:tcPr>
            <w:tcW w:type="dxa" w:w="2880"/>
            <w:tcMar>
              <w:top w:type="dxa" w:w="100"/>
              <w:left w:type="dxa" w:w="120"/>
              <w:bottom w:type="dxa" w:w="100"/>
              <w:right w:type="dxa" w:w="120"/>
            </w:tcMar>
          </w:tcPr>
          <w:p>
            <w:r>
              <w:rPr>
                <w:rFonts w:ascii="Garamond" w:cs="Garamond" w:eastAsia="Garamond" w:hAnsi="Garamond"/>
                <w:color w:val="2a4a5e"/>
                <w:sz w:val="22"/>
                <w:szCs w:val="22"/>
              </w:rPr>
              <w:t xml:space="preserve">Lower Cape Fear</w:t>
            </w:r>
          </w:p>
        </w:tc>
        <w:tc>
          <w:tcPr>
            <w:tcW w:type="dxa" w:w="2880"/>
            <w:tcMar>
              <w:top w:type="dxa" w:w="100"/>
              <w:left w:type="dxa" w:w="120"/>
              <w:bottom w:type="dxa" w:w="100"/>
              <w:right w:type="dxa" w:w="120"/>
            </w:tcMar>
          </w:tcPr>
          <w:p>
            <w:r>
              <w:rPr>
                <w:rFonts w:ascii="Arial" w:cs="Arial" w:eastAsia="Arial" w:hAnsi="Arial"/>
                <w:color w:val="666666"/>
                <w:sz w:val="20"/>
                <w:szCs w:val="20"/>
              </w:rPr>
              <w:t xml:space="preserve">North Carolina</w:t>
            </w:r>
          </w:p>
        </w:tc>
        <w:tc>
          <w:tcPr>
            <w:tcW w:type="dxa" w:w="1440"/>
            <w:tcMar>
              <w:top w:type="dxa" w:w="100"/>
              <w:left w:type="dxa" w:w="120"/>
              <w:bottom w:type="dxa" w:w="100"/>
              <w:right w:type="dxa" w:w="120"/>
            </w:tcMar>
          </w:tcPr>
          <w:p>
            <w:r>
              <w:rPr>
                <w:rFonts w:ascii="Arial" w:cs="Arial" w:eastAsia="Arial" w:hAnsi="Arial"/>
                <w:b w:val="false"/>
                <w:bCs w:val="false"/>
                <w:color w:val="6b8fa3"/>
                <w:sz w:val="19"/>
                <w:szCs w:val="19"/>
              </w:rPr>
              <w:t xml:space="preserve">In Development</w:t>
            </w:r>
          </w:p>
        </w:tc>
        <w:tc>
          <w:tcPr>
            <w:tcW w:type="dxa" w:w="2160"/>
            <w:tcMar>
              <w:top w:type="dxa" w:w="100"/>
              <w:left w:type="dxa" w:w="120"/>
              <w:bottom w:type="dxa" w:w="100"/>
              <w:right w:type="dxa" w:w="120"/>
            </w:tcMar>
          </w:tcPr>
          <w:p>
            <w:r>
              <w:rPr>
                <w:rFonts w:ascii="Arial" w:cs="Arial" w:eastAsia="Arial" w:hAnsi="Arial"/>
                <w:color w:val="aaaaaa"/>
                <w:spacing w:val="30"/>
                <w:sz w:val="18"/>
                <w:szCs w:val="18"/>
              </w:rPr>
              <w:t xml:space="preserve">Place · Practice</w:t>
            </w:r>
          </w:p>
        </w:tc>
      </w:tr>
      <w:tr>
        <w:tc>
          <w:tcPr>
            <w:tcW w:type="dxa" w:w="2880"/>
            <w:tcMar>
              <w:top w:type="dxa" w:w="100"/>
              <w:left w:type="dxa" w:w="120"/>
              <w:bottom w:type="dxa" w:w="100"/>
              <w:right w:type="dxa" w:w="120"/>
            </w:tcMar>
          </w:tcPr>
          <w:p>
            <w:r>
              <w:rPr>
                <w:rFonts w:ascii="Garamond" w:cs="Garamond" w:eastAsia="Garamond" w:hAnsi="Garamond"/>
                <w:color w:val="2a4a5e"/>
                <w:sz w:val="22"/>
                <w:szCs w:val="22"/>
              </w:rPr>
              <w:t xml:space="preserve">Savannah</w:t>
            </w:r>
          </w:p>
        </w:tc>
        <w:tc>
          <w:tcPr>
            <w:tcW w:type="dxa" w:w="2880"/>
            <w:tcMar>
              <w:top w:type="dxa" w:w="100"/>
              <w:left w:type="dxa" w:w="120"/>
              <w:bottom w:type="dxa" w:w="100"/>
              <w:right w:type="dxa" w:w="120"/>
            </w:tcMar>
          </w:tcPr>
          <w:p>
            <w:r>
              <w:rPr>
                <w:rFonts w:ascii="Arial" w:cs="Arial" w:eastAsia="Arial" w:hAnsi="Arial"/>
                <w:color w:val="666666"/>
                <w:sz w:val="20"/>
                <w:szCs w:val="20"/>
              </w:rPr>
              <w:t xml:space="preserve">Georgia</w:t>
            </w:r>
          </w:p>
        </w:tc>
        <w:tc>
          <w:tcPr>
            <w:tcW w:type="dxa" w:w="1440"/>
            <w:tcMar>
              <w:top w:type="dxa" w:w="100"/>
              <w:left w:type="dxa" w:w="120"/>
              <w:bottom w:type="dxa" w:w="100"/>
              <w:right w:type="dxa" w:w="120"/>
            </w:tcMar>
          </w:tcPr>
          <w:p>
            <w:r>
              <w:rPr>
                <w:rFonts w:ascii="Arial" w:cs="Arial" w:eastAsia="Arial" w:hAnsi="Arial"/>
                <w:b w:val="false"/>
                <w:bCs w:val="false"/>
                <w:color w:val="aaaaaa"/>
                <w:sz w:val="19"/>
                <w:szCs w:val="19"/>
              </w:rPr>
              <w:t xml:space="preserve">Anticipated</w:t>
            </w:r>
          </w:p>
        </w:tc>
        <w:tc>
          <w:tcPr>
            <w:tcW w:type="dxa" w:w="2160"/>
            <w:tcMar>
              <w:top w:type="dxa" w:w="100"/>
              <w:left w:type="dxa" w:w="120"/>
              <w:bottom w:type="dxa" w:w="100"/>
              <w:right w:type="dxa" w:w="120"/>
            </w:tcMar>
          </w:tcPr>
          <w:p>
            <w:r>
              <w:rPr>
                <w:rFonts w:ascii="Arial" w:cs="Arial" w:eastAsia="Arial" w:hAnsi="Arial"/>
                <w:color w:val="aaaaaa"/>
                <w:spacing w:val="30"/>
                <w:sz w:val="18"/>
                <w:szCs w:val="18"/>
              </w:rPr>
              <w:t xml:space="preserve">Place · Practice · People</w:t>
            </w:r>
          </w:p>
        </w:tc>
      </w:tr>
      <w:tr>
        <w:tc>
          <w:tcPr>
            <w:tcW w:type="dxa" w:w="2880"/>
            <w:tcMar>
              <w:top w:type="dxa" w:w="100"/>
              <w:left w:type="dxa" w:w="120"/>
              <w:bottom w:type="dxa" w:w="100"/>
              <w:right w:type="dxa" w:w="120"/>
            </w:tcMar>
          </w:tcPr>
          <w:p>
            <w:r>
              <w:rPr>
                <w:rFonts w:ascii="Garamond" w:cs="Garamond" w:eastAsia="Garamond" w:hAnsi="Garamond"/>
                <w:color w:val="2a4a5e"/>
                <w:sz w:val="22"/>
                <w:szCs w:val="22"/>
              </w:rPr>
              <w:t xml:space="preserve">Miami</w:t>
            </w:r>
          </w:p>
        </w:tc>
        <w:tc>
          <w:tcPr>
            <w:tcW w:type="dxa" w:w="2880"/>
            <w:tcMar>
              <w:top w:type="dxa" w:w="100"/>
              <w:left w:type="dxa" w:w="120"/>
              <w:bottom w:type="dxa" w:w="100"/>
              <w:right w:type="dxa" w:w="120"/>
            </w:tcMar>
          </w:tcPr>
          <w:p>
            <w:r>
              <w:rPr>
                <w:rFonts w:ascii="Arial" w:cs="Arial" w:eastAsia="Arial" w:hAnsi="Arial"/>
                <w:color w:val="666666"/>
                <w:sz w:val="20"/>
                <w:szCs w:val="20"/>
              </w:rPr>
              <w:t xml:space="preserve">South Florida</w:t>
            </w:r>
          </w:p>
        </w:tc>
        <w:tc>
          <w:tcPr>
            <w:tcW w:type="dxa" w:w="1440"/>
            <w:tcMar>
              <w:top w:type="dxa" w:w="100"/>
              <w:left w:type="dxa" w:w="120"/>
              <w:bottom w:type="dxa" w:w="100"/>
              <w:right w:type="dxa" w:w="120"/>
            </w:tcMar>
          </w:tcPr>
          <w:p>
            <w:r>
              <w:rPr>
                <w:rFonts w:ascii="Arial" w:cs="Arial" w:eastAsia="Arial" w:hAnsi="Arial"/>
                <w:b w:val="false"/>
                <w:bCs w:val="false"/>
                <w:color w:val="aaaaaa"/>
                <w:sz w:val="19"/>
                <w:szCs w:val="19"/>
              </w:rPr>
              <w:t xml:space="preserve">Anticipated</w:t>
            </w:r>
          </w:p>
        </w:tc>
        <w:tc>
          <w:tcPr>
            <w:tcW w:type="dxa" w:w="2160"/>
            <w:tcMar>
              <w:top w:type="dxa" w:w="100"/>
              <w:left w:type="dxa" w:w="120"/>
              <w:bottom w:type="dxa" w:w="100"/>
              <w:right w:type="dxa" w:w="120"/>
            </w:tcMar>
          </w:tcPr>
          <w:p>
            <w:r>
              <w:rPr>
                <w:rFonts w:ascii="Arial" w:cs="Arial" w:eastAsia="Arial" w:hAnsi="Arial"/>
                <w:color w:val="aaaaaa"/>
                <w:spacing w:val="30"/>
                <w:sz w:val="18"/>
                <w:szCs w:val="18"/>
              </w:rPr>
              <w:t xml:space="preserve">Place · Practice · People · Passage</w:t>
            </w:r>
          </w:p>
        </w:tc>
      </w:tr>
    </w:tbl>
    <w:p>
      <w:pPr>
        <w:spacing w:after="0" w:before="160"/>
      </w:pPr>
      <w:r>
        <w:t xml:space="preserve"/>
      </w:r>
    </w:p>
    <w:p>
      <w:pPr>
        <w:spacing w:after="100" w:before="320"/>
      </w:pPr>
      <w:r>
        <w:rPr>
          <w:rFonts w:ascii="Arial" w:cs="Arial" w:eastAsia="Arial" w:hAnsi="Arial"/>
          <w:b/>
          <w:bCs/>
          <w:color w:val="2a4a5e"/>
          <w:spacing w:val="40"/>
          <w:sz w:val="20"/>
          <w:szCs w:val="20"/>
        </w:rPr>
        <w:t xml:space="preserve">6B. Restructure the Nav Around the Four Sectors</w:t>
      </w:r>
    </w:p>
    <w:p>
      <w:pPr>
        <w:spacing w:after="120" w:before="80"/>
      </w:pPr>
      <w:r>
        <w:rPr>
          <w:rFonts w:ascii="Arial" w:cs="Arial" w:eastAsia="Arial" w:hAnsi="Arial"/>
          <w:color w:val="1a1a1a"/>
          <w:sz w:val="22"/>
          <w:szCs w:val="22"/>
        </w:rPr>
        <w:t xml:space="preserve">The current nav serves the current site structure. The four sectors replace the existing organizational logic. The new nav should be:</w:t>
      </w:r>
    </w:p>
    <w:p>
      <w:pPr>
        <w:spacing w:after="0" w:before="80"/>
      </w:pPr>
      <w:r>
        <w:t xml:space="preserve"/>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Home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About</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Archive — the research body, organized by Place / Practice / People tags (the map stays here)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Work — the applied commercial layer (Passage expressed as discrete offerings)</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Contact</w:t>
      </w:r>
    </w:p>
    <w:p>
      <w:pPr>
        <w:spacing w:after="0" w:before="120"/>
      </w:pPr>
      <w:r>
        <w:t xml:space="preserve"/>
      </w:r>
    </w:p>
    <w:p>
      <w:pPr>
        <w:spacing w:after="120" w:before="80"/>
      </w:pPr>
      <w:r>
        <w:rPr>
          <w:rFonts w:ascii="Arial" w:cs="Arial" w:eastAsia="Arial" w:hAnsi="Arial"/>
          <w:color w:val="1a1a1a"/>
          <w:sz w:val="22"/>
          <w:szCs w:val="22"/>
        </w:rPr>
        <w:t xml:space="preserve">The Work dropdown (currently Founder's Portfolios, License Imagery, Media Kit) needs to be reconsidered in light of Passage becoming its own sector. What lives under The Work:</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Experience Design — Physical Reckoning outputs, routes, itineraries</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Operator Partnerships — the pitch surface for DMOs, travel brands, cruise lines</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Hospitality Programming — the Stepter Cultural Report and guest experience work</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License Imagery — remains, gated behind completion of a place's Reckoning of Place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E9E0" w:val="clear"/>
            <w:tcMar>
              <w:top w:type="dxa" w:w="160"/>
              <w:left w:type="dxa" w:w="200"/>
              <w:bottom w:type="dxa" w:w="160"/>
              <w:right w:type="dxa" w:w="200"/>
            </w:tcMar>
          </w:tcPr>
          <w:p>
            <w:pPr>
              <w:spacing w:after="60" w:before="0"/>
            </w:pPr>
            <w:r>
              <w:rPr>
                <w:rFonts w:ascii="Arial" w:cs="Arial" w:eastAsia="Arial" w:hAnsi="Arial"/>
                <w:b/>
                <w:bCs/>
                <w:color w:val="c9956a"/>
                <w:spacing w:val="60"/>
                <w:sz w:val="16"/>
                <w:szCs w:val="16"/>
              </w:rPr>
              <w:t xml:space="preserve">DO NOT BUILD THESE PAGES YET</w:t>
            </w:r>
          </w:p>
          <w:p>
            <w:pPr>
              <w:spacing w:after="0" w:before="0"/>
            </w:pPr>
            <w:r>
              <w:rPr>
                <w:rFonts w:ascii="Arial" w:cs="Arial" w:eastAsia="Arial" w:hAnsi="Arial"/>
                <w:color w:val="1a1a1a"/>
                <w:sz w:val="21"/>
                <w:szCs w:val="21"/>
              </w:rPr>
              <w:t xml:space="preserve">Build the nav structure and placeholder page shells first. Get confirmation before writing copy or building out full page content for The Work section.</w:t>
            </w:r>
          </w:p>
        </w:tc>
      </w:tr>
    </w:tbl>
    <w:p>
      <w:pPr>
        <w:spacing w:after="0" w:before="160"/>
      </w:pPr>
      <w:r>
        <w:t xml:space="preserve"/>
      </w:r>
    </w:p>
    <w:p>
      <w:pPr>
        <w:spacing w:after="100" w:before="320"/>
      </w:pPr>
      <w:r>
        <w:rPr>
          <w:rFonts w:ascii="Arial" w:cs="Arial" w:eastAsia="Arial" w:hAnsi="Arial"/>
          <w:b/>
          <w:bCs/>
          <w:color w:val="2a4a5e"/>
          <w:spacing w:val="40"/>
          <w:sz w:val="20"/>
          <w:szCs w:val="20"/>
        </w:rPr>
        <w:t xml:space="preserve">6C. Portfolio Pages — Tag Integration</w:t>
      </w:r>
    </w:p>
    <w:p>
      <w:pPr>
        <w:spacing w:after="120" w:before="80"/>
      </w:pPr>
      <w:r>
        <w:rPr>
          <w:rFonts w:ascii="Arial" w:cs="Arial" w:eastAsia="Arial" w:hAnsi="Arial"/>
          <w:color w:val="1a1a1a"/>
          <w:sz w:val="22"/>
          <w:szCs w:val="22"/>
        </w:rPr>
        <w:t xml:space="preserve">Each Identity Portfolio page needs to show which sectors it activates, and what those sectors mean in the context of that specific location. This is not a generic tag — it is a specific statement.</w:t>
      </w:r>
    </w:p>
    <w:p>
      <w:pPr>
        <w:spacing w:after="0" w:before="80"/>
      </w:pPr>
      <w:r>
        <w:t xml:space="preserve"/>
      </w:r>
    </w:p>
    <w:p>
      <w:pPr>
        <w:spacing w:after="120" w:before="80"/>
      </w:pPr>
      <w:r>
        <w:rPr>
          <w:rFonts w:ascii="Arial" w:cs="Arial" w:eastAsia="Arial" w:hAnsi="Arial"/>
          <w:color w:val="1a1a1a"/>
          <w:sz w:val="22"/>
          <w:szCs w:val="22"/>
        </w:rPr>
        <w:t xml:space="preserve">Example for the Nashville Portfolio page:</w:t>
      </w:r>
    </w:p>
    <w:p>
      <w:pPr>
        <w:spacing w:after="0" w:before="80"/>
      </w:pPr>
      <w:r>
        <w:t xml:space="preserve"/>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Place — The Cumberland River corridor, Jefferson Street, the migration routes that brought country and gospel into the same geography</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Practice — Music, worship, cuisine. The living traditions that grew directly out of that geography</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People — The artists and elders who carry Nashville's cultural origin forward. Asher HaVon. The Jefferson Street community. Pastor Ross</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Passage — The experience design and operator work this Portfolio enables for travel partners and hospitality clients</w:t>
      </w:r>
    </w:p>
    <w:p>
      <w:pPr>
        <w:spacing w:after="0" w:before="120"/>
      </w:pPr>
      <w:r>
        <w:t xml:space="preserve"/>
      </w:r>
    </w:p>
    <w:p>
      <w:pPr>
        <w:spacing w:after="120" w:before="80"/>
      </w:pPr>
      <w:r>
        <w:rPr>
          <w:rFonts w:ascii="Arial" w:cs="Arial" w:eastAsia="Arial" w:hAnsi="Arial"/>
          <w:color w:val="1a1a1a"/>
          <w:sz w:val="22"/>
          <w:szCs w:val="22"/>
        </w:rPr>
        <w:t xml:space="preserve">Ask the founder for the specific sector descriptions for each location before writing them — do not invent them.</w:t>
      </w:r>
    </w:p>
    <w:p>
      <w:pPr>
        <w:pBdr>
          <w:bottom w:val="single" w:color="e8e4dd" w:sz="4"/>
        </w:pBdr>
        <w:spacing w:after="240" w:before="240"/>
      </w:pPr>
      <w:r>
        <w:t xml:space="preserve"/>
      </w:r>
    </w:p>
    <w:p>
      <w:pPr>
        <w:spacing w:after="120" w:before="480"/>
      </w:pPr>
      <w:r>
        <w:rPr>
          <w:rFonts w:ascii="Garamond" w:cs="Garamond" w:eastAsia="Garamond" w:hAnsi="Garamond"/>
          <w:b w:val="false"/>
          <w:bCs w:val="false"/>
          <w:color w:val="2a4a5e"/>
          <w:sz w:val="32"/>
          <w:szCs w:val="32"/>
        </w:rPr>
        <w:t xml:space="preserve">7. What Not To Change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map tile layer, projection, or base styling</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Leaflet.js version or map library</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"In The Field" placements section (I Love The Burg, The Silver Bulletin) — static, leave as is</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"From Higher Ground" tagline placement in footers and hero</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"Culture follows water" positioning language in the homepage hero, Founder's Portfolios page, 225 Framework page, and Active Application section</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licensing safeguard language — imagery is gated behind completion of a place's Reckoning of Place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Any copy that has been approved and placed in the current file</w:t>
      </w:r>
    </w:p>
    <w:p>
      <w:pPr>
        <w:pBdr>
          <w:bottom w:val="single" w:color="e8e4dd" w:sz="4"/>
        </w:pBdr>
        <w:spacing w:after="240" w:before="240"/>
      </w:pPr>
      <w:r>
        <w:t xml:space="preserve"/>
      </w:r>
    </w:p>
    <w:p>
      <w:pPr>
        <w:spacing w:after="120" w:before="480"/>
      </w:pPr>
      <w:r>
        <w:rPr>
          <w:rFonts w:ascii="Garamond" w:cs="Garamond" w:eastAsia="Garamond" w:hAnsi="Garamond"/>
          <w:b w:val="false"/>
          <w:bCs w:val="false"/>
          <w:color w:val="2a4a5e"/>
          <w:sz w:val="32"/>
          <w:szCs w:val="32"/>
        </w:rPr>
        <w:t xml:space="preserve">8. Voice and Tone</w:t>
      </w:r>
    </w:p>
    <w:p>
      <w:pPr>
        <w:spacing w:after="120" w:before="80"/>
      </w:pPr>
      <w:r>
        <w:rPr>
          <w:rFonts w:ascii="Arial" w:cs="Arial" w:eastAsia="Arial" w:hAnsi="Arial"/>
          <w:color w:val="1a1a1a"/>
          <w:sz w:val="22"/>
          <w:szCs w:val="22"/>
        </w:rPr>
        <w:t xml:space="preserve">The site speaks to communities, not about them. Every line of copy should read as if it is being said to the people of the places being documented — not to an outside audience consuming those places.</w:t>
      </w:r>
    </w:p>
    <w:p>
      <w:pPr>
        <w:spacing w:after="0" w:before="80"/>
      </w:pPr>
      <w:r>
        <w:t xml:space="preserve"/>
      </w:r>
    </w:p>
    <w:p>
      <w:pPr>
        <w:spacing w:after="120" w:before="80"/>
      </w:pPr>
      <w:r>
        <w:rPr>
          <w:rFonts w:ascii="Arial" w:cs="Arial" w:eastAsia="Arial" w:hAnsi="Arial"/>
          <w:color w:val="1a1a1a"/>
          <w:sz w:val="22"/>
          <w:szCs w:val="22"/>
        </w:rPr>
        <w:t xml:space="preserve">Preferred language: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Precise and elevated, not academic</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Short closing beats — sentences that land and stop</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No social science jargon</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No lifestyle marketing language in the research sections</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Lifestyle marketing language is appropriate in the Passage / The Work sections only</w:t>
      </w:r>
    </w:p>
    <w:p>
      <w:pPr>
        <w:spacing w:after="0" w:before="120"/>
      </w:pPr>
      <w:r>
        <w:t xml:space="preserve"/>
      </w:r>
    </w:p>
    <w:p>
      <w:pPr>
        <w:spacing w:after="120" w:before="80"/>
      </w:pPr>
      <w:r>
        <w:rPr>
          <w:rFonts w:ascii="Arial" w:cs="Arial" w:eastAsia="Arial" w:hAnsi="Arial"/>
          <w:color w:val="1a1a1a"/>
          <w:sz w:val="22"/>
          <w:szCs w:val="22"/>
        </w:rPr>
        <w:t xml:space="preserve">Avoid:</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"Authentic" as a standalone adjective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"Storytelling" as a noun without a subject</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"Immersive" without specificity</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Any framing that positions the practice as discovering communities that already know themselves</w:t>
      </w:r>
    </w:p>
    <w:p>
      <w:pPr>
        <w:pBdr>
          <w:bottom w:val="single" w:color="e8e4dd" w:sz="4"/>
        </w:pBdr>
        <w:spacing w:after="240" w:before="240"/>
      </w:pPr>
      <w:r>
        <w:t xml:space="preserve"/>
      </w:r>
    </w:p>
    <w:p>
      <w:pPr>
        <w:spacing w:after="120" w:before="480"/>
      </w:pPr>
      <w:r>
        <w:rPr>
          <w:rFonts w:ascii="Garamond" w:cs="Garamond" w:eastAsia="Garamond" w:hAnsi="Garamond"/>
          <w:b w:val="false"/>
          <w:bCs w:val="false"/>
          <w:color w:val="2a4a5e"/>
          <w:sz w:val="32"/>
          <w:szCs w:val="32"/>
        </w:rPr>
        <w:t xml:space="preserve">9. Current File Architecture</w:t>
      </w:r>
    </w:p>
    <w:p>
      <w:pPr>
        <w:spacing w:after="120" w:before="80"/>
      </w:pPr>
      <w:r>
        <w:rPr>
          <w:rFonts w:ascii="Arial" w:cs="Arial" w:eastAsia="Arial" w:hAnsi="Arial"/>
          <w:color w:val="1a1a1a"/>
          <w:sz w:val="22"/>
          <w:szCs w:val="22"/>
        </w:rPr>
        <w:t xml:space="preserve">The file is organized into sections in this approximate order. Do not reorder existing sections — add new ones in logical sequence:</w:t>
      </w:r>
    </w:p>
    <w:p>
      <w:pPr>
        <w:spacing w:after="0" w:before="80"/>
      </w:pPr>
      <w:r>
        <w:t xml:space="preserve"/>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CSS variables and global styles</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Navigation (with hover dropdown for The Work)</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Homepage hero with tagline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"Culture follows water" secondary positioning line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What We Do / How It Works section</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Archive section with Leaflet map</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About section</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225 Framework section</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In The Field placements</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Contact section</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Footer with "From Higher Ground" tagline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Leaflet.js map initialization script</w:t>
      </w:r>
    </w:p>
    <w:p>
      <w:pPr>
        <w:pBdr>
          <w:bottom w:val="single" w:color="e8e4dd" w:sz="4"/>
        </w:pBdr>
        <w:spacing w:after="240" w:before="240"/>
      </w:pPr>
      <w:r>
        <w:t xml:space="preserve"/>
      </w:r>
    </w:p>
    <w:p>
      <w:pPr>
        <w:spacing w:after="120" w:before="480"/>
      </w:pPr>
      <w:r>
        <w:rPr>
          <w:rFonts w:ascii="Garamond" w:cs="Garamond" w:eastAsia="Garamond" w:hAnsi="Garamond"/>
          <w:b w:val="false"/>
          <w:bCs w:val="false"/>
          <w:color w:val="2a4a5e"/>
          <w:sz w:val="32"/>
          <w:szCs w:val="32"/>
        </w:rPr>
        <w:t xml:space="preserve">10. Open Questions — Ask Before Building</w:t>
      </w:r>
    </w:p>
    <w:p>
      <w:pPr>
        <w:spacing w:after="120" w:before="80"/>
      </w:pPr>
      <w:r>
        <w:rPr>
          <w:rFonts w:ascii="Arial" w:cs="Arial" w:eastAsia="Arial" w:hAnsi="Arial"/>
          <w:color w:val="1a1a1a"/>
          <w:sz w:val="22"/>
          <w:szCs w:val="22"/>
        </w:rPr>
        <w:t xml:space="preserve">These have not been decided yet. Do not make assumptions — surface them to the founder before building:</w:t>
      </w:r>
    </w:p>
    <w:p>
      <w:pPr>
        <w:spacing w:after="0" w:before="80"/>
      </w:pPr>
      <w:r>
        <w:t xml:space="preserve"/>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exact copy for each sector description on each Portfolio page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Whether the St. Pete Worship Collective and Triedstone project get their own Portfolio pages or live inside existing Portfolios as Records</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Whether the Asher HaVon and Aretha Franklin projects get Portfolio pages or live under a People section within Nashville</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The full content of The Work / Passage section pages</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Whether "Rooted" becomes the new primary tagline, or whether "From Higher Ground" remains primary and "Rooted" operates as internal philosophy</w:t>
      </w:r>
    </w:p>
    <w:p>
      <w:pPr>
        <w:spacing w:after="60" w:before="60"/>
        <w:ind w:left="360"/>
      </w:pPr>
      <w:r>
        <w:rPr>
          <w:rFonts w:ascii="Arial" w:cs="Arial" w:eastAsia="Arial" w:hAnsi="Arial"/>
          <w:color w:val="c9956a"/>
          <w:sz w:val="22"/>
          <w:szCs w:val="22"/>
        </w:rPr>
        <w:t xml:space="preserve">– </w:t>
      </w:r>
      <w:r>
        <w:rPr>
          <w:rFonts w:ascii="Arial" w:cs="Arial" w:eastAsia="Arial" w:hAnsi="Arial"/>
          <w:color w:val="1a1a1a"/>
          <w:sz w:val="22"/>
          <w:szCs w:val="22"/>
        </w:rPr>
        <w:t xml:space="preserve">Belize as a future Portfolio — not yet confirmed, do not add to the map</w:t>
      </w:r>
    </w:p>
    <w:p>
      <w:pPr>
        <w:pBdr>
          <w:bottom w:val="single" w:color="e8e4dd" w:sz="4"/>
        </w:pBdr>
        <w:spacing w:after="240" w:before="240"/>
      </w:pPr>
      <w:r>
        <w:t xml:space="preserve"/>
      </w:r>
    </w:p>
    <w:p>
      <w:pPr>
        <w:spacing w:after="0" w:before="200"/>
      </w:pPr>
      <w:r>
        <w:t xml:space="preserve"/>
      </w:r>
    </w:p>
    <w:p>
      <w:pPr>
        <w:spacing w:after="120" w:before="80"/>
      </w:pPr>
      <w:r>
        <w:rPr>
          <w:rFonts w:ascii="Garamond" w:cs="Garamond" w:eastAsia="Garamond" w:hAnsi="Garamond"/>
          <w:i/>
          <w:iCs/>
          <w:color w:val="2a4a5e"/>
          <w:sz w:val="24"/>
          <w:szCs w:val="24"/>
        </w:rPr>
        <w:t xml:space="preserve">The 225 Framework document is the authoritative reference for all methodology language. When in doubt about a term or concept, check it first.</w:t>
      </w:r>
    </w:p>
    <w:p>
      <w:pPr>
        <w:spacing w:after="0" w:before="80"/>
      </w:pPr>
      <w:r>
        <w:t xml:space="preserve"/>
      </w:r>
    </w:p>
    <w:p>
      <w:pPr>
        <w:spacing w:after="120" w:before="80"/>
      </w:pPr>
      <w:r>
        <w:rPr>
          <w:rFonts w:ascii="Garamond" w:cs="Garamond" w:eastAsia="Garamond" w:hAnsi="Garamond"/>
          <w:i/>
          <w:iCs/>
          <w:color w:val="c9956a"/>
          <w:sz w:val="24"/>
          <w:szCs w:val="24"/>
        </w:rPr>
        <w:t xml:space="preserve">"And I will restore to you the years that the locust hath eaten." — Joel 2:25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2026-07-20T04:49:02.370Z</dcterms:created>
  <dcterms:modified xsi:type="dcterms:W3CDTF">2026-07-20T04:49:02.384Z</dcterms:modified>
</cp:coreProperties>
</file>

<file path=docProps/custom.xml><?xml version="1.0" encoding="utf-8"?>
<Properties xmlns="http://schemas.openxmlformats.org/officeDocument/2006/custom-properties" xmlns:vt="http://schemas.openxmlformats.org/officeDocument/2006/docPropsVTypes"/>
</file>