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Acme Corp Cloud Architecture and Retrieval-Augmented Generation (RAG) Specifications</w:t>
      </w:r>
    </w:p>
    <w:p>
      <w:r>
        <w:t>Overview:</w:t>
      </w:r>
    </w:p>
    <w:p>
      <w:r>
        <w:t>This document defines the production standards for building AI and RAG microservices.</w:t>
      </w:r>
    </w:p>
    <w:p>
      <w:r>
        <w:t>1. Vector Database Architecture:</w:t>
      </w:r>
    </w:p>
    <w:p>
      <w:r>
        <w:t>ChromaDB is designated as the primary local vector database for prototyping and developer testing.</w:t>
      </w:r>
    </w:p>
    <w:p>
      <w:r>
        <w:t>For production deployments exceeding 1 million embeddings, Pinecone or Qdrant cluster is utilized.</w:t>
      </w:r>
    </w:p>
    <w:p>
      <w:r>
        <w:t>2. Chunking and Tokenization Guidelines:</w:t>
      </w:r>
    </w:p>
    <w:p>
      <w:r>
        <w:t>Documents should be split using RecursiveCharacterTextSplitter with a chunk size of 1000 characters</w:t>
      </w:r>
    </w:p>
    <w:p>
      <w:r>
        <w:t>and an overlap of 200 characters to prevent loss of semantic context across boundaries.</w:t>
      </w:r>
    </w:p>
    <w:p>
      <w:r>
        <w:t>3. Embedding Model Standards:</w:t>
      </w:r>
    </w:p>
    <w:p>
      <w:r>
        <w:t>OpenAI text-embedding-3-small is recommended for multi-tenant high-throughput applications.</w:t>
      </w:r>
    </w:p>
    <w:p>
      <w:r>
        <w:t>For local offline privacy-sensitive workloads, sentence-transformers/all-MiniLM-L6-v2 is required.</w:t>
      </w:r>
    </w:p>
    <w:p>
      <w:r>
        <w:t>4. API and Microservice Tier:</w:t>
      </w:r>
    </w:p>
    <w:p>
      <w:r>
        <w:t>All LLM pipelines must be exposed via FastAPI endpoints with Pydantic schema validation.</w:t>
      </w:r>
    </w:p>
    <w:p>
      <w:r>
        <w:t>Uvicorn server should run with at least 4 worker processes behind an Nginx reverse proxy.</w:t>
      </w:r>
    </w:p>
  </w:body>
</w:document>
</file>