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CloudScale AI Platform - Customer FAQ and Troubleshooting Guide</w:t>
      </w:r>
    </w:p>
    <w:p>
      <w:r>
        <w:t>Product Version: 4.5 Enterprise Edition</w:t>
      </w:r>
    </w:p>
    <w:p>
      <w:r>
        <w:t>Section 1: Subscription Tiers and Pricing</w:t>
      </w:r>
    </w:p>
    <w:p>
      <w:r>
        <w:t>Starter Tier: 9/month includes up to 5 team members, 10,000 monthly API queries, and 5 GB vector storage.</w:t>
      </w:r>
    </w:p>
    <w:p>
      <w:r>
        <w:t>Professional Tier: 99/month includes 25 team members, 100,000 API queries, 50 GB storage, and priority email support with a 4-hour SLA.</w:t>
      </w:r>
    </w:p>
    <w:p>
      <w:r>
        <w:t>Enterprise Tier: Custom pricing starting at ,200/month. Unlimited API calls, dedicated multi-tenant ChromaDB or Pinecone cluster, 99.99% uptime guarantee, and a dedicated Technical Account Manager (TAM).</w:t>
      </w:r>
    </w:p>
    <w:p>
      <w:r>
        <w:t>Section 2: API Rate Limits and Quotas</w:t>
      </w:r>
    </w:p>
    <w:p>
      <w:r>
        <w:t>Starter accounts are rate limited to 60 requests per minute (RPM).</w:t>
      </w:r>
    </w:p>
    <w:p>
      <w:r>
        <w:t>Professional accounts have a burst limit of 600 RPM.</w:t>
      </w:r>
    </w:p>
    <w:p>
      <w:r>
        <w:t>When a rate limit is exceeded, the server returns an HTTP 429 Too Many Requests status code with a Retry-After header.</w:t>
      </w:r>
    </w:p>
    <w:p>
      <w:r>
        <w:t>Section 3: Common Error Codes and Resolution</w:t>
      </w:r>
    </w:p>
    <w:p>
      <w:r>
        <w:t>HTTP 401 Unauthorized: The API Bearer token is missing, expired, or revoked. Generate a new key in Developer Settings.</w:t>
      </w:r>
    </w:p>
    <w:p>
      <w:r>
        <w:t>HTTP 403 Forbidden: The token does not have permission for the requested workspace or organization.</w:t>
      </w:r>
    </w:p>
    <w:p>
      <w:r>
        <w:t>HTTP 422 Unprocessable Entity: Request payload schema validation failed. Ensure JSON adheres to Pydantic models.</w:t>
      </w:r>
    </w:p>
    <w:p>
      <w:r>
        <w:t>HTTP 504 Gateway Timeout: Document vectorization or LLM generation exceeded the 60-second execution window. Reduce document chunk size or query token limit.</w:t>
      </w:r>
    </w:p>
    <w:p>
      <w:r>
        <w:t>Section 4: Data Retention and Refund Policy</w:t>
      </w:r>
    </w:p>
    <w:p>
      <w:r>
        <w:t>Customers may request a full refund within 14 days of account activation if usage has not exceeded 1,000 API calls.</w:t>
      </w:r>
    </w:p>
    <w:p>
      <w:r>
        <w:t>All customer data and uploaded documents can be permanently deleted upon request via the GDPR Right-to-Erasure dashboard.</w:t>
      </w:r>
    </w:p>
  </w:body>
</w:document>
</file>