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8" w:lineRule="auto"/>
      </w:pPr>
      <w:r>
        <w:rPr>
          <w:rFonts w:ascii="Microsoft YaHei" w:hAnsi="Microsoft YaHei" w:eastAsia="Microsoft YaHei"/>
          <w:b/>
          <w:i w:val="0"/>
          <w:color w:val="C58A22"/>
          <w:sz w:val="20"/>
        </w:rPr>
        <w:t>阶段研究汇报</w:t>
      </w:r>
    </w:p>
    <w:p>
      <w:pPr>
        <w:spacing w:before="0" w:after="100" w:line="278" w:lineRule="auto"/>
      </w:pPr>
      <w:r>
        <w:rPr>
          <w:rFonts w:ascii="Microsoft YaHei" w:hAnsi="Microsoft YaHei" w:eastAsia="Microsoft YaHei"/>
          <w:b/>
          <w:i w:val="0"/>
          <w:color w:val="17365D"/>
          <w:sz w:val="50"/>
        </w:rPr>
        <w:t>今晚的工作与核心 finding</w:t>
      </w:r>
    </w:p>
    <w:p>
      <w:pPr>
        <w:spacing w:before="0" w:after="260" w:line="278" w:lineRule="auto"/>
      </w:pPr>
      <w:r>
        <w:rPr>
          <w:rFonts w:ascii="Microsoft YaHei" w:hAnsi="Microsoft YaHei" w:eastAsia="Microsoft YaHei"/>
          <w:b w:val="0"/>
          <w:i w:val="0"/>
          <w:color w:val="2E75B6"/>
          <w:sz w:val="26"/>
        </w:rPr>
        <w:t>从支撑关系排查，到材质恒常性三步实验</w:t>
      </w:r>
    </w:p>
    <w:p>
      <w:pPr>
        <w:spacing w:before="0" w:after="320" w:line="278" w:lineRule="auto"/>
      </w:pPr>
      <w:r>
        <w:rPr>
          <w:rFonts w:ascii="Microsoft YaHei" w:hAnsi="Microsoft YaHei" w:eastAsia="Microsoft YaHei"/>
          <w:b w:val="0"/>
          <w:i w:val="0"/>
          <w:color w:val="66727C"/>
          <w:sz w:val="18"/>
        </w:rPr>
        <w:t>2026年7月18日晚 - 7月19日凌晨  |  内部阶段总结</w:t>
      </w:r>
    </w:p>
    <w:p>
      <w:pPr>
        <w:spacing w:before="60" w:after="160" w:line="276" w:lineRule="auto"/>
        <w:ind w:left="102" w:right="45"/>
        <w:shd w:fill="EAF2F8"/>
        <w:pBdr>
          <w:left w:val="single" w:sz="18" w:color="2E75B6" w:space="7"/>
        </w:pBdr>
      </w:pPr>
      <w:r>
        <w:rPr>
          <w:rFonts w:ascii="Microsoft YaHei" w:hAnsi="Microsoft YaHei" w:eastAsia="Microsoft YaHei"/>
          <w:b/>
          <w:i w:val="0"/>
          <w:color w:val="2E75B6"/>
          <w:sz w:val="22"/>
        </w:rPr>
        <w:t>一句话结论</w:t>
      </w:r>
      <w:r>
        <w:br/>
      </w:r>
      <w:r>
        <w:rPr>
          <w:rFonts w:ascii="Microsoft YaHei" w:hAnsi="Microsoft YaHei" w:eastAsia="Microsoft YaHei"/>
          <w:b w:val="0"/>
          <w:i w:val="0"/>
          <w:color w:val="263238"/>
          <w:sz w:val="20"/>
        </w:rPr>
        <w:t>我们找到了一个真实且可重复的问题：同一块材质只是换了灯光，VLM就经常改变答案。但官方albedo模型虽然能把图像变得更稳定，冻结VLM却不会直接利用它。因此“零训练直接加提示”这条路线暂停。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2E75B6"/>
          <w:sz w:val="25"/>
        </w:rPr>
        <w:t>今晚最重要的三个数字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213"/>
        <w:gridCol w:w="3213"/>
        <w:gridCol w:w="3212"/>
      </w:tblGrid>
      <w:tr>
        <w:trPr>
          <w:tblHeader w:val="true"/>
          <w:cantSplit/>
        </w:trPr>
        <w:tc>
          <w:tcPr>
            <w:tcW w:type="dxa" w:w="3213"/>
            <w:shd w:fill="2F7F7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跨光照翻转</w:t>
            </w:r>
          </w:p>
        </w:tc>
        <w:tc>
          <w:tcPr>
            <w:tcW w:type="dxa" w:w="3213"/>
            <w:shd w:fill="2F7F7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两模型共同翻转</w:t>
            </w:r>
          </w:p>
        </w:tc>
        <w:tc>
          <w:tcPr>
            <w:tcW w:type="dxa" w:w="3212"/>
            <w:shd w:fill="2F7F7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Albedo像素波动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20"/>
              </w:rPr>
              <w:t>Qwen 57.58%</w:t>
              <w:br/>
              <w:t>InternVL 66.67%</w:t>
            </w:r>
          </w:p>
        </w:tc>
        <w:tc>
          <w:tcPr>
            <w:tcW w:type="dxa" w:w="32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20"/>
              </w:rPr>
              <w:t>34/66 个区域</w:t>
              <w:br/>
              <w:t>51.52%</w:t>
            </w:r>
          </w:p>
        </w:tc>
        <w:tc>
          <w:tcPr>
            <w:tcW w:type="dxa" w:w="3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20"/>
              </w:rPr>
              <w:t>0.199 -&gt; 0.083</w:t>
              <w:br/>
              <w:t>65/66区域改善</w:t>
            </w:r>
          </w:p>
        </w:tc>
      </w:tr>
    </w:tbl>
    <w:p>
      <w:pPr>
        <w:spacing w:before="0" w:after="40" w:line="278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21"/>
        </w:rPr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2E75B6"/>
          <w:sz w:val="25"/>
        </w:rPr>
        <w:t>这个结果意味着什么</w:t>
      </w:r>
    </w:p>
    <w:p>
      <w:pPr>
        <w:pStyle w:val="ListBullet"/>
        <w:spacing w:after="80" w:line="269" w:lineRule="auto"/>
        <w:ind w:left="369" w:hanging="170"/>
      </w:pPr>
      <w:r>
        <w:rPr>
          <w:rFonts w:ascii="Microsoft YaHei" w:hAnsi="Microsoft YaHei" w:eastAsia="Microsoft YaHei"/>
          <w:b w:val="0"/>
          <w:i w:val="0"/>
          <w:color w:val="263238"/>
          <w:sz w:val="20"/>
        </w:rPr>
        <w:t>问题是存在的，而且不是某一个模型的偶然现象。</w:t>
      </w:r>
    </w:p>
    <w:p>
      <w:pPr>
        <w:pStyle w:val="ListBullet"/>
        <w:spacing w:after="80" w:line="269" w:lineRule="auto"/>
        <w:ind w:left="369" w:hanging="170"/>
      </w:pPr>
      <w:r>
        <w:rPr>
          <w:rFonts w:ascii="Microsoft YaHei" w:hAnsi="Microsoft YaHei" w:eastAsia="Microsoft YaHei"/>
          <w:b w:val="0"/>
          <w:i w:val="0"/>
          <w:color w:val="263238"/>
          <w:sz w:val="20"/>
        </w:rPr>
        <w:t>物理证据本身可以更稳定，但“怎么让VLM读懂”是真正的难点。</w:t>
      </w:r>
    </w:p>
    <w:p>
      <w:pPr>
        <w:pStyle w:val="ListBullet"/>
        <w:spacing w:after="80" w:line="269" w:lineRule="auto"/>
        <w:ind w:left="369" w:hanging="170"/>
      </w:pPr>
      <w:r>
        <w:rPr>
          <w:rFonts w:ascii="Microsoft YaHei" w:hAnsi="Microsoft YaHei" w:eastAsia="Microsoft YaHei"/>
          <w:b w:val="0"/>
          <w:i w:val="0"/>
          <w:color w:val="263238"/>
          <w:sz w:val="20"/>
        </w:rPr>
        <w:t>今晚没有得到一个可以直接写论文的方法，但成功定位了问题和无效接口，避免继续盲目投入。</w:t>
      </w:r>
    </w:p>
    <w:p>
      <w:r>
        <w:br w:type="page"/>
      </w:r>
    </w:p>
    <w:p>
      <w:pPr>
        <w:pStyle w:val="Heading1"/>
        <w:keepNext/>
        <w:spacing w:before="40" w:after="140"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1. 今晚实际做了哪些工作</w:t>
      </w:r>
    </w:p>
    <w:p>
      <w:pPr>
        <w:spacing w:before="0" w:after="120" w:line="278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21"/>
        </w:rPr>
        <w:t>整个过程不是直接跑一次模型，而是按“数据是否可用 - 问题是否存在 - 方法能否修复”逐层排查。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72"/>
        <w:gridCol w:w="4819"/>
        <w:gridCol w:w="3047"/>
      </w:tblGrid>
      <w:tr>
        <w:trPr>
          <w:tblHeader w:val="true"/>
          <w:cantSplit/>
        </w:trPr>
        <w:tc>
          <w:tcPr>
            <w:tcW w:type="dxa" w:w="1772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4819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实际完成的工作</w:t>
            </w:r>
          </w:p>
        </w:tc>
        <w:tc>
          <w:tcPr>
            <w:tcW w:type="dxa" w:w="3047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得到的判断</w:t>
            </w:r>
          </w:p>
        </w:tc>
      </w:tr>
      <w:tr>
        <w:trPr>
          <w:cantSplit/>
        </w:trPr>
        <w:tc>
          <w:tcPr>
            <w:tcW w:type="dxa" w:w="1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服务器与留痕</w:t>
            </w:r>
          </w:p>
        </w:tc>
        <w:tc>
          <w:tcPr>
            <w:tcW w:type="dxa" w:w="48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完成SSH密钥、校园网/GitHub连通、个人工作区、GPU 3使用与本地-远程同步。</w:t>
            </w:r>
          </w:p>
        </w:tc>
        <w:tc>
          <w:tcPr>
            <w:tcW w:type="dxa" w:w="3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后续实验可复现，不触碰服务器其他人目录。</w:t>
            </w:r>
          </w:p>
        </w:tc>
      </w:tr>
      <w:tr>
        <w:trPr>
          <w:cantSplit/>
        </w:trPr>
        <w:tc>
          <w:tcPr>
            <w:tcW w:type="dxa" w:w="1772"/>
            <w:shd w:fill="F3F5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Support关系pilot</w:t>
            </w:r>
          </w:p>
        </w:tc>
        <w:tc>
          <w:tcPr>
            <w:tcW w:type="dxa" w:w="4819"/>
            <w:shd w:fill="F3F5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下载并校验NYUv2；从1,449帧中构造167个候选，人工检查14个。</w:t>
            </w:r>
          </w:p>
        </w:tc>
        <w:tc>
          <w:tcPr>
            <w:tcW w:type="dxa" w:w="3047"/>
            <w:shd w:fill="F3F5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仅2个是支撑，11个不是，1个不确定；数据不适合规模化做真值。</w:t>
            </w:r>
          </w:p>
        </w:tc>
      </w:tr>
      <w:tr>
        <w:trPr>
          <w:cantSplit/>
        </w:trPr>
        <w:tc>
          <w:tcPr>
            <w:tcW w:type="dxa" w:w="1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方向查重与转向</w:t>
            </w:r>
          </w:p>
        </w:tc>
        <w:tc>
          <w:tcPr>
            <w:tcW w:type="dxa" w:w="48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核验InstaFormer等相关工作，排除遮挡文本提示的高重合路线；审计材质恒常性数据。</w:t>
            </w:r>
          </w:p>
        </w:tc>
        <w:tc>
          <w:tcPr>
            <w:tcW w:type="dxa" w:w="3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选择“光照变化下的VLM材质稳定性”作为低成本验证项。</w:t>
            </w:r>
          </w:p>
        </w:tc>
      </w:tr>
      <w:tr>
        <w:trPr>
          <w:cantSplit/>
        </w:trPr>
        <w:tc>
          <w:tcPr>
            <w:tcW w:type="dxa" w:w="1772"/>
            <w:shd w:fill="F3F5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三步材质实验</w:t>
            </w:r>
          </w:p>
        </w:tc>
        <w:tc>
          <w:tcPr>
            <w:tcW w:type="dxa" w:w="4819"/>
            <w:shd w:fill="F3F5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从23区域pilot扩到66区域/330样本，复核两个VLM，再运行Marigold IID和三种干预接口。</w:t>
            </w:r>
          </w:p>
        </w:tc>
        <w:tc>
          <w:tcPr>
            <w:tcW w:type="dxa" w:w="3047"/>
            <w:shd w:fill="F3F5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确认RGB-only故障，但零训练albedo干预未通过。</w:t>
            </w:r>
          </w:p>
        </w:tc>
      </w:tr>
    </w:tbl>
    <w:p>
      <w:pPr>
        <w:spacing w:before="0" w:after="40" w:line="278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21"/>
        </w:rPr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2E75B6"/>
          <w:sz w:val="25"/>
        </w:rPr>
        <w:t>为什么Support方向要停</w:t>
      </w:r>
    </w:p>
    <w:p>
      <w:pPr>
        <w:spacing w:before="0" w:after="120" w:line="278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21"/>
        </w:rPr>
        <w:t>深度和实例框可以帮我们找到“上下靠得很近”的物体，但这不等于它们真的直接接触和支撑。隔板、柜子、大物体mask等都会产生高分误报。继续人工标注成本很高，而正例又很少，所以及时停损比继续堆数据更合理。</w:t>
      </w:r>
    </w:p>
    <w:p>
      <w:pPr>
        <w:spacing w:before="60" w:after="160" w:line="276" w:lineRule="auto"/>
        <w:ind w:left="102" w:right="45"/>
        <w:shd w:fill="FFF5DD"/>
        <w:pBdr>
          <w:left w:val="single" w:sz="18" w:color="C58A22" w:space="7"/>
        </w:pBdr>
      </w:pPr>
      <w:r>
        <w:rPr>
          <w:rFonts w:ascii="Microsoft YaHei" w:hAnsi="Microsoft YaHei" w:eastAsia="Microsoft YaHei"/>
          <w:b/>
          <w:i w:val="0"/>
          <w:color w:val="C58A22"/>
          <w:sz w:val="22"/>
        </w:rPr>
        <w:t>这部分不是白做</w:t>
      </w:r>
      <w:r>
        <w:br/>
      </w:r>
      <w:r>
        <w:rPr>
          <w:rFonts w:ascii="Microsoft YaHei" w:hAnsi="Microsoft YaHei" w:eastAsia="Microsoft YaHei"/>
          <w:b w:val="0"/>
          <w:i w:val="0"/>
          <w:color w:val="263238"/>
          <w:sz w:val="20"/>
        </w:rPr>
        <w:t>它让我们在只人工审核14个样本时就发现数据根本限制，避免了将数百个几何候选误当成真实支撑关系。</w:t>
      </w:r>
    </w:p>
    <w:p>
      <w:r>
        <w:br w:type="page"/>
      </w:r>
    </w:p>
    <w:p>
      <w:pPr>
        <w:pStyle w:val="Heading1"/>
        <w:keepNext/>
        <w:spacing w:before="40" w:after="140"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2. 材质恒常性：问题是真的</w:t>
      </w:r>
    </w:p>
    <w:p>
      <w:pPr>
        <w:spacing w:before="0" w:after="120" w:line="278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21"/>
        </w:rPr>
        <w:t>材质恒常性可以简单理解为：同一个物体换了灯光，我们仍应判断它是同一种材质。实验中的物体、位置和材质都不变，只改变真实灯光。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55"/>
        <w:gridCol w:w="1913"/>
        <w:gridCol w:w="2976"/>
        <w:gridCol w:w="2694"/>
      </w:tblGrid>
      <w:tr>
        <w:trPr>
          <w:tblHeader w:val="true"/>
          <w:cantSplit/>
        </w:trPr>
        <w:tc>
          <w:tcPr>
            <w:tcW w:type="dxa" w:w="2055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实验步骤</w:t>
            </w:r>
          </w:p>
        </w:tc>
        <w:tc>
          <w:tcPr>
            <w:tcW w:type="dxa" w:w="1913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数据规模</w:t>
            </w:r>
          </w:p>
        </w:tc>
        <w:tc>
          <w:tcPr>
            <w:tcW w:type="dxa" w:w="2976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type="dxa" w:w="2694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判断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第一步小pilot</w:t>
            </w:r>
          </w:p>
        </w:tc>
        <w:tc>
          <w:tcPr>
            <w:tcW w:type="dxa" w:w="19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10场景</w:t>
              <w:br/>
              <w:t>23区域</w:t>
              <w:br/>
              <w:t>115张图</w:t>
            </w:r>
          </w:p>
        </w:tc>
        <w:tc>
          <w:tcPr>
            <w:tcW w:type="dxa" w:w="2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Qwen翻转 47.83%</w:t>
            </w:r>
          </w:p>
        </w:tc>
        <w:tc>
          <w:tcPr>
            <w:tcW w:type="dxa" w:w="26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问题初步存在</w:t>
            </w:r>
          </w:p>
        </w:tc>
      </w:tr>
      <w:tr>
        <w:trPr>
          <w:cantSplit/>
        </w:trPr>
        <w:tc>
          <w:tcPr>
            <w:tcW w:type="dxa" w:w="2055"/>
            <w:shd w:fill="F3F5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第二步扩展复核</w:t>
            </w:r>
          </w:p>
        </w:tc>
        <w:tc>
          <w:tcPr>
            <w:tcW w:type="dxa" w:w="1913"/>
            <w:shd w:fill="F3F5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30场景</w:t>
              <w:br/>
              <w:t>66区域</w:t>
              <w:br/>
              <w:t>330张图</w:t>
            </w:r>
          </w:p>
        </w:tc>
        <w:tc>
          <w:tcPr>
            <w:tcW w:type="dxa" w:w="2976"/>
            <w:shd w:fill="F3F5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Qwen 57.58%</w:t>
              <w:br/>
              <w:t>InternVL 66.67%</w:t>
            </w:r>
          </w:p>
        </w:tc>
        <w:tc>
          <w:tcPr>
            <w:tcW w:type="dxa" w:w="2694"/>
            <w:shd w:fill="F3F5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两个模型都存在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两模型共同失败</w:t>
            </w:r>
          </w:p>
        </w:tc>
        <w:tc>
          <w:tcPr>
            <w:tcW w:type="dxa" w:w="19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同一批66区域</w:t>
            </w:r>
          </w:p>
        </w:tc>
        <w:tc>
          <w:tcPr>
            <w:tcW w:type="dxa" w:w="2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34/66同时翻转</w:t>
            </w:r>
          </w:p>
        </w:tc>
        <w:tc>
          <w:tcPr>
            <w:tcW w:type="dxa" w:w="26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不是Qwen的偶然问题</w:t>
            </w:r>
          </w:p>
        </w:tc>
      </w:tr>
    </w:tbl>
    <w:p>
      <w:pPr>
        <w:spacing w:before="0" w:after="40" w:line="278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21"/>
        </w:rPr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778000"/>
            <wp:docPr id="1" name="Picture 1" descr="柱状图：Qwen与InternVL在RGB、albedo、RGB加albedo和RGB加属性文本条件下的准确率和翻转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ghtly_summary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278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727C"/>
          <w:sz w:val="17"/>
        </w:rPr>
        <w:t>图1  同一330个样本在不同证据接口下的表现（翻转率越低越好，但必须同时看准确率）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2E75B6"/>
          <w:sz w:val="25"/>
        </w:rPr>
        <w:t>如何理解“翻转”</w:t>
      </w:r>
    </w:p>
    <w:p>
      <w:pPr>
        <w:spacing w:before="0" w:after="120" w:line="278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21"/>
        </w:rPr>
        <w:t>如果同一块布在5种灯光下，模型有4次说“布料”、1次说“瓷砖”，这个区域就算发生过翻转。这个指标不只看某一张图答对没有，而是看模型对同一材质是否稳定。</w:t>
      </w:r>
    </w:p>
    <w:p>
      <w:pPr>
        <w:spacing w:before="60" w:after="160" w:line="276" w:lineRule="auto"/>
        <w:ind w:left="102" w:right="45"/>
        <w:shd w:fill="E9F4F2"/>
        <w:pBdr>
          <w:left w:val="single" w:sz="18" w:color="2F7F7B" w:space="7"/>
        </w:pBdr>
      </w:pPr>
      <w:r>
        <w:rPr>
          <w:rFonts w:ascii="Microsoft YaHei" w:hAnsi="Microsoft YaHei" w:eastAsia="Microsoft YaHei"/>
          <w:b/>
          <w:i w:val="0"/>
          <w:color w:val="2F7F7B"/>
          <w:sz w:val="22"/>
        </w:rPr>
        <w:t>已验证的 finding</w:t>
      </w:r>
      <w:r>
        <w:br/>
      </w:r>
      <w:r>
        <w:rPr>
          <w:rFonts w:ascii="Microsoft YaHei" w:hAnsi="Microsoft YaHei" w:eastAsia="Microsoft YaHei"/>
          <w:b w:val="0"/>
          <w:i w:val="0"/>
          <w:color w:val="263238"/>
          <w:sz w:val="20"/>
        </w:rPr>
        <w:t>在有明显照明差异的压力测试中，冻结VLM的材质答案会大量随灯光变化；且两个不同系列的2B模型在容易翻转的区域上高度重合。</w:t>
      </w:r>
    </w:p>
    <w:p>
      <w:r>
        <w:br w:type="page"/>
      </w:r>
    </w:p>
    <w:p>
      <w:pPr>
        <w:pStyle w:val="Heading1"/>
        <w:keepNext/>
        <w:spacing w:before="40" w:after="140"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3. Albedo干预：图像稳定了，VLM却没有变好</w:t>
      </w:r>
    </w:p>
    <w:p>
      <w:pPr>
        <w:spacing w:before="0" w:after="120" w:line="278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21"/>
        </w:rPr>
        <w:t>Albedo可以理解为尽量去掉灯光影响后的表面固有外观。我们使用官方Marigold IID Appearance v1.1，先处理247张完整场景-光照图，再按原坐标裁剪，避免直接对小图分解带来假结果。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118360"/>
            <wp:docPr id="2" name="Picture 2" descr="左侧为原RGB室内场景，右侧为Marigold生成的albedo；右侧阴影和明暗变化明显减少，但存在色彩偏移和局部误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comparis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1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278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727C"/>
          <w:sz w:val="17"/>
        </w:rPr>
        <w:t>图2  同一张室内场景：左为RGB，右为Marigold albedo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84"/>
        <w:gridCol w:w="2693"/>
        <w:gridCol w:w="2693"/>
        <w:gridCol w:w="2268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输入方式</w:t>
            </w:r>
          </w:p>
        </w:tc>
        <w:tc>
          <w:tcPr>
            <w:tcW w:type="dxa" w:w="2693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Qwen准确率 / 翻转</w:t>
            </w:r>
          </w:p>
        </w:tc>
        <w:tc>
          <w:tcPr>
            <w:tcW w:type="dxa" w:w="2693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InternVL准确率 / 翻转</w:t>
            </w:r>
          </w:p>
        </w:tc>
        <w:tc>
          <w:tcPr>
            <w:tcW w:type="dxa" w:w="2268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RGB基线</w:t>
            </w:r>
          </w:p>
        </w:tc>
        <w:tc>
          <w:tcPr>
            <w:tcW w:type="dxa" w:w="2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60.30% / 57.58%</w:t>
            </w:r>
          </w:p>
        </w:tc>
        <w:tc>
          <w:tcPr>
            <w:tcW w:type="dxa" w:w="2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53.03% / 66.67%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对照组</w:t>
            </w:r>
          </w:p>
        </w:tc>
      </w:tr>
      <w:tr>
        <w:trPr>
          <w:cantSplit/>
        </w:trPr>
        <w:tc>
          <w:tcPr>
            <w:tcW w:type="dxa" w:w="1984"/>
            <w:shd w:fill="F3F5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Albedo-only</w:t>
            </w:r>
          </w:p>
        </w:tc>
        <w:tc>
          <w:tcPr>
            <w:tcW w:type="dxa" w:w="2693"/>
            <w:shd w:fill="F3F5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36.36% / 71.21%</w:t>
            </w:r>
          </w:p>
        </w:tc>
        <w:tc>
          <w:tcPr>
            <w:tcW w:type="dxa" w:w="2693"/>
            <w:shd w:fill="F3F5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29.39% / 77.27%</w:t>
            </w:r>
          </w:p>
        </w:tc>
        <w:tc>
          <w:tcPr>
            <w:tcW w:type="dxa" w:w="2268"/>
            <w:shd w:fill="F3F5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更差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RGB + Albedo</w:t>
            </w:r>
          </w:p>
        </w:tc>
        <w:tc>
          <w:tcPr>
            <w:tcW w:type="dxa" w:w="2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61.21% / 50.00%</w:t>
            </w:r>
          </w:p>
        </w:tc>
        <w:tc>
          <w:tcPr>
            <w:tcW w:type="dxa" w:w="2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51.21% / 65.15%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无稳定收益</w:t>
            </w:r>
          </w:p>
        </w:tc>
      </w:tr>
      <w:tr>
        <w:trPr>
          <w:cantSplit/>
        </w:trPr>
        <w:tc>
          <w:tcPr>
            <w:tcW w:type="dxa" w:w="1984"/>
            <w:shd w:fill="F3F5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RGB + 物理数值</w:t>
            </w:r>
          </w:p>
        </w:tc>
        <w:tc>
          <w:tcPr>
            <w:tcW w:type="dxa" w:w="2693"/>
            <w:shd w:fill="F3F5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36.67% / 36.36%</w:t>
            </w:r>
          </w:p>
        </w:tc>
        <w:tc>
          <w:tcPr>
            <w:tcW w:type="dxa" w:w="2693"/>
            <w:shd w:fill="F3F5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25.15% / 36.36%</w:t>
            </w:r>
          </w:p>
        </w:tc>
        <w:tc>
          <w:tcPr>
            <w:tcW w:type="dxa" w:w="2268"/>
            <w:shd w:fill="F3F5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伪一致性</w:t>
            </w:r>
          </w:p>
        </w:tc>
      </w:tr>
    </w:tbl>
    <w:p>
      <w:pPr>
        <w:spacing w:before="0" w:after="40" w:line="278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21"/>
        </w:rPr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2E75B6"/>
          <w:sz w:val="25"/>
        </w:rPr>
        <w:t>最关键的反例</w:t>
      </w:r>
    </w:p>
    <w:p>
      <w:pPr>
        <w:spacing w:before="0" w:after="120" w:line="278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21"/>
        </w:rPr>
        <w:t>把Marigold预测的粗糙度和金属度写成文本后，两个模型确实“更稳定”了，但Qwen有227/330次、InternVL有269/330次直接回答“metal”。这种稳定是因为它们反复答同一个错误类别，不是真正理解了材质。</w:t>
      </w:r>
    </w:p>
    <w:p>
      <w:pPr>
        <w:spacing w:before="60" w:after="160" w:line="276" w:lineRule="auto"/>
        <w:ind w:left="102" w:right="45"/>
        <w:shd w:fill="FCECEC"/>
        <w:pBdr>
          <w:left w:val="single" w:sz="18" w:color="A23B3B" w:space="7"/>
        </w:pBdr>
      </w:pPr>
      <w:r>
        <w:rPr>
          <w:rFonts w:ascii="Microsoft YaHei" w:hAnsi="Microsoft YaHei" w:eastAsia="Microsoft YaHei"/>
          <w:b/>
          <w:i w:val="0"/>
          <w:color w:val="A23B3B"/>
          <w:sz w:val="22"/>
        </w:rPr>
        <w:t>第三步决策：No-Go</w:t>
      </w:r>
      <w:r>
        <w:br/>
      </w:r>
      <w:r>
        <w:rPr>
          <w:rFonts w:ascii="Microsoft YaHei" w:hAnsi="Microsoft YaHei" w:eastAsia="Microsoft YaHei"/>
          <w:b w:val="0"/>
          <w:i w:val="0"/>
          <w:color w:val="263238"/>
          <w:sz w:val="20"/>
        </w:rPr>
        <w:t>“直接给albedo图”和“直接给物理数值文本”都没有在两个模型上同时提高准确率和稳定性。按实验前设定的停损标准，这条零训练路线暂停。</w:t>
      </w:r>
    </w:p>
    <w:p>
      <w:r>
        <w:br w:type="page"/>
      </w:r>
    </w:p>
    <w:p>
      <w:pPr>
        <w:pStyle w:val="Heading1"/>
        <w:keepNext/>
        <w:spacing w:before="40" w:after="140"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4. 今晚的最终 finding 与建议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2E75B6"/>
          <w:sz w:val="25"/>
        </w:rPr>
        <w:t>可以较有把握地说</w:t>
      </w:r>
    </w:p>
    <w:p>
      <w:pPr>
        <w:pStyle w:val="ListBullet"/>
        <w:spacing w:after="80" w:line="269" w:lineRule="auto"/>
        <w:ind w:left="369" w:hanging="170"/>
      </w:pPr>
      <w:r>
        <w:rPr>
          <w:rFonts w:ascii="Microsoft YaHei" w:hAnsi="Microsoft YaHei" w:eastAsia="Microsoft YaHei"/>
          <w:b w:val="0"/>
          <w:i w:val="0"/>
          <w:color w:val="263238"/>
          <w:sz w:val="20"/>
        </w:rPr>
        <w:t>冻结VLM的材质判断对真实灯光变化很敏感，该现象已在Qwen和InternVL上重复。</w:t>
      </w:r>
    </w:p>
    <w:p>
      <w:pPr>
        <w:pStyle w:val="ListBullet"/>
        <w:spacing w:after="80" w:line="269" w:lineRule="auto"/>
        <w:ind w:left="369" w:hanging="170"/>
      </w:pPr>
      <w:r>
        <w:rPr>
          <w:rFonts w:ascii="Microsoft YaHei" w:hAnsi="Microsoft YaHei" w:eastAsia="Microsoft YaHei"/>
          <w:b w:val="0"/>
          <w:i w:val="0"/>
          <w:color w:val="263238"/>
          <w:sz w:val="20"/>
        </w:rPr>
        <w:t>Marigold生成的albedo确实更稳定，说明“消除照明干扰”这个物理出发点没有问题。</w:t>
      </w:r>
    </w:p>
    <w:p>
      <w:pPr>
        <w:pStyle w:val="ListBullet"/>
        <w:spacing w:after="80" w:line="269" w:lineRule="auto"/>
        <w:ind w:left="369" w:hanging="170"/>
      </w:pPr>
      <w:r>
        <w:rPr>
          <w:rFonts w:ascii="Microsoft YaHei" w:hAnsi="Microsoft YaHei" w:eastAsia="Microsoft YaHei"/>
          <w:b w:val="0"/>
          <w:i w:val="0"/>
          <w:color w:val="263238"/>
          <w:sz w:val="20"/>
        </w:rPr>
        <w:t>真正的瓶颈是VLM不会直接使用本征图或物理数值，存在明显的“物理证据-模型接口”鸿沟。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2E75B6"/>
          <w:sz w:val="25"/>
        </w:rPr>
        <w:t>现在还不能说</w:t>
      </w:r>
    </w:p>
    <w:p>
      <w:pPr>
        <w:pStyle w:val="ListBullet"/>
        <w:spacing w:after="80" w:line="269" w:lineRule="auto"/>
        <w:ind w:left="369" w:hanging="170"/>
      </w:pPr>
      <w:r>
        <w:rPr>
          <w:rFonts w:ascii="Microsoft YaHei" w:hAnsi="Microsoft YaHei" w:eastAsia="Microsoft YaHei"/>
          <w:b w:val="0"/>
          <w:i w:val="0"/>
          <w:color w:val="263238"/>
          <w:sz w:val="20"/>
        </w:rPr>
        <w:t>还不能说我们已经有了一个可发表的新方法。</w:t>
      </w:r>
    </w:p>
    <w:p>
      <w:pPr>
        <w:pStyle w:val="ListBullet"/>
        <w:spacing w:after="80" w:line="269" w:lineRule="auto"/>
        <w:ind w:left="369" w:hanging="170"/>
      </w:pPr>
      <w:r>
        <w:rPr>
          <w:rFonts w:ascii="Microsoft YaHei" w:hAnsi="Microsoft YaHei" w:eastAsia="Microsoft YaHei"/>
          <w:b w:val="0"/>
          <w:i w:val="0"/>
          <w:color w:val="263238"/>
          <w:sz w:val="20"/>
        </w:rPr>
        <w:t>还不能把压力测试中的57%-67%翻转率，理解为日常随机灯光下的自然发生概率。</w:t>
      </w:r>
    </w:p>
    <w:p>
      <w:pPr>
        <w:pStyle w:val="ListBullet"/>
        <w:spacing w:after="80" w:line="269" w:lineRule="auto"/>
        <w:ind w:left="369" w:hanging="170"/>
      </w:pPr>
      <w:r>
        <w:rPr>
          <w:rFonts w:ascii="Microsoft YaHei" w:hAnsi="Microsoft YaHei" w:eastAsia="Microsoft YaHei"/>
          <w:b w:val="0"/>
          <w:i w:val="0"/>
          <w:color w:val="263238"/>
          <w:sz w:val="20"/>
        </w:rPr>
        <w:t>只测了2B级模型，且clear plastic、marble等类别仍较少，还不能外推到所有VLM。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2E75B6"/>
          <w:sz w:val="25"/>
        </w:rPr>
        <w:t>建议怎么处理这条线</w:t>
      </w:r>
    </w:p>
    <w:p>
      <w:pPr>
        <w:spacing w:before="60" w:after="160" w:line="276" w:lineRule="auto"/>
        <w:ind w:left="102" w:right="45"/>
        <w:shd w:fill="FFF5DD"/>
        <w:pBdr>
          <w:left w:val="single" w:sz="18" w:color="C58A22" w:space="7"/>
        </w:pBdr>
      </w:pPr>
      <w:r>
        <w:rPr>
          <w:rFonts w:ascii="Microsoft YaHei" w:hAnsi="Microsoft YaHei" w:eastAsia="Microsoft YaHei"/>
          <w:b/>
          <w:i w:val="0"/>
          <w:color w:val="C58A22"/>
          <w:sz w:val="22"/>
        </w:rPr>
        <w:t>建议：归档当前零训练方案，不再继续堆实验</w:t>
      </w:r>
      <w:r>
        <w:br/>
      </w:r>
      <w:r>
        <w:rPr>
          <w:rFonts w:ascii="Microsoft YaHei" w:hAnsi="Microsoft YaHei" w:eastAsia="Microsoft YaHei"/>
          <w:b w:val="0"/>
          <w:i w:val="0"/>
          <w:color w:val="263238"/>
          <w:sz w:val="20"/>
        </w:rPr>
        <w:t>如果组里希望继续，研究问题必须升级为“如何学习albedo/材质属性与VLM之间的对齐接口”，例如轻量adapter或微调。这会明显增加数据、训练和查重成本，不再是原先预期的低成本DOP式课题。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2E75B6"/>
          <w:sz w:val="25"/>
        </w:rPr>
        <w:t>今晚留下的可复现材料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72"/>
        <w:gridCol w:w="4536"/>
        <w:gridCol w:w="3330"/>
      </w:tblGrid>
      <w:tr>
        <w:trPr>
          <w:tblHeader w:val="true"/>
          <w:cantSplit/>
        </w:trPr>
        <w:tc>
          <w:tcPr>
            <w:tcW w:type="dxa" w:w="1772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材料</w:t>
            </w:r>
          </w:p>
        </w:tc>
        <w:tc>
          <w:tcPr>
            <w:tcW w:type="dxa" w:w="4536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已保存内容</w:t>
            </w:r>
          </w:p>
        </w:tc>
        <w:tc>
          <w:tcPr>
            <w:tcW w:type="dxa" w:w="333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位置</w:t>
            </w:r>
          </w:p>
        </w:tc>
      </w:tr>
      <w:tr>
        <w:trPr>
          <w:cantSplit/>
        </w:trPr>
        <w:tc>
          <w:tcPr>
            <w:tcW w:type="dxa" w:w="1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数据与manifest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66区域、330样本、两个本征证据manifest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local/multimodal-research/experiments</w:t>
            </w:r>
          </w:p>
        </w:tc>
      </w:tr>
      <w:tr>
        <w:trPr>
          <w:cantSplit/>
        </w:trPr>
        <w:tc>
          <w:tcPr>
            <w:tcW w:type="dxa" w:w="1772"/>
            <w:shd w:fill="F3F5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模型预测</w:t>
            </w:r>
          </w:p>
        </w:tc>
        <w:tc>
          <w:tcPr>
            <w:tcW w:type="dxa" w:w="4536"/>
            <w:shd w:fill="F3F5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RGB、albedo、RGB+albedo、物理文本的逐样本输出</w:t>
            </w:r>
          </w:p>
        </w:tc>
        <w:tc>
          <w:tcPr>
            <w:tcW w:type="dxa" w:w="3330"/>
            <w:shd w:fill="F3F5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local/multimodal-research/results</w:t>
            </w:r>
          </w:p>
        </w:tc>
      </w:tr>
      <w:tr>
        <w:trPr>
          <w:cantSplit/>
        </w:trPr>
        <w:tc>
          <w:tcPr>
            <w:tcW w:type="dxa" w:w="1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脚本和配置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数据构建、Qwen/InternVL推理、Marigold、bootstrap分析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local/multimodal-research/scripts / configs</w:t>
            </w:r>
          </w:p>
        </w:tc>
      </w:tr>
      <w:tr>
        <w:trPr>
          <w:cantSplit/>
        </w:trPr>
        <w:tc>
          <w:tcPr>
            <w:tcW w:type="dxa" w:w="1772"/>
            <w:shd w:fill="F3F5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运行日志</w:t>
            </w:r>
          </w:p>
        </w:tc>
        <w:tc>
          <w:tcPr>
            <w:tcW w:type="dxa" w:w="4536"/>
            <w:shd w:fill="F3F5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下载、环境、全量推理与结果哈希</w:t>
            </w:r>
          </w:p>
        </w:tc>
        <w:tc>
          <w:tcPr>
            <w:tcW w:type="dxa" w:w="3330"/>
            <w:shd w:fill="F3F5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local/multimodal-research/experiments/logs</w:t>
            </w:r>
          </w:p>
        </w:tc>
      </w:tr>
    </w:tbl>
    <w:p>
      <w:pPr>
        <w:spacing w:before="0" w:after="40" w:line="278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21"/>
        </w:rPr>
      </w:r>
    </w:p>
    <w:p>
      <w:pPr>
        <w:spacing w:before="0" w:after="40" w:line="278" w:lineRule="auto"/>
      </w:pPr>
      <w:r>
        <w:rPr>
          <w:rFonts w:ascii="Microsoft YaHei" w:hAnsi="Microsoft YaHei" w:eastAsia="Microsoft YaHei"/>
          <w:b w:val="0"/>
          <w:i w:val="0"/>
          <w:color w:val="66727C"/>
          <w:sz w:val="17"/>
        </w:rPr>
        <w:t>备注：这份文档是内部阶段汇报。所有结果都保留了配置、逐样本预测、日志和本地-远程哈希；数据和权重不进Git。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82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727C"/>
        <w:sz w:val="17"/>
      </w:rPr>
      <w:t xml:space="preserve">第 </w:t>
    </w:r>
    <w:fldSimple w:instr="PAGE"/>
    <w:r>
      <w:rPr>
        <w:rFonts w:ascii="Microsoft YaHei" w:hAnsi="Microsoft YaHei" w:eastAsia="Microsoft YaHei"/>
        <w:b w:val="0"/>
        <w:i w:val="0"/>
        <w:color w:val="66727C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i w:val="0"/>
        <w:color w:val="66727C"/>
        <w:sz w:val="17"/>
      </w:rPr>
      <w:t>多模态物理证据研究 | 阶段汇报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今晚的工作与核心finding</dc:title>
  <dc:subject>多模态物理证据研究阶段汇报</dc:subject>
  <dc:creator>Research Project</dc:creator>
  <cp:keywords>VLM, material constancy, albedo, nightly summary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