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p>
    <w:p>
      <w:pPr>
        <w:jc w:val="center"/>
      </w:pPr>
      <w:r>
        <w:rPr>
          <w:b/>
          <w:bCs/>
          <w:color w:val="1F3864"/>
          <w:sz w:val="40"/>
          <w:szCs w:val="40"/>
        </w:rPr>
        <w:t xml:space="preserve">LA PIRÁMIDE DE PRUEBAS AMPLIADA PARA IA</w:t>
      </w:r>
    </w:p>
    <w:p>
      <w:pPr>
        <w:spacing w:before="160"/>
        <w:jc w:val="center"/>
      </w:pPr>
      <w:r>
        <w:rPr>
          <w:b/>
          <w:bCs/>
          <w:color w:val="2E5395"/>
          <w:sz w:val="28"/>
          <w:szCs w:val="28"/>
        </w:rPr>
        <w:t xml:space="preserve">Clasificación de las partes del producto EduSync</w:t>
      </w:r>
    </w:p>
    <w:p>
      <w:pPr>
        <w:spacing w:before="300"/>
        <w:jc w:val="center"/>
      </w:pPr>
      <w:r>
        <w:rPr>
          <w:color w:val="666666"/>
          <w:sz w:val="22"/>
          <w:szCs w:val="22"/>
        </w:rPr>
        <w:t xml:space="preserve">Determinista vs. probabilística · capa de prueba · herramienta</w:t>
      </w:r>
    </w:p>
    <w:p>
      <w:pPr>
        <w:spacing w:before="700"/>
        <w:jc w:val="center"/>
      </w:pPr>
      <w:r>
        <w:rPr>
          <w:b/>
          <w:bCs/>
          <w:sz w:val="24"/>
          <w:szCs w:val="24"/>
        </w:rPr>
        <w:t xml:space="preserve">19 partes analizadas  ·  17 deterministas  ·  2 probabilísticas</w:t>
      </w:r>
    </w:p>
    <w:p>
      <w:pPr>
        <w:spacing w:before="1400"/>
        <w:jc w:val="center"/>
      </w:pPr>
      <w:r>
        <w:rPr>
          <w:i/>
          <w:iCs/>
          <w:color w:val="666666"/>
          <w:sz w:val="20"/>
          <w:szCs w:val="20"/>
        </w:rPr>
        <w:t xml:space="preserve">Maestría — Módulo 7, Sesión 1: "La pirámide, ampliada para IA"</w:t>
      </w:r>
    </w:p>
    <w:p>
      <w:pPr>
        <w:spacing w:before="80"/>
        <w:jc w:val="center"/>
      </w:pPr>
      <w:r>
        <w:rPr>
          <w:i/>
          <w:iCs/>
          <w:color w:val="666666"/>
          <w:sz w:val="18"/>
          <w:szCs w:val="18"/>
        </w:rPr>
        <w:t xml:space="preserve">Material de referencia: Dirección de Posgrado — Autor: M.Sc. Luis Marcelo Garay Choqueribe</w:t>
      </w:r>
    </w:p>
    <w:p>
      <w:pPr>
        <w:spacing w:before="300"/>
        <w:jc w:val="center"/>
      </w:pPr>
      <w:r>
        <w:rPr>
          <w:color w:val="666666"/>
          <w:sz w:val="20"/>
          <w:szCs w:val="20"/>
        </w:rPr>
        <w:t xml:space="preserve">Elaborado por: Rodrigo Aspeti</w:t>
      </w:r>
    </w:p>
    <w:p>
      <w:pPr>
        <w:spacing w:before="40"/>
        <w:jc w:val="center"/>
      </w:pPr>
      <w:r>
        <w:rPr>
          <w:color w:val="666666"/>
          <w:sz w:val="20"/>
          <w:szCs w:val="20"/>
        </w:rPr>
        <w:t xml:space="preserve">Fecha: 4 de septiembre de 2026</w:t>
      </w:r>
    </w:p>
    <w:p>
      <w:r>
        <w:br w:type="page"/>
      </w:r>
    </w:p>
    <w:p>
      <w:pPr>
        <w:pStyle w:val="Heading1"/>
        <w:spacing w:after="180" w:before="360"/>
      </w:pPr>
      <w:r>
        <w:t xml:space="preserve">Contenido</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t xml:space="preserve">1. Introducción y criterio de clasificación</w:t>
      </w:r>
    </w:p>
    <w:p>
      <w:pPr>
        <w:spacing w:after="140"/>
      </w:pPr>
      <w:r>
        <w:t xml:space="preserve">Este informe toma como base la pirámide de pruebas ampliada para IA (figura de referencia del Módulo 7, Sesión 1) y la aplica al producto EduSync, la plataforma SaaS multi-tenant de gestión académica desarrollada en este repositorio. Cada parte del producto se evalúa con una única pregunta central:</w:t>
      </w:r>
    </w:p>
    <w:p>
      <w:pPr>
        <w:spacing w:after="160"/>
        <w:ind w:left="400"/>
      </w:pPr>
      <w:r>
        <w:rPr>
          <w:b/>
          <w:bCs/>
          <w:i/>
          <w:iCs/>
          <w:color w:val="2E5395"/>
          <w:sz w:val="22"/>
          <w:szCs w:val="22"/>
        </w:rPr>
        <w:t xml:space="preserve">¿Ante la misma entrada, el sistema produce siempre la misma salida?</w:t>
      </w:r>
    </w:p>
    <w:p>
      <w:pPr>
        <w:spacing w:after="140"/>
      </w:pPr>
      <w:r>
        <w:t xml:space="preserve">Si la respuesta es sí, la parte es determinista y se prueba con las técnicas de siempre: assert exacto, en la base de la pirámide (Unit, Integration/contract, UI/E2E web). Si la respuesta es no —porque la salida depende de un modelo de lenguaje— la parte es probabilística y necesita las capas superiores: métricas con umbral (Evals de IA), pruebas adversarias (Red-teaming) y observación continua (Monitoreo en producción).</w:t>
      </w:r>
    </w:p>
    <w:p>
      <w:pPr>
        <w:spacing w:after="140"/>
      </w:pPr>
      <w:r>
        <w:t xml:space="preserve">La trampa más común, que este informe evita deliberadamente, es marcar todo como probabilístico "porque el sistema usa IA". En EduSync la IA es una capacidad acotada y desactivable por configuración (edusync.ai.enabled=false por defecto): el login, los 9 CRUD académicos, el cálculo de notas y el aislamiento multi-tenant son deterministas y representan la enorme mayoría de la funcionalidad del sistema. Solo el chat con el LLM y la interpretación semántica de lenguaje natural son genuinamente probabilísticos.</w:t>
      </w:r>
    </w:p>
    <w:p>
      <w:pPr>
        <w:pStyle w:val="Heading2"/>
        <w:spacing w:after="140" w:before="280"/>
      </w:pPr>
      <w:r>
        <w:t xml:space="preserve">1.1 Alcance del producto analizado</w:t>
      </w:r>
    </w:p>
    <w:p>
      <w:pPr>
        <w:spacing w:after="140"/>
      </w:pPr>
      <w:r>
        <w:t xml:space="preserve">EduSync es una plataforma SaaS B2B multi-tenant que descentraliza el registro de calificaciones por rol, consolida centralizadores aplicando la regla floor y sincroniza con el sistema estatal SIE boliviano mediante el código RUDE. Stack: Java 25 LTS / Spring Boot 4.1.0 (monolito modular con Spring Modulith) en el backend y Angular 21 LTS en el frontend. Los módulos de negocio son identidad, plataforma, académico y un módulo transversal shared (que incluye la capacidad de IA, hoy limitada a un endpoint de chat y a un asistente de búsqueda de usuarios en lenguaje natural).</w:t>
      </w:r>
    </w:p>
    <w:p>
      <w:r>
        <w:br w:type="page"/>
      </w:r>
    </w:p>
    <w:p>
      <w:pPr>
        <w:pStyle w:val="Heading1"/>
        <w:spacing w:after="180" w:before="360"/>
      </w:pPr>
      <w:r>
        <w:t xml:space="preserve">2. Tabla maestra de clasificación</w:t>
      </w:r>
    </w:p>
    <w:p>
      <w:pPr>
        <w:spacing w:after="140"/>
      </w:pPr>
      <w:r>
        <w:t xml:space="preserve">Se identificaron 19 partes de negocio/técnicas en el producto: 17 deterministas y 2 probabilísticas. Estas dos últimas están acotadas a la única funcionalidad que invoca un modelo de lenguaje real.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1350"/>
        <w:gridCol w:w="1950"/>
        <w:gridCol w:w="3380"/>
      </w:tblGrid>
      <w:tr>
        <w:trPr>
          <w:cantSplit/>
          <w:tblHeader/>
        </w:trPr>
        <w:tc>
          <w:tcPr>
            <w:tcW w:type="dxa" w:w="500"/>
            <w:shd w:fill="1F3864" w:color="auto" w:val="clear"/>
            <w:tcMar>
              <w:top w:type="dxa" w:w="70"/>
              <w:left w:type="dxa" w:w="110"/>
              <w:bottom w:type="dxa" w:w="70"/>
              <w:right w:type="dxa" w:w="110"/>
            </w:tcMar>
            <w:vAlign w:val="center"/>
          </w:tcPr>
          <w:p>
            <w:pPr>
              <w:jc w:val="left"/>
            </w:pPr>
            <w:r>
              <w:rPr>
                <w:b/>
                <w:bCs/>
                <w:color w:val="FFFFFF"/>
                <w:sz w:val="19"/>
                <w:szCs w:val="19"/>
              </w:rPr>
              <w:t xml:space="preserve">#</w:t>
            </w:r>
          </w:p>
        </w:tc>
        <w:tc>
          <w:tcPr>
            <w:tcW w:type="dxa" w:w="2900"/>
            <w:shd w:fill="1F3864" w:color="auto" w:val="clear"/>
            <w:tcMar>
              <w:top w:type="dxa" w:w="70"/>
              <w:left w:type="dxa" w:w="110"/>
              <w:bottom w:type="dxa" w:w="70"/>
              <w:right w:type="dxa" w:w="110"/>
            </w:tcMar>
            <w:vAlign w:val="center"/>
          </w:tcPr>
          <w:p>
            <w:pPr>
              <w:jc w:val="left"/>
            </w:pPr>
            <w:r>
              <w:rPr>
                <w:b/>
                <w:bCs/>
                <w:color w:val="FFFFFF"/>
                <w:sz w:val="19"/>
                <w:szCs w:val="19"/>
              </w:rPr>
              <w:t xml:space="preserve">Parte del producto</w:t>
            </w:r>
          </w:p>
        </w:tc>
        <w:tc>
          <w:tcPr>
            <w:tcW w:type="dxa" w:w="1350"/>
            <w:shd w:fill="1F3864" w:color="auto" w:val="clear"/>
            <w:tcMar>
              <w:top w:type="dxa" w:w="70"/>
              <w:left w:type="dxa" w:w="110"/>
              <w:bottom w:type="dxa" w:w="70"/>
              <w:right w:type="dxa" w:w="110"/>
            </w:tcMar>
            <w:vAlign w:val="center"/>
          </w:tcPr>
          <w:p>
            <w:pPr>
              <w:jc w:val="left"/>
            </w:pPr>
            <w:r>
              <w:rPr>
                <w:b/>
                <w:bCs/>
                <w:color w:val="FFFFFF"/>
                <w:sz w:val="19"/>
                <w:szCs w:val="19"/>
              </w:rPr>
              <w:t xml:space="preserve">Naturaleza</w:t>
            </w:r>
          </w:p>
        </w:tc>
        <w:tc>
          <w:tcPr>
            <w:tcW w:type="dxa" w:w="1950"/>
            <w:shd w:fill="1F3864" w:color="auto" w:val="clear"/>
            <w:tcMar>
              <w:top w:type="dxa" w:w="70"/>
              <w:left w:type="dxa" w:w="110"/>
              <w:bottom w:type="dxa" w:w="70"/>
              <w:right w:type="dxa" w:w="110"/>
            </w:tcMar>
            <w:vAlign w:val="center"/>
          </w:tcPr>
          <w:p>
            <w:pPr>
              <w:jc w:val="left"/>
            </w:pPr>
            <w:r>
              <w:rPr>
                <w:b/>
                <w:bCs/>
                <w:color w:val="FFFFFF"/>
                <w:sz w:val="19"/>
                <w:szCs w:val="19"/>
              </w:rPr>
              <w:t xml:space="preserve">Capa de la pirámide</w:t>
            </w:r>
          </w:p>
        </w:tc>
        <w:tc>
          <w:tcPr>
            <w:tcW w:type="dxa" w:w="3380"/>
            <w:shd w:fill="1F3864" w:color="auto" w:val="clear"/>
            <w:tcMar>
              <w:top w:type="dxa" w:w="70"/>
              <w:left w:type="dxa" w:w="110"/>
              <w:bottom w:type="dxa" w:w="70"/>
              <w:right w:type="dxa" w:w="110"/>
            </w:tcMar>
            <w:vAlign w:val="center"/>
          </w:tcPr>
          <w:p>
            <w:pPr>
              <w:jc w:val="left"/>
            </w:pPr>
            <w:r>
              <w:rPr>
                <w:b/>
                <w:bCs/>
                <w:color w:val="FFFFFF"/>
                <w:sz w:val="19"/>
                <w:szCs w:val="19"/>
              </w:rPr>
              <w:t xml:space="preserve">Herramienta</w:t>
            </w:r>
          </w:p>
        </w:tc>
      </w:tr>
      <w:tr>
        <w:trPr>
          <w:cantSplit/>
        </w:trPr>
        <w:tc>
          <w:tcPr>
            <w:tcW w:type="dxa" w:w="500"/>
            <w:tcMar>
              <w:top w:type="dxa" w:w="70"/>
              <w:left w:type="dxa" w:w="110"/>
              <w:bottom w:type="dxa" w:w="70"/>
              <w:right w:type="dxa" w:w="110"/>
            </w:tcMar>
            <w:vAlign w:val="center"/>
          </w:tcPr>
          <w:p>
            <w:pPr>
              <w:jc w:val="left"/>
            </w:pPr>
            <w:r>
              <w:rPr>
                <w:b w:val="false"/>
                <w:bCs w:val="false"/>
                <w:sz w:val="19"/>
                <w:szCs w:val="19"/>
              </w:rPr>
              <w:t xml:space="preserve">1</w:t>
            </w:r>
          </w:p>
        </w:tc>
        <w:tc>
          <w:tcPr>
            <w:tcW w:type="dxa" w:w="2900"/>
            <w:tcMar>
              <w:top w:type="dxa" w:w="70"/>
              <w:left w:type="dxa" w:w="110"/>
              <w:bottom w:type="dxa" w:w="70"/>
              <w:right w:type="dxa" w:w="110"/>
            </w:tcMar>
            <w:vAlign w:val="center"/>
          </w:tcPr>
          <w:p>
            <w:pPr>
              <w:jc w:val="left"/>
            </w:pPr>
            <w:r>
              <w:rPr>
                <w:b w:val="false"/>
                <w:bCs w:val="false"/>
                <w:sz w:val="19"/>
                <w:szCs w:val="19"/>
              </w:rPr>
              <w:t xml:space="preserve">Autenticación y autorización (login JWT, guards de rol/tenant)</w:t>
            </w:r>
          </w:p>
        </w:tc>
        <w:tc>
          <w:tcPr>
            <w:tcW w:type="dxa" w:w="1350"/>
            <w:tcMar>
              <w:top w:type="dxa" w:w="70"/>
              <w:left w:type="dxa" w:w="110"/>
              <w:bottom w:type="dxa" w:w="70"/>
              <w:right w:type="dxa" w:w="110"/>
            </w:tcMar>
            <w:vAlign w:val="center"/>
          </w:tcPr>
          <w:p>
            <w:pPr>
              <w:jc w:val="left"/>
            </w:pPr>
            <w:r>
              <w:rPr>
                <w:b/>
                <w:bCs/>
                <w:color w:val="2E7D32"/>
                <w:sz w:val="19"/>
                <w:szCs w:val="19"/>
              </w:rPr>
              <w:t xml:space="preserve">Determinista</w:t>
            </w:r>
          </w:p>
        </w:tc>
        <w:tc>
          <w:tcPr>
            <w:tcW w:type="dxa" w:w="1950"/>
            <w:tcMar>
              <w:top w:type="dxa" w:w="70"/>
              <w:left w:type="dxa" w:w="110"/>
              <w:bottom w:type="dxa" w:w="70"/>
              <w:right w:type="dxa" w:w="110"/>
            </w:tcMar>
            <w:vAlign w:val="center"/>
          </w:tcPr>
          <w:p>
            <w:pPr>
              <w:jc w:val="left"/>
            </w:pPr>
            <w:r>
              <w:rPr>
                <w:b w:val="false"/>
                <w:bCs w:val="false"/>
                <w:sz w:val="19"/>
                <w:szCs w:val="19"/>
              </w:rPr>
              <w:t xml:space="preserve">Unit + Integration/contract</w:t>
            </w:r>
          </w:p>
        </w:tc>
        <w:tc>
          <w:tcPr>
            <w:tcW w:type="dxa" w:w="3380"/>
            <w:tcMar>
              <w:top w:type="dxa" w:w="70"/>
              <w:left w:type="dxa" w:w="110"/>
              <w:bottom w:type="dxa" w:w="70"/>
              <w:right w:type="dxa" w:w="110"/>
            </w:tcMar>
            <w:vAlign w:val="center"/>
          </w:tcPr>
          <w:p>
            <w:pPr>
              <w:jc w:val="left"/>
            </w:pPr>
            <w:r>
              <w:rPr>
                <w:b w:val="false"/>
                <w:bCs w:val="false"/>
                <w:sz w:val="17"/>
                <w:szCs w:val="17"/>
              </w:rPr>
              <w:t xml:space="preserve">JUnit 5 + Mockito + AssertJ · Vitest (guards/interceptores) · Spring Boot Test + Testcontainers</w:t>
            </w:r>
          </w:p>
        </w:tc>
      </w:tr>
      <w:tr>
        <w:trPr>
          <w:cantSplit/>
        </w:trPr>
        <w:tc>
          <w:tcPr>
            <w:tcW w:type="dxa" w:w="500"/>
            <w:shd w:fill="EDF2FA" w:color="auto" w:val="clear"/>
            <w:tcMar>
              <w:top w:type="dxa" w:w="70"/>
              <w:left w:type="dxa" w:w="110"/>
              <w:bottom w:type="dxa" w:w="70"/>
              <w:right w:type="dxa" w:w="110"/>
            </w:tcMar>
            <w:vAlign w:val="center"/>
          </w:tcPr>
          <w:p>
            <w:pPr>
              <w:jc w:val="left"/>
            </w:pPr>
            <w:r>
              <w:rPr>
                <w:b w:val="false"/>
                <w:bCs w:val="false"/>
                <w:sz w:val="19"/>
                <w:szCs w:val="19"/>
              </w:rPr>
              <w:t xml:space="preserve">2</w:t>
            </w:r>
          </w:p>
        </w:tc>
        <w:tc>
          <w:tcPr>
            <w:tcW w:type="dxa" w:w="2900"/>
            <w:shd w:fill="EDF2FA" w:color="auto" w:val="clear"/>
            <w:tcMar>
              <w:top w:type="dxa" w:w="70"/>
              <w:left w:type="dxa" w:w="110"/>
              <w:bottom w:type="dxa" w:w="70"/>
              <w:right w:type="dxa" w:w="110"/>
            </w:tcMar>
            <w:vAlign w:val="center"/>
          </w:tcPr>
          <w:p>
            <w:pPr>
              <w:jc w:val="left"/>
            </w:pPr>
            <w:r>
              <w:rPr>
                <w:b w:val="false"/>
                <w:bCs w:val="false"/>
                <w:sz w:val="19"/>
                <w:szCs w:val="19"/>
              </w:rPr>
              <w:t xml:space="preserve">Gestión de Tenants (alta, suspensión, vencimiento automático)</w:t>
            </w:r>
          </w:p>
        </w:tc>
        <w:tc>
          <w:tcPr>
            <w:tcW w:type="dxa" w:w="1350"/>
            <w:shd w:fill="EDF2FA" w:color="auto" w:val="clear"/>
            <w:tcMar>
              <w:top w:type="dxa" w:w="70"/>
              <w:left w:type="dxa" w:w="110"/>
              <w:bottom w:type="dxa" w:w="70"/>
              <w:right w:type="dxa" w:w="110"/>
            </w:tcMar>
            <w:vAlign w:val="center"/>
          </w:tcPr>
          <w:p>
            <w:pPr>
              <w:jc w:val="left"/>
            </w:pPr>
            <w:r>
              <w:rPr>
                <w:b/>
                <w:bCs/>
                <w:color w:val="2E7D32"/>
                <w:sz w:val="19"/>
                <w:szCs w:val="19"/>
              </w:rPr>
              <w:t xml:space="preserve">Determinista</w:t>
            </w:r>
          </w:p>
        </w:tc>
        <w:tc>
          <w:tcPr>
            <w:tcW w:type="dxa" w:w="1950"/>
            <w:shd w:fill="EDF2FA" w:color="auto" w:val="clear"/>
            <w:tcMar>
              <w:top w:type="dxa" w:w="70"/>
              <w:left w:type="dxa" w:w="110"/>
              <w:bottom w:type="dxa" w:w="70"/>
              <w:right w:type="dxa" w:w="110"/>
            </w:tcMar>
            <w:vAlign w:val="center"/>
          </w:tcPr>
          <w:p>
            <w:pPr>
              <w:jc w:val="left"/>
            </w:pPr>
            <w:r>
              <w:rPr>
                <w:b w:val="false"/>
                <w:bCs w:val="false"/>
                <w:sz w:val="19"/>
                <w:szCs w:val="19"/>
              </w:rPr>
              <w:t xml:space="preserve">Unit + Integration/contract</w:t>
            </w:r>
          </w:p>
        </w:tc>
        <w:tc>
          <w:tcPr>
            <w:tcW w:type="dxa" w:w="3380"/>
            <w:shd w:fill="EDF2FA" w:color="auto" w:val="clear"/>
            <w:tcMar>
              <w:top w:type="dxa" w:w="70"/>
              <w:left w:type="dxa" w:w="110"/>
              <w:bottom w:type="dxa" w:w="70"/>
              <w:right w:type="dxa" w:w="110"/>
            </w:tcMar>
            <w:vAlign w:val="center"/>
          </w:tcPr>
          <w:p>
            <w:pPr>
              <w:jc w:val="left"/>
            </w:pPr>
            <w:r>
              <w:rPr>
                <w:b w:val="false"/>
                <w:bCs w:val="false"/>
                <w:sz w:val="17"/>
                <w:szCs w:val="17"/>
              </w:rPr>
              <w:t xml:space="preserve">JUnit 5 + Mockito + AssertJ · Spring Boot Test + Testcontainers</w:t>
            </w:r>
          </w:p>
        </w:tc>
      </w:tr>
      <w:tr>
        <w:trPr>
          <w:cantSplit/>
        </w:trPr>
        <w:tc>
          <w:tcPr>
            <w:tcW w:type="dxa" w:w="500"/>
            <w:tcMar>
              <w:top w:type="dxa" w:w="70"/>
              <w:left w:type="dxa" w:w="110"/>
              <w:bottom w:type="dxa" w:w="70"/>
              <w:right w:type="dxa" w:w="110"/>
            </w:tcMar>
            <w:vAlign w:val="center"/>
          </w:tcPr>
          <w:p>
            <w:pPr>
              <w:jc w:val="left"/>
            </w:pPr>
            <w:r>
              <w:rPr>
                <w:b w:val="false"/>
                <w:bCs w:val="false"/>
                <w:sz w:val="19"/>
                <w:szCs w:val="19"/>
              </w:rPr>
              <w:t xml:space="preserve">3</w:t>
            </w:r>
          </w:p>
        </w:tc>
        <w:tc>
          <w:tcPr>
            <w:tcW w:type="dxa" w:w="2900"/>
            <w:tcMar>
              <w:top w:type="dxa" w:w="70"/>
              <w:left w:type="dxa" w:w="110"/>
              <w:bottom w:type="dxa" w:w="70"/>
              <w:right w:type="dxa" w:w="110"/>
            </w:tcMar>
            <w:vAlign w:val="center"/>
          </w:tcPr>
          <w:p>
            <w:pPr>
              <w:jc w:val="left"/>
            </w:pPr>
            <w:r>
              <w:rPr>
                <w:b w:val="false"/>
                <w:bCs w:val="false"/>
                <w:sz w:val="19"/>
                <w:szCs w:val="19"/>
              </w:rPr>
              <w:t xml:space="preserve">Gestión de Usuarios y Roles (CRUD, activar/desactivar, reset de password)</w:t>
            </w:r>
          </w:p>
        </w:tc>
        <w:tc>
          <w:tcPr>
            <w:tcW w:type="dxa" w:w="1350"/>
            <w:tcMar>
              <w:top w:type="dxa" w:w="70"/>
              <w:left w:type="dxa" w:w="110"/>
              <w:bottom w:type="dxa" w:w="70"/>
              <w:right w:type="dxa" w:w="110"/>
            </w:tcMar>
            <w:vAlign w:val="center"/>
          </w:tcPr>
          <w:p>
            <w:pPr>
              <w:jc w:val="left"/>
            </w:pPr>
            <w:r>
              <w:rPr>
                <w:b/>
                <w:bCs/>
                <w:color w:val="2E7D32"/>
                <w:sz w:val="19"/>
                <w:szCs w:val="19"/>
              </w:rPr>
              <w:t xml:space="preserve">Determinista</w:t>
            </w:r>
          </w:p>
        </w:tc>
        <w:tc>
          <w:tcPr>
            <w:tcW w:type="dxa" w:w="1950"/>
            <w:tcMar>
              <w:top w:type="dxa" w:w="70"/>
              <w:left w:type="dxa" w:w="110"/>
              <w:bottom w:type="dxa" w:w="70"/>
              <w:right w:type="dxa" w:w="110"/>
            </w:tcMar>
            <w:vAlign w:val="center"/>
          </w:tcPr>
          <w:p>
            <w:pPr>
              <w:jc w:val="left"/>
            </w:pPr>
            <w:r>
              <w:rPr>
                <w:b w:val="false"/>
                <w:bCs w:val="false"/>
                <w:sz w:val="19"/>
                <w:szCs w:val="19"/>
              </w:rPr>
              <w:t xml:space="preserve">Unit + Integration/contract</w:t>
            </w:r>
          </w:p>
        </w:tc>
        <w:tc>
          <w:tcPr>
            <w:tcW w:type="dxa" w:w="3380"/>
            <w:tcMar>
              <w:top w:type="dxa" w:w="70"/>
              <w:left w:type="dxa" w:w="110"/>
              <w:bottom w:type="dxa" w:w="70"/>
              <w:right w:type="dxa" w:w="110"/>
            </w:tcMar>
            <w:vAlign w:val="center"/>
          </w:tcPr>
          <w:p>
            <w:pPr>
              <w:jc w:val="left"/>
            </w:pPr>
            <w:r>
              <w:rPr>
                <w:b w:val="false"/>
                <w:bCs w:val="false"/>
                <w:sz w:val="17"/>
                <w:szCs w:val="17"/>
              </w:rPr>
              <w:t xml:space="preserve">JUnit 5 + Mockito + AssertJ · Spring Boot Test + Testcontainers</w:t>
            </w:r>
          </w:p>
        </w:tc>
      </w:tr>
      <w:tr>
        <w:trPr>
          <w:cantSplit/>
        </w:trPr>
        <w:tc>
          <w:tcPr>
            <w:tcW w:type="dxa" w:w="500"/>
            <w:shd w:fill="EDF2FA" w:color="auto" w:val="clear"/>
            <w:tcMar>
              <w:top w:type="dxa" w:w="70"/>
              <w:left w:type="dxa" w:w="110"/>
              <w:bottom w:type="dxa" w:w="70"/>
              <w:right w:type="dxa" w:w="110"/>
            </w:tcMar>
            <w:vAlign w:val="center"/>
          </w:tcPr>
          <w:p>
            <w:pPr>
              <w:jc w:val="left"/>
            </w:pPr>
            <w:r>
              <w:rPr>
                <w:b w:val="false"/>
                <w:bCs w:val="false"/>
                <w:sz w:val="19"/>
                <w:szCs w:val="19"/>
              </w:rPr>
              <w:t xml:space="preserve">4</w:t>
            </w:r>
          </w:p>
        </w:tc>
        <w:tc>
          <w:tcPr>
            <w:tcW w:type="dxa" w:w="2900"/>
            <w:shd w:fill="EDF2FA" w:color="auto" w:val="clear"/>
            <w:tcMar>
              <w:top w:type="dxa" w:w="70"/>
              <w:left w:type="dxa" w:w="110"/>
              <w:bottom w:type="dxa" w:w="70"/>
              <w:right w:type="dxa" w:w="110"/>
            </w:tcMar>
            <w:vAlign w:val="center"/>
          </w:tcPr>
          <w:p>
            <w:pPr>
              <w:jc w:val="left"/>
            </w:pPr>
            <w:r>
              <w:rPr>
                <w:b w:val="false"/>
                <w:bCs w:val="false"/>
                <w:sz w:val="19"/>
                <w:szCs w:val="19"/>
              </w:rPr>
              <w:t xml:space="preserve">Gestión Escolar (alta y siembra automática de Periodos/Secciones)</w:t>
            </w:r>
          </w:p>
        </w:tc>
        <w:tc>
          <w:tcPr>
            <w:tcW w:type="dxa" w:w="1350"/>
            <w:shd w:fill="EDF2FA" w:color="auto" w:val="clear"/>
            <w:tcMar>
              <w:top w:type="dxa" w:w="70"/>
              <w:left w:type="dxa" w:w="110"/>
              <w:bottom w:type="dxa" w:w="70"/>
              <w:right w:type="dxa" w:w="110"/>
            </w:tcMar>
            <w:vAlign w:val="center"/>
          </w:tcPr>
          <w:p>
            <w:pPr>
              <w:jc w:val="left"/>
            </w:pPr>
            <w:r>
              <w:rPr>
                <w:b/>
                <w:bCs/>
                <w:color w:val="2E7D32"/>
                <w:sz w:val="19"/>
                <w:szCs w:val="19"/>
              </w:rPr>
              <w:t xml:space="preserve">Determinista</w:t>
            </w:r>
          </w:p>
        </w:tc>
        <w:tc>
          <w:tcPr>
            <w:tcW w:type="dxa" w:w="1950"/>
            <w:shd w:fill="EDF2FA" w:color="auto" w:val="clear"/>
            <w:tcMar>
              <w:top w:type="dxa" w:w="70"/>
              <w:left w:type="dxa" w:w="110"/>
              <w:bottom w:type="dxa" w:w="70"/>
              <w:right w:type="dxa" w:w="110"/>
            </w:tcMar>
            <w:vAlign w:val="center"/>
          </w:tcPr>
          <w:p>
            <w:pPr>
              <w:jc w:val="left"/>
            </w:pPr>
            <w:r>
              <w:rPr>
                <w:b w:val="false"/>
                <w:bCs w:val="false"/>
                <w:sz w:val="19"/>
                <w:szCs w:val="19"/>
              </w:rPr>
              <w:t xml:space="preserve">Unit + Integration/contract</w:t>
            </w:r>
          </w:p>
        </w:tc>
        <w:tc>
          <w:tcPr>
            <w:tcW w:type="dxa" w:w="3380"/>
            <w:shd w:fill="EDF2FA" w:color="auto" w:val="clear"/>
            <w:tcMar>
              <w:top w:type="dxa" w:w="70"/>
              <w:left w:type="dxa" w:w="110"/>
              <w:bottom w:type="dxa" w:w="70"/>
              <w:right w:type="dxa" w:w="110"/>
            </w:tcMar>
            <w:vAlign w:val="center"/>
          </w:tcPr>
          <w:p>
            <w:pPr>
              <w:jc w:val="left"/>
            </w:pPr>
            <w:r>
              <w:rPr>
                <w:b w:val="false"/>
                <w:bCs w:val="false"/>
                <w:sz w:val="17"/>
                <w:szCs w:val="17"/>
              </w:rPr>
              <w:t xml:space="preserve">JUnit 5 + Mockito + AssertJ · Spring Boot Test + Testcontainers</w:t>
            </w:r>
          </w:p>
        </w:tc>
      </w:tr>
      <w:tr>
        <w:trPr>
          <w:cantSplit/>
        </w:trPr>
        <w:tc>
          <w:tcPr>
            <w:tcW w:type="dxa" w:w="500"/>
            <w:tcMar>
              <w:top w:type="dxa" w:w="70"/>
              <w:left w:type="dxa" w:w="110"/>
              <w:bottom w:type="dxa" w:w="70"/>
              <w:right w:type="dxa" w:w="110"/>
            </w:tcMar>
            <w:vAlign w:val="center"/>
          </w:tcPr>
          <w:p>
            <w:pPr>
              <w:jc w:val="left"/>
            </w:pPr>
            <w:r>
              <w:rPr>
                <w:b w:val="false"/>
                <w:bCs w:val="false"/>
                <w:sz w:val="19"/>
                <w:szCs w:val="19"/>
              </w:rPr>
              <w:t xml:space="preserve">5</w:t>
            </w:r>
          </w:p>
        </w:tc>
        <w:tc>
          <w:tcPr>
            <w:tcW w:type="dxa" w:w="2900"/>
            <w:tcMar>
              <w:top w:type="dxa" w:w="70"/>
              <w:left w:type="dxa" w:w="110"/>
              <w:bottom w:type="dxa" w:w="70"/>
              <w:right w:type="dxa" w:w="110"/>
            </w:tcMar>
            <w:vAlign w:val="center"/>
          </w:tcPr>
          <w:p>
            <w:pPr>
              <w:jc w:val="left"/>
            </w:pPr>
            <w:r>
              <w:rPr>
                <w:b w:val="false"/>
                <w:bCs w:val="false"/>
                <w:sz w:val="19"/>
                <w:szCs w:val="19"/>
              </w:rPr>
              <w:t xml:space="preserve">Cursos y Paralelos (alta, listado)</w:t>
            </w:r>
          </w:p>
        </w:tc>
        <w:tc>
          <w:tcPr>
            <w:tcW w:type="dxa" w:w="1350"/>
            <w:tcMar>
              <w:top w:type="dxa" w:w="70"/>
              <w:left w:type="dxa" w:w="110"/>
              <w:bottom w:type="dxa" w:w="70"/>
              <w:right w:type="dxa" w:w="110"/>
            </w:tcMar>
            <w:vAlign w:val="center"/>
          </w:tcPr>
          <w:p>
            <w:pPr>
              <w:jc w:val="left"/>
            </w:pPr>
            <w:r>
              <w:rPr>
                <w:b/>
                <w:bCs/>
                <w:color w:val="2E7D32"/>
                <w:sz w:val="19"/>
                <w:szCs w:val="19"/>
              </w:rPr>
              <w:t xml:space="preserve">Determinista</w:t>
            </w:r>
          </w:p>
        </w:tc>
        <w:tc>
          <w:tcPr>
            <w:tcW w:type="dxa" w:w="1950"/>
            <w:tcMar>
              <w:top w:type="dxa" w:w="70"/>
              <w:left w:type="dxa" w:w="110"/>
              <w:bottom w:type="dxa" w:w="70"/>
              <w:right w:type="dxa" w:w="110"/>
            </w:tcMar>
            <w:vAlign w:val="center"/>
          </w:tcPr>
          <w:p>
            <w:pPr>
              <w:jc w:val="left"/>
            </w:pPr>
            <w:r>
              <w:rPr>
                <w:b w:val="false"/>
                <w:bCs w:val="false"/>
                <w:sz w:val="19"/>
                <w:szCs w:val="19"/>
              </w:rPr>
              <w:t xml:space="preserve">Unit + Integration/contract</w:t>
            </w:r>
          </w:p>
        </w:tc>
        <w:tc>
          <w:tcPr>
            <w:tcW w:type="dxa" w:w="3380"/>
            <w:tcMar>
              <w:top w:type="dxa" w:w="70"/>
              <w:left w:type="dxa" w:w="110"/>
              <w:bottom w:type="dxa" w:w="70"/>
              <w:right w:type="dxa" w:w="110"/>
            </w:tcMar>
            <w:vAlign w:val="center"/>
          </w:tcPr>
          <w:p>
            <w:pPr>
              <w:jc w:val="left"/>
            </w:pPr>
            <w:r>
              <w:rPr>
                <w:b w:val="false"/>
                <w:bCs w:val="false"/>
                <w:sz w:val="17"/>
                <w:szCs w:val="17"/>
              </w:rPr>
              <w:t xml:space="preserve">JUnit 5 + Mockito + AssertJ · Spring Boot Test + Testcontainers</w:t>
            </w:r>
          </w:p>
        </w:tc>
      </w:tr>
      <w:tr>
        <w:trPr>
          <w:cantSplit/>
        </w:trPr>
        <w:tc>
          <w:tcPr>
            <w:tcW w:type="dxa" w:w="500"/>
            <w:shd w:fill="EDF2FA" w:color="auto" w:val="clear"/>
            <w:tcMar>
              <w:top w:type="dxa" w:w="70"/>
              <w:left w:type="dxa" w:w="110"/>
              <w:bottom w:type="dxa" w:w="70"/>
              <w:right w:type="dxa" w:w="110"/>
            </w:tcMar>
            <w:vAlign w:val="center"/>
          </w:tcPr>
          <w:p>
            <w:pPr>
              <w:jc w:val="left"/>
            </w:pPr>
            <w:r>
              <w:rPr>
                <w:b w:val="false"/>
                <w:bCs w:val="false"/>
                <w:sz w:val="19"/>
                <w:szCs w:val="19"/>
              </w:rPr>
              <w:t xml:space="preserve">6</w:t>
            </w:r>
          </w:p>
        </w:tc>
        <w:tc>
          <w:tcPr>
            <w:tcW w:type="dxa" w:w="2900"/>
            <w:shd w:fill="EDF2FA" w:color="auto" w:val="clear"/>
            <w:tcMar>
              <w:top w:type="dxa" w:w="70"/>
              <w:left w:type="dxa" w:w="110"/>
              <w:bottom w:type="dxa" w:w="70"/>
              <w:right w:type="dxa" w:w="110"/>
            </w:tcMar>
            <w:vAlign w:val="center"/>
          </w:tcPr>
          <w:p>
            <w:pPr>
              <w:jc w:val="left"/>
            </w:pPr>
            <w:r>
              <w:rPr>
                <w:b w:val="false"/>
                <w:bCs w:val="false"/>
                <w:sz w:val="19"/>
                <w:szCs w:val="19"/>
              </w:rPr>
              <w:t xml:space="preserve">Materias y asignaciones (Curso↔Materia, Materia↔Profesor)</w:t>
            </w:r>
          </w:p>
        </w:tc>
        <w:tc>
          <w:tcPr>
            <w:tcW w:type="dxa" w:w="1350"/>
            <w:shd w:fill="EDF2FA" w:color="auto" w:val="clear"/>
            <w:tcMar>
              <w:top w:type="dxa" w:w="70"/>
              <w:left w:type="dxa" w:w="110"/>
              <w:bottom w:type="dxa" w:w="70"/>
              <w:right w:type="dxa" w:w="110"/>
            </w:tcMar>
            <w:vAlign w:val="center"/>
          </w:tcPr>
          <w:p>
            <w:pPr>
              <w:jc w:val="left"/>
            </w:pPr>
            <w:r>
              <w:rPr>
                <w:b/>
                <w:bCs/>
                <w:color w:val="2E7D32"/>
                <w:sz w:val="19"/>
                <w:szCs w:val="19"/>
              </w:rPr>
              <w:t xml:space="preserve">Determinista</w:t>
            </w:r>
          </w:p>
        </w:tc>
        <w:tc>
          <w:tcPr>
            <w:tcW w:type="dxa" w:w="1950"/>
            <w:shd w:fill="EDF2FA" w:color="auto" w:val="clear"/>
            <w:tcMar>
              <w:top w:type="dxa" w:w="70"/>
              <w:left w:type="dxa" w:w="110"/>
              <w:bottom w:type="dxa" w:w="70"/>
              <w:right w:type="dxa" w:w="110"/>
            </w:tcMar>
            <w:vAlign w:val="center"/>
          </w:tcPr>
          <w:p>
            <w:pPr>
              <w:jc w:val="left"/>
            </w:pPr>
            <w:r>
              <w:rPr>
                <w:b w:val="false"/>
                <w:bCs w:val="false"/>
                <w:sz w:val="19"/>
                <w:szCs w:val="19"/>
              </w:rPr>
              <w:t xml:space="preserve">Unit + Integration/contract</w:t>
            </w:r>
          </w:p>
        </w:tc>
        <w:tc>
          <w:tcPr>
            <w:tcW w:type="dxa" w:w="3380"/>
            <w:shd w:fill="EDF2FA" w:color="auto" w:val="clear"/>
            <w:tcMar>
              <w:top w:type="dxa" w:w="70"/>
              <w:left w:type="dxa" w:w="110"/>
              <w:bottom w:type="dxa" w:w="70"/>
              <w:right w:type="dxa" w:w="110"/>
            </w:tcMar>
            <w:vAlign w:val="center"/>
          </w:tcPr>
          <w:p>
            <w:pPr>
              <w:jc w:val="left"/>
            </w:pPr>
            <w:r>
              <w:rPr>
                <w:b w:val="false"/>
                <w:bCs w:val="false"/>
                <w:sz w:val="17"/>
                <w:szCs w:val="17"/>
              </w:rPr>
              <w:t xml:space="preserve">JUnit 5 + Mockito + AssertJ · Spring Boot Test + Testcontainers</w:t>
            </w:r>
          </w:p>
        </w:tc>
      </w:tr>
      <w:tr>
        <w:trPr>
          <w:cantSplit/>
        </w:trPr>
        <w:tc>
          <w:tcPr>
            <w:tcW w:type="dxa" w:w="500"/>
            <w:tcMar>
              <w:top w:type="dxa" w:w="70"/>
              <w:left w:type="dxa" w:w="110"/>
              <w:bottom w:type="dxa" w:w="70"/>
              <w:right w:type="dxa" w:w="110"/>
            </w:tcMar>
            <w:vAlign w:val="center"/>
          </w:tcPr>
          <w:p>
            <w:pPr>
              <w:jc w:val="left"/>
            </w:pPr>
            <w:r>
              <w:rPr>
                <w:b w:val="false"/>
                <w:bCs w:val="false"/>
                <w:sz w:val="19"/>
                <w:szCs w:val="19"/>
              </w:rPr>
              <w:t xml:space="preserve">7</w:t>
            </w:r>
          </w:p>
        </w:tc>
        <w:tc>
          <w:tcPr>
            <w:tcW w:type="dxa" w:w="2900"/>
            <w:tcMar>
              <w:top w:type="dxa" w:w="70"/>
              <w:left w:type="dxa" w:w="110"/>
              <w:bottom w:type="dxa" w:w="70"/>
              <w:right w:type="dxa" w:w="110"/>
            </w:tcMar>
            <w:vAlign w:val="center"/>
          </w:tcPr>
          <w:p>
            <w:pPr>
              <w:jc w:val="left"/>
            </w:pPr>
            <w:r>
              <w:rPr>
                <w:b w:val="false"/>
                <w:bCs w:val="false"/>
                <w:sz w:val="19"/>
                <w:szCs w:val="19"/>
              </w:rPr>
              <w:t xml:space="preserve">Estudiantes e Inscripciones</w:t>
            </w:r>
          </w:p>
        </w:tc>
        <w:tc>
          <w:tcPr>
            <w:tcW w:type="dxa" w:w="1350"/>
            <w:tcMar>
              <w:top w:type="dxa" w:w="70"/>
              <w:left w:type="dxa" w:w="110"/>
              <w:bottom w:type="dxa" w:w="70"/>
              <w:right w:type="dxa" w:w="110"/>
            </w:tcMar>
            <w:vAlign w:val="center"/>
          </w:tcPr>
          <w:p>
            <w:pPr>
              <w:jc w:val="left"/>
            </w:pPr>
            <w:r>
              <w:rPr>
                <w:b/>
                <w:bCs/>
                <w:color w:val="2E7D32"/>
                <w:sz w:val="19"/>
                <w:szCs w:val="19"/>
              </w:rPr>
              <w:t xml:space="preserve">Determinista</w:t>
            </w:r>
          </w:p>
        </w:tc>
        <w:tc>
          <w:tcPr>
            <w:tcW w:type="dxa" w:w="1950"/>
            <w:tcMar>
              <w:top w:type="dxa" w:w="70"/>
              <w:left w:type="dxa" w:w="110"/>
              <w:bottom w:type="dxa" w:w="70"/>
              <w:right w:type="dxa" w:w="110"/>
            </w:tcMar>
            <w:vAlign w:val="center"/>
          </w:tcPr>
          <w:p>
            <w:pPr>
              <w:jc w:val="left"/>
            </w:pPr>
            <w:r>
              <w:rPr>
                <w:b w:val="false"/>
                <w:bCs w:val="false"/>
                <w:sz w:val="19"/>
                <w:szCs w:val="19"/>
              </w:rPr>
              <w:t xml:space="preserve">Unit + Integration/contract</w:t>
            </w:r>
          </w:p>
        </w:tc>
        <w:tc>
          <w:tcPr>
            <w:tcW w:type="dxa" w:w="3380"/>
            <w:tcMar>
              <w:top w:type="dxa" w:w="70"/>
              <w:left w:type="dxa" w:w="110"/>
              <w:bottom w:type="dxa" w:w="70"/>
              <w:right w:type="dxa" w:w="110"/>
            </w:tcMar>
            <w:vAlign w:val="center"/>
          </w:tcPr>
          <w:p>
            <w:pPr>
              <w:jc w:val="left"/>
            </w:pPr>
            <w:r>
              <w:rPr>
                <w:b w:val="false"/>
                <w:bCs w:val="false"/>
                <w:sz w:val="17"/>
                <w:szCs w:val="17"/>
              </w:rPr>
              <w:t xml:space="preserve">JUnit 5 + Mockito + AssertJ · Spring Boot Test + Testcontainers</w:t>
            </w:r>
          </w:p>
        </w:tc>
      </w:tr>
      <w:tr>
        <w:trPr>
          <w:cantSplit/>
        </w:trPr>
        <w:tc>
          <w:tcPr>
            <w:tcW w:type="dxa" w:w="500"/>
            <w:shd w:fill="EDF2FA" w:color="auto" w:val="clear"/>
            <w:tcMar>
              <w:top w:type="dxa" w:w="70"/>
              <w:left w:type="dxa" w:w="110"/>
              <w:bottom w:type="dxa" w:w="70"/>
              <w:right w:type="dxa" w:w="110"/>
            </w:tcMar>
            <w:vAlign w:val="center"/>
          </w:tcPr>
          <w:p>
            <w:pPr>
              <w:jc w:val="left"/>
            </w:pPr>
            <w:r>
              <w:rPr>
                <w:b w:val="false"/>
                <w:bCs w:val="false"/>
                <w:sz w:val="19"/>
                <w:szCs w:val="19"/>
              </w:rPr>
              <w:t xml:space="preserve">8</w:t>
            </w:r>
          </w:p>
        </w:tc>
        <w:tc>
          <w:tcPr>
            <w:tcW w:type="dxa" w:w="2900"/>
            <w:shd w:fill="EDF2FA" w:color="auto" w:val="clear"/>
            <w:tcMar>
              <w:top w:type="dxa" w:w="70"/>
              <w:left w:type="dxa" w:w="110"/>
              <w:bottom w:type="dxa" w:w="70"/>
              <w:right w:type="dxa" w:w="110"/>
            </w:tcMar>
            <w:vAlign w:val="center"/>
          </w:tcPr>
          <w:p>
            <w:pPr>
              <w:jc w:val="left"/>
            </w:pPr>
            <w:r>
              <w:rPr>
                <w:b w:val="false"/>
                <w:bCs w:val="false"/>
                <w:sz w:val="19"/>
                <w:szCs w:val="19"/>
              </w:rPr>
              <w:t xml:space="preserve">Consulta de Profesores y sus asignaciones</w:t>
            </w:r>
          </w:p>
        </w:tc>
        <w:tc>
          <w:tcPr>
            <w:tcW w:type="dxa" w:w="1350"/>
            <w:shd w:fill="EDF2FA" w:color="auto" w:val="clear"/>
            <w:tcMar>
              <w:top w:type="dxa" w:w="70"/>
              <w:left w:type="dxa" w:w="110"/>
              <w:bottom w:type="dxa" w:w="70"/>
              <w:right w:type="dxa" w:w="110"/>
            </w:tcMar>
            <w:vAlign w:val="center"/>
          </w:tcPr>
          <w:p>
            <w:pPr>
              <w:jc w:val="left"/>
            </w:pPr>
            <w:r>
              <w:rPr>
                <w:b/>
                <w:bCs/>
                <w:color w:val="2E7D32"/>
                <w:sz w:val="19"/>
                <w:szCs w:val="19"/>
              </w:rPr>
              <w:t xml:space="preserve">Determinista</w:t>
            </w:r>
          </w:p>
        </w:tc>
        <w:tc>
          <w:tcPr>
            <w:tcW w:type="dxa" w:w="1950"/>
            <w:shd w:fill="EDF2FA" w:color="auto" w:val="clear"/>
            <w:tcMar>
              <w:top w:type="dxa" w:w="70"/>
              <w:left w:type="dxa" w:w="110"/>
              <w:bottom w:type="dxa" w:w="70"/>
              <w:right w:type="dxa" w:w="110"/>
            </w:tcMar>
            <w:vAlign w:val="center"/>
          </w:tcPr>
          <w:p>
            <w:pPr>
              <w:jc w:val="left"/>
            </w:pPr>
            <w:r>
              <w:rPr>
                <w:b w:val="false"/>
                <w:bCs w:val="false"/>
                <w:sz w:val="19"/>
                <w:szCs w:val="19"/>
              </w:rPr>
              <w:t xml:space="preserve">Unit + Integration/contract</w:t>
            </w:r>
          </w:p>
        </w:tc>
        <w:tc>
          <w:tcPr>
            <w:tcW w:type="dxa" w:w="3380"/>
            <w:shd w:fill="EDF2FA" w:color="auto" w:val="clear"/>
            <w:tcMar>
              <w:top w:type="dxa" w:w="70"/>
              <w:left w:type="dxa" w:w="110"/>
              <w:bottom w:type="dxa" w:w="70"/>
              <w:right w:type="dxa" w:w="110"/>
            </w:tcMar>
            <w:vAlign w:val="center"/>
          </w:tcPr>
          <w:p>
            <w:pPr>
              <w:jc w:val="left"/>
            </w:pPr>
            <w:r>
              <w:rPr>
                <w:b w:val="false"/>
                <w:bCs w:val="false"/>
                <w:sz w:val="17"/>
                <w:szCs w:val="17"/>
              </w:rPr>
              <w:t xml:space="preserve">JUnit 5 + Mockito + AssertJ · Spring Boot Test + Testcontainers</w:t>
            </w:r>
          </w:p>
        </w:tc>
      </w:tr>
      <w:tr>
        <w:trPr>
          <w:cantSplit/>
        </w:trPr>
        <w:tc>
          <w:tcPr>
            <w:tcW w:type="dxa" w:w="500"/>
            <w:tcMar>
              <w:top w:type="dxa" w:w="70"/>
              <w:left w:type="dxa" w:w="110"/>
              <w:bottom w:type="dxa" w:w="70"/>
              <w:right w:type="dxa" w:w="110"/>
            </w:tcMar>
            <w:vAlign w:val="center"/>
          </w:tcPr>
          <w:p>
            <w:pPr>
              <w:jc w:val="left"/>
            </w:pPr>
            <w:r>
              <w:rPr>
                <w:b w:val="false"/>
                <w:bCs w:val="false"/>
                <w:sz w:val="19"/>
                <w:szCs w:val="19"/>
              </w:rPr>
              <w:t xml:space="preserve">9</w:t>
            </w:r>
          </w:p>
        </w:tc>
        <w:tc>
          <w:tcPr>
            <w:tcW w:type="dxa" w:w="2900"/>
            <w:tcMar>
              <w:top w:type="dxa" w:w="70"/>
              <w:left w:type="dxa" w:w="110"/>
              <w:bottom w:type="dxa" w:w="70"/>
              <w:right w:type="dxa" w:w="110"/>
            </w:tcMar>
            <w:vAlign w:val="center"/>
          </w:tcPr>
          <w:p>
            <w:pPr>
              <w:jc w:val="left"/>
            </w:pPr>
            <w:r>
              <w:rPr>
                <w:b w:val="false"/>
                <w:bCs w:val="false"/>
                <w:sz w:val="19"/>
                <w:szCs w:val="19"/>
              </w:rPr>
              <w:t xml:space="preserve">Periodos de Evaluación (secuencia K1..K4, detección de solapes)</w:t>
            </w:r>
          </w:p>
        </w:tc>
        <w:tc>
          <w:tcPr>
            <w:tcW w:type="dxa" w:w="1350"/>
            <w:tcMar>
              <w:top w:type="dxa" w:w="70"/>
              <w:left w:type="dxa" w:w="110"/>
              <w:bottom w:type="dxa" w:w="70"/>
              <w:right w:type="dxa" w:w="110"/>
            </w:tcMar>
            <w:vAlign w:val="center"/>
          </w:tcPr>
          <w:p>
            <w:pPr>
              <w:jc w:val="left"/>
            </w:pPr>
            <w:r>
              <w:rPr>
                <w:b/>
                <w:bCs/>
                <w:color w:val="2E7D32"/>
                <w:sz w:val="19"/>
                <w:szCs w:val="19"/>
              </w:rPr>
              <w:t xml:space="preserve">Determinista</w:t>
            </w:r>
          </w:p>
        </w:tc>
        <w:tc>
          <w:tcPr>
            <w:tcW w:type="dxa" w:w="1950"/>
            <w:tcMar>
              <w:top w:type="dxa" w:w="70"/>
              <w:left w:type="dxa" w:w="110"/>
              <w:bottom w:type="dxa" w:w="70"/>
              <w:right w:type="dxa" w:w="110"/>
            </w:tcMar>
            <w:vAlign w:val="center"/>
          </w:tcPr>
          <w:p>
            <w:pPr>
              <w:jc w:val="left"/>
            </w:pPr>
            <w:r>
              <w:rPr>
                <w:b w:val="false"/>
                <w:bCs w:val="false"/>
                <w:sz w:val="19"/>
                <w:szCs w:val="19"/>
              </w:rPr>
              <w:t xml:space="preserve">Unit</w:t>
            </w:r>
          </w:p>
        </w:tc>
        <w:tc>
          <w:tcPr>
            <w:tcW w:type="dxa" w:w="3380"/>
            <w:tcMar>
              <w:top w:type="dxa" w:w="70"/>
              <w:left w:type="dxa" w:w="110"/>
              <w:bottom w:type="dxa" w:w="70"/>
              <w:right w:type="dxa" w:w="110"/>
            </w:tcMar>
            <w:vAlign w:val="center"/>
          </w:tcPr>
          <w:p>
            <w:pPr>
              <w:jc w:val="left"/>
            </w:pPr>
            <w:r>
              <w:rPr>
                <w:b w:val="false"/>
                <w:bCs w:val="false"/>
                <w:sz w:val="17"/>
                <w:szCs w:val="17"/>
              </w:rPr>
              <w:t xml:space="preserve">JUnit 5 + AssertJ (@ParameterizedTest para combinaciones de fechas)</w:t>
            </w:r>
          </w:p>
        </w:tc>
      </w:tr>
      <w:tr>
        <w:trPr>
          <w:cantSplit/>
        </w:trPr>
        <w:tc>
          <w:tcPr>
            <w:tcW w:type="dxa" w:w="500"/>
            <w:shd w:fill="EDF2FA" w:color="auto" w:val="clear"/>
            <w:tcMar>
              <w:top w:type="dxa" w:w="70"/>
              <w:left w:type="dxa" w:w="110"/>
              <w:bottom w:type="dxa" w:w="70"/>
              <w:right w:type="dxa" w:w="110"/>
            </w:tcMar>
            <w:vAlign w:val="center"/>
          </w:tcPr>
          <w:p>
            <w:pPr>
              <w:jc w:val="left"/>
            </w:pPr>
            <w:r>
              <w:rPr>
                <w:b w:val="false"/>
                <w:bCs w:val="false"/>
                <w:sz w:val="19"/>
                <w:szCs w:val="19"/>
              </w:rPr>
              <w:t xml:space="preserve">10</w:t>
            </w:r>
          </w:p>
        </w:tc>
        <w:tc>
          <w:tcPr>
            <w:tcW w:type="dxa" w:w="2900"/>
            <w:shd w:fill="EDF2FA" w:color="auto" w:val="clear"/>
            <w:tcMar>
              <w:top w:type="dxa" w:w="70"/>
              <w:left w:type="dxa" w:w="110"/>
              <w:bottom w:type="dxa" w:w="70"/>
              <w:right w:type="dxa" w:w="110"/>
            </w:tcMar>
            <w:vAlign w:val="center"/>
          </w:tcPr>
          <w:p>
            <w:pPr>
              <w:jc w:val="left"/>
            </w:pPr>
            <w:r>
              <w:rPr>
                <w:b w:val="false"/>
                <w:bCs w:val="false"/>
                <w:sz w:val="19"/>
                <w:szCs w:val="19"/>
              </w:rPr>
              <w:t xml:space="preserve">Secciones de Evaluación (ponderación que debe sumar 100, freeze/sticky)</w:t>
            </w:r>
          </w:p>
        </w:tc>
        <w:tc>
          <w:tcPr>
            <w:tcW w:type="dxa" w:w="1350"/>
            <w:shd w:fill="EDF2FA" w:color="auto" w:val="clear"/>
            <w:tcMar>
              <w:top w:type="dxa" w:w="70"/>
              <w:left w:type="dxa" w:w="110"/>
              <w:bottom w:type="dxa" w:w="70"/>
              <w:right w:type="dxa" w:w="110"/>
            </w:tcMar>
            <w:vAlign w:val="center"/>
          </w:tcPr>
          <w:p>
            <w:pPr>
              <w:jc w:val="left"/>
            </w:pPr>
            <w:r>
              <w:rPr>
                <w:b/>
                <w:bCs/>
                <w:color w:val="2E7D32"/>
                <w:sz w:val="19"/>
                <w:szCs w:val="19"/>
              </w:rPr>
              <w:t xml:space="preserve">Determinista</w:t>
            </w:r>
          </w:p>
        </w:tc>
        <w:tc>
          <w:tcPr>
            <w:tcW w:type="dxa" w:w="1950"/>
            <w:shd w:fill="EDF2FA" w:color="auto" w:val="clear"/>
            <w:tcMar>
              <w:top w:type="dxa" w:w="70"/>
              <w:left w:type="dxa" w:w="110"/>
              <w:bottom w:type="dxa" w:w="70"/>
              <w:right w:type="dxa" w:w="110"/>
            </w:tcMar>
            <w:vAlign w:val="center"/>
          </w:tcPr>
          <w:p>
            <w:pPr>
              <w:jc w:val="left"/>
            </w:pPr>
            <w:r>
              <w:rPr>
                <w:b w:val="false"/>
                <w:bCs w:val="false"/>
                <w:sz w:val="19"/>
                <w:szCs w:val="19"/>
              </w:rPr>
              <w:t xml:space="preserve">Unit</w:t>
            </w:r>
          </w:p>
        </w:tc>
        <w:tc>
          <w:tcPr>
            <w:tcW w:type="dxa" w:w="3380"/>
            <w:shd w:fill="EDF2FA" w:color="auto" w:val="clear"/>
            <w:tcMar>
              <w:top w:type="dxa" w:w="70"/>
              <w:left w:type="dxa" w:w="110"/>
              <w:bottom w:type="dxa" w:w="70"/>
              <w:right w:type="dxa" w:w="110"/>
            </w:tcMar>
            <w:vAlign w:val="center"/>
          </w:tcPr>
          <w:p>
            <w:pPr>
              <w:jc w:val="left"/>
            </w:pPr>
            <w:r>
              <w:rPr>
                <w:b w:val="false"/>
                <w:bCs w:val="false"/>
                <w:sz w:val="17"/>
                <w:szCs w:val="17"/>
              </w:rPr>
              <w:t xml:space="preserve">JUnit 5 + AssertJ</w:t>
            </w:r>
          </w:p>
        </w:tc>
      </w:tr>
      <w:tr>
        <w:trPr>
          <w:cantSplit/>
        </w:trPr>
        <w:tc>
          <w:tcPr>
            <w:tcW w:type="dxa" w:w="500"/>
            <w:tcMar>
              <w:top w:type="dxa" w:w="70"/>
              <w:left w:type="dxa" w:w="110"/>
              <w:bottom w:type="dxa" w:w="70"/>
              <w:right w:type="dxa" w:w="110"/>
            </w:tcMar>
            <w:vAlign w:val="center"/>
          </w:tcPr>
          <w:p>
            <w:pPr>
              <w:jc w:val="left"/>
            </w:pPr>
            <w:r>
              <w:rPr>
                <w:b w:val="false"/>
                <w:bCs w:val="false"/>
                <w:sz w:val="19"/>
                <w:szCs w:val="19"/>
              </w:rPr>
              <w:t xml:space="preserve">11</w:t>
            </w:r>
          </w:p>
        </w:tc>
        <w:tc>
          <w:tcPr>
            <w:tcW w:type="dxa" w:w="2900"/>
            <w:tcMar>
              <w:top w:type="dxa" w:w="70"/>
              <w:left w:type="dxa" w:w="110"/>
              <w:bottom w:type="dxa" w:w="70"/>
              <w:right w:type="dxa" w:w="110"/>
            </w:tcMar>
            <w:vAlign w:val="center"/>
          </w:tcPr>
          <w:p>
            <w:pPr>
              <w:jc w:val="left"/>
            </w:pPr>
            <w:r>
              <w:rPr>
                <w:b w:val="false"/>
                <w:bCs w:val="false"/>
                <w:sz w:val="19"/>
                <w:szCs w:val="19"/>
              </w:rPr>
              <w:t xml:space="preserve">Cálculo de Notas y Calificaciones (regla floor, redondeo half-up, consolidación)</w:t>
            </w:r>
          </w:p>
        </w:tc>
        <w:tc>
          <w:tcPr>
            <w:tcW w:type="dxa" w:w="1350"/>
            <w:tcMar>
              <w:top w:type="dxa" w:w="70"/>
              <w:left w:type="dxa" w:w="110"/>
              <w:bottom w:type="dxa" w:w="70"/>
              <w:right w:type="dxa" w:w="110"/>
            </w:tcMar>
            <w:vAlign w:val="center"/>
          </w:tcPr>
          <w:p>
            <w:pPr>
              <w:jc w:val="left"/>
            </w:pPr>
            <w:r>
              <w:rPr>
                <w:b/>
                <w:bCs/>
                <w:color w:val="2E7D32"/>
                <w:sz w:val="19"/>
                <w:szCs w:val="19"/>
              </w:rPr>
              <w:t xml:space="preserve">Determinista</w:t>
            </w:r>
          </w:p>
        </w:tc>
        <w:tc>
          <w:tcPr>
            <w:tcW w:type="dxa" w:w="1950"/>
            <w:tcMar>
              <w:top w:type="dxa" w:w="70"/>
              <w:left w:type="dxa" w:w="110"/>
              <w:bottom w:type="dxa" w:w="70"/>
              <w:right w:type="dxa" w:w="110"/>
            </w:tcMar>
            <w:vAlign w:val="center"/>
          </w:tcPr>
          <w:p>
            <w:pPr>
              <w:jc w:val="left"/>
            </w:pPr>
            <w:r>
              <w:rPr>
                <w:b w:val="false"/>
                <w:bCs w:val="false"/>
                <w:sz w:val="19"/>
                <w:szCs w:val="19"/>
              </w:rPr>
              <w:t xml:space="preserve">Unit</w:t>
            </w:r>
          </w:p>
        </w:tc>
        <w:tc>
          <w:tcPr>
            <w:tcW w:type="dxa" w:w="3380"/>
            <w:tcMar>
              <w:top w:type="dxa" w:w="70"/>
              <w:left w:type="dxa" w:w="110"/>
              <w:bottom w:type="dxa" w:w="70"/>
              <w:right w:type="dxa" w:w="110"/>
            </w:tcMar>
            <w:vAlign w:val="center"/>
          </w:tcPr>
          <w:p>
            <w:pPr>
              <w:jc w:val="left"/>
            </w:pPr>
            <w:r>
              <w:rPr>
                <w:b w:val="false"/>
                <w:bCs w:val="false"/>
                <w:sz w:val="17"/>
                <w:szCs w:val="17"/>
              </w:rPr>
              <w:t xml:space="preserve">JUnit 5 + AssertJ</w:t>
            </w:r>
          </w:p>
        </w:tc>
      </w:tr>
      <w:tr>
        <w:trPr>
          <w:cantSplit/>
        </w:trPr>
        <w:tc>
          <w:tcPr>
            <w:tcW w:type="dxa" w:w="500"/>
            <w:shd w:fill="EDF2FA" w:color="auto" w:val="clear"/>
            <w:tcMar>
              <w:top w:type="dxa" w:w="70"/>
              <w:left w:type="dxa" w:w="110"/>
              <w:bottom w:type="dxa" w:w="70"/>
              <w:right w:type="dxa" w:w="110"/>
            </w:tcMar>
            <w:vAlign w:val="center"/>
          </w:tcPr>
          <w:p>
            <w:pPr>
              <w:jc w:val="left"/>
            </w:pPr>
            <w:r>
              <w:rPr>
                <w:b w:val="false"/>
                <w:bCs w:val="false"/>
                <w:sz w:val="19"/>
                <w:szCs w:val="19"/>
              </w:rPr>
              <w:t xml:space="preserve">12</w:t>
            </w:r>
          </w:p>
        </w:tc>
        <w:tc>
          <w:tcPr>
            <w:tcW w:type="dxa" w:w="2900"/>
            <w:shd w:fill="EDF2FA" w:color="auto" w:val="clear"/>
            <w:tcMar>
              <w:top w:type="dxa" w:w="70"/>
              <w:left w:type="dxa" w:w="110"/>
              <w:bottom w:type="dxa" w:w="70"/>
              <w:right w:type="dxa" w:w="110"/>
            </w:tcMar>
            <w:vAlign w:val="center"/>
          </w:tcPr>
          <w:p>
            <w:pPr>
              <w:jc w:val="left"/>
            </w:pPr>
            <w:r>
              <w:rPr>
                <w:b w:val="false"/>
                <w:bCs w:val="false"/>
                <w:sz w:val="19"/>
                <w:szCs w:val="19"/>
              </w:rPr>
              <w:t xml:space="preserve">Aislamiento multi-tenant (Row-Level Security en PostgreSQL)</w:t>
            </w:r>
          </w:p>
        </w:tc>
        <w:tc>
          <w:tcPr>
            <w:tcW w:type="dxa" w:w="1350"/>
            <w:shd w:fill="EDF2FA" w:color="auto" w:val="clear"/>
            <w:tcMar>
              <w:top w:type="dxa" w:w="70"/>
              <w:left w:type="dxa" w:w="110"/>
              <w:bottom w:type="dxa" w:w="70"/>
              <w:right w:type="dxa" w:w="110"/>
            </w:tcMar>
            <w:vAlign w:val="center"/>
          </w:tcPr>
          <w:p>
            <w:pPr>
              <w:jc w:val="left"/>
            </w:pPr>
            <w:r>
              <w:rPr>
                <w:b/>
                <w:bCs/>
                <w:color w:val="2E7D32"/>
                <w:sz w:val="19"/>
                <w:szCs w:val="19"/>
              </w:rPr>
              <w:t xml:space="preserve">Determinista</w:t>
            </w:r>
          </w:p>
        </w:tc>
        <w:tc>
          <w:tcPr>
            <w:tcW w:type="dxa" w:w="1950"/>
            <w:shd w:fill="EDF2FA" w:color="auto" w:val="clear"/>
            <w:tcMar>
              <w:top w:type="dxa" w:w="70"/>
              <w:left w:type="dxa" w:w="110"/>
              <w:bottom w:type="dxa" w:w="70"/>
              <w:right w:type="dxa" w:w="110"/>
            </w:tcMar>
            <w:vAlign w:val="center"/>
          </w:tcPr>
          <w:p>
            <w:pPr>
              <w:jc w:val="left"/>
            </w:pPr>
            <w:r>
              <w:rPr>
                <w:b w:val="false"/>
                <w:bCs w:val="false"/>
                <w:sz w:val="19"/>
                <w:szCs w:val="19"/>
              </w:rPr>
              <w:t xml:space="preserve">Integration/contract</w:t>
            </w:r>
          </w:p>
        </w:tc>
        <w:tc>
          <w:tcPr>
            <w:tcW w:type="dxa" w:w="3380"/>
            <w:shd w:fill="EDF2FA" w:color="auto" w:val="clear"/>
            <w:tcMar>
              <w:top w:type="dxa" w:w="70"/>
              <w:left w:type="dxa" w:w="110"/>
              <w:bottom w:type="dxa" w:w="70"/>
              <w:right w:type="dxa" w:w="110"/>
            </w:tcMar>
            <w:vAlign w:val="center"/>
          </w:tcPr>
          <w:p>
            <w:pPr>
              <w:jc w:val="left"/>
            </w:pPr>
            <w:r>
              <w:rPr>
                <w:b w:val="false"/>
                <w:bCs w:val="false"/>
                <w:sz w:val="17"/>
                <w:szCs w:val="17"/>
              </w:rPr>
              <w:t xml:space="preserve">Spring Boot Test + Testcontainers (PostgreSQL real)</w:t>
            </w:r>
          </w:p>
        </w:tc>
      </w:tr>
      <w:tr>
        <w:trPr>
          <w:cantSplit/>
        </w:trPr>
        <w:tc>
          <w:tcPr>
            <w:tcW w:type="dxa" w:w="500"/>
            <w:tcMar>
              <w:top w:type="dxa" w:w="70"/>
              <w:left w:type="dxa" w:w="110"/>
              <w:bottom w:type="dxa" w:w="70"/>
              <w:right w:type="dxa" w:w="110"/>
            </w:tcMar>
            <w:vAlign w:val="center"/>
          </w:tcPr>
          <w:p>
            <w:pPr>
              <w:jc w:val="left"/>
            </w:pPr>
            <w:r>
              <w:rPr>
                <w:b w:val="false"/>
                <w:bCs w:val="false"/>
                <w:sz w:val="19"/>
                <w:szCs w:val="19"/>
              </w:rPr>
              <w:t xml:space="preserve">13</w:t>
            </w:r>
          </w:p>
        </w:tc>
        <w:tc>
          <w:tcPr>
            <w:tcW w:type="dxa" w:w="2900"/>
            <w:tcMar>
              <w:top w:type="dxa" w:w="70"/>
              <w:left w:type="dxa" w:w="110"/>
              <w:bottom w:type="dxa" w:w="70"/>
              <w:right w:type="dxa" w:w="110"/>
            </w:tcMar>
            <w:vAlign w:val="center"/>
          </w:tcPr>
          <w:p>
            <w:pPr>
              <w:jc w:val="left"/>
            </w:pPr>
            <w:r>
              <w:rPr>
                <w:b w:val="false"/>
                <w:bCs w:val="false"/>
                <w:sz w:val="19"/>
                <w:szCs w:val="19"/>
              </w:rPr>
              <w:t xml:space="preserve">Arquitectura modular (límites entre los 5 módulos de Spring Modulith)</w:t>
            </w:r>
          </w:p>
        </w:tc>
        <w:tc>
          <w:tcPr>
            <w:tcW w:type="dxa" w:w="1350"/>
            <w:tcMar>
              <w:top w:type="dxa" w:w="70"/>
              <w:left w:type="dxa" w:w="110"/>
              <w:bottom w:type="dxa" w:w="70"/>
              <w:right w:type="dxa" w:w="110"/>
            </w:tcMar>
            <w:vAlign w:val="center"/>
          </w:tcPr>
          <w:p>
            <w:pPr>
              <w:jc w:val="left"/>
            </w:pPr>
            <w:r>
              <w:rPr>
                <w:b/>
                <w:bCs/>
                <w:color w:val="2E7D32"/>
                <w:sz w:val="19"/>
                <w:szCs w:val="19"/>
              </w:rPr>
              <w:t xml:space="preserve">Determinista</w:t>
            </w:r>
          </w:p>
        </w:tc>
        <w:tc>
          <w:tcPr>
            <w:tcW w:type="dxa" w:w="1950"/>
            <w:tcMar>
              <w:top w:type="dxa" w:w="70"/>
              <w:left w:type="dxa" w:w="110"/>
              <w:bottom w:type="dxa" w:w="70"/>
              <w:right w:type="dxa" w:w="110"/>
            </w:tcMar>
            <w:vAlign w:val="center"/>
          </w:tcPr>
          <w:p>
            <w:pPr>
              <w:jc w:val="left"/>
            </w:pPr>
            <w:r>
              <w:rPr>
                <w:b w:val="false"/>
                <w:bCs w:val="false"/>
                <w:sz w:val="19"/>
                <w:szCs w:val="19"/>
              </w:rPr>
              <w:t xml:space="preserve">Integration/contract (fitness function de arquitectura)</w:t>
            </w:r>
          </w:p>
        </w:tc>
        <w:tc>
          <w:tcPr>
            <w:tcW w:type="dxa" w:w="3380"/>
            <w:tcMar>
              <w:top w:type="dxa" w:w="70"/>
              <w:left w:type="dxa" w:w="110"/>
              <w:bottom w:type="dxa" w:w="70"/>
              <w:right w:type="dxa" w:w="110"/>
            </w:tcMar>
            <w:vAlign w:val="center"/>
          </w:tcPr>
          <w:p>
            <w:pPr>
              <w:jc w:val="left"/>
            </w:pPr>
            <w:r>
              <w:rPr>
                <w:b w:val="false"/>
                <w:bCs w:val="false"/>
                <w:sz w:val="17"/>
                <w:szCs w:val="17"/>
              </w:rPr>
              <w:t xml:space="preserve">Spring Modulith Test (ApplicationModules.verify(), análisis estático de bytecode)</w:t>
            </w:r>
          </w:p>
        </w:tc>
      </w:tr>
      <w:tr>
        <w:trPr>
          <w:cantSplit/>
        </w:trPr>
        <w:tc>
          <w:tcPr>
            <w:tcW w:type="dxa" w:w="500"/>
            <w:shd w:fill="EDF2FA" w:color="auto" w:val="clear"/>
            <w:tcMar>
              <w:top w:type="dxa" w:w="70"/>
              <w:left w:type="dxa" w:w="110"/>
              <w:bottom w:type="dxa" w:w="70"/>
              <w:right w:type="dxa" w:w="110"/>
            </w:tcMar>
            <w:vAlign w:val="center"/>
          </w:tcPr>
          <w:p>
            <w:pPr>
              <w:jc w:val="left"/>
            </w:pPr>
            <w:r>
              <w:rPr>
                <w:b w:val="false"/>
                <w:bCs w:val="false"/>
                <w:sz w:val="19"/>
                <w:szCs w:val="19"/>
              </w:rPr>
              <w:t xml:space="preserve">14</w:t>
            </w:r>
          </w:p>
        </w:tc>
        <w:tc>
          <w:tcPr>
            <w:tcW w:type="dxa" w:w="2900"/>
            <w:shd w:fill="EDF2FA" w:color="auto" w:val="clear"/>
            <w:tcMar>
              <w:top w:type="dxa" w:w="70"/>
              <w:left w:type="dxa" w:w="110"/>
              <w:bottom w:type="dxa" w:w="70"/>
              <w:right w:type="dxa" w:w="110"/>
            </w:tcMar>
            <w:vAlign w:val="center"/>
          </w:tcPr>
          <w:p>
            <w:pPr>
              <w:jc w:val="left"/>
            </w:pPr>
            <w:r>
              <w:rPr>
                <w:b w:val="false"/>
                <w:bCs w:val="false"/>
                <w:sz w:val="19"/>
                <w:szCs w:val="19"/>
              </w:rPr>
              <w:t xml:space="preserve">Frontend Angular (consolas CRUD: login, usuarios, tenants, académico)</w:t>
            </w:r>
          </w:p>
        </w:tc>
        <w:tc>
          <w:tcPr>
            <w:tcW w:type="dxa" w:w="1350"/>
            <w:shd w:fill="EDF2FA" w:color="auto" w:val="clear"/>
            <w:tcMar>
              <w:top w:type="dxa" w:w="70"/>
              <w:left w:type="dxa" w:w="110"/>
              <w:bottom w:type="dxa" w:w="70"/>
              <w:right w:type="dxa" w:w="110"/>
            </w:tcMar>
            <w:vAlign w:val="center"/>
          </w:tcPr>
          <w:p>
            <w:pPr>
              <w:jc w:val="left"/>
            </w:pPr>
            <w:r>
              <w:rPr>
                <w:b/>
                <w:bCs/>
                <w:color w:val="2E7D32"/>
                <w:sz w:val="19"/>
                <w:szCs w:val="19"/>
              </w:rPr>
              <w:t xml:space="preserve">Determinista</w:t>
            </w:r>
          </w:p>
        </w:tc>
        <w:tc>
          <w:tcPr>
            <w:tcW w:type="dxa" w:w="1950"/>
            <w:shd w:fill="EDF2FA" w:color="auto" w:val="clear"/>
            <w:tcMar>
              <w:top w:type="dxa" w:w="70"/>
              <w:left w:type="dxa" w:w="110"/>
              <w:bottom w:type="dxa" w:w="70"/>
              <w:right w:type="dxa" w:w="110"/>
            </w:tcMar>
            <w:vAlign w:val="center"/>
          </w:tcPr>
          <w:p>
            <w:pPr>
              <w:jc w:val="left"/>
            </w:pPr>
            <w:r>
              <w:rPr>
                <w:b w:val="false"/>
                <w:bCs w:val="false"/>
                <w:sz w:val="19"/>
                <w:szCs w:val="19"/>
              </w:rPr>
              <w:t xml:space="preserve">Unit + UI/E2E web</w:t>
            </w:r>
          </w:p>
        </w:tc>
        <w:tc>
          <w:tcPr>
            <w:tcW w:type="dxa" w:w="3380"/>
            <w:shd w:fill="EDF2FA" w:color="auto" w:val="clear"/>
            <w:tcMar>
              <w:top w:type="dxa" w:w="70"/>
              <w:left w:type="dxa" w:w="110"/>
              <w:bottom w:type="dxa" w:w="70"/>
              <w:right w:type="dxa" w:w="110"/>
            </w:tcMar>
            <w:vAlign w:val="center"/>
          </w:tcPr>
          <w:p>
            <w:pPr>
              <w:jc w:val="left"/>
            </w:pPr>
            <w:r>
              <w:rPr>
                <w:b w:val="false"/>
                <w:bCs w:val="false"/>
                <w:sz w:val="17"/>
                <w:szCs w:val="17"/>
              </w:rPr>
              <w:t xml:space="preserve">Vitest (servicios, guards, interceptores) · Playwright (flujos de pantalla completos — pendiente de incorporar)</w:t>
            </w:r>
          </w:p>
        </w:tc>
      </w:tr>
      <w:tr>
        <w:trPr>
          <w:cantSplit/>
        </w:trPr>
        <w:tc>
          <w:tcPr>
            <w:tcW w:type="dxa" w:w="500"/>
            <w:tcMar>
              <w:top w:type="dxa" w:w="70"/>
              <w:left w:type="dxa" w:w="110"/>
              <w:bottom w:type="dxa" w:w="70"/>
              <w:right w:type="dxa" w:w="110"/>
            </w:tcMar>
            <w:vAlign w:val="center"/>
          </w:tcPr>
          <w:p>
            <w:pPr>
              <w:jc w:val="left"/>
            </w:pPr>
            <w:r>
              <w:rPr>
                <w:b w:val="false"/>
                <w:bCs w:val="false"/>
                <w:sz w:val="19"/>
                <w:szCs w:val="19"/>
              </w:rPr>
              <w:t xml:space="preserve">15</w:t>
            </w:r>
          </w:p>
        </w:tc>
        <w:tc>
          <w:tcPr>
            <w:tcW w:type="dxa" w:w="2900"/>
            <w:tcMar>
              <w:top w:type="dxa" w:w="70"/>
              <w:left w:type="dxa" w:w="110"/>
              <w:bottom w:type="dxa" w:w="70"/>
              <w:right w:type="dxa" w:w="110"/>
            </w:tcMar>
            <w:vAlign w:val="center"/>
          </w:tcPr>
          <w:p>
            <w:pPr>
              <w:jc w:val="left"/>
            </w:pPr>
            <w:r>
              <w:rPr>
                <w:b w:val="false"/>
                <w:bCs w:val="false"/>
                <w:sz w:val="19"/>
                <w:szCs w:val="19"/>
              </w:rPr>
              <w:t xml:space="preserve">Integración con el sistema estatal SIE (código RUDE, Resilience4j)</w:t>
            </w:r>
          </w:p>
        </w:tc>
        <w:tc>
          <w:tcPr>
            <w:tcW w:type="dxa" w:w="1350"/>
            <w:tcMar>
              <w:top w:type="dxa" w:w="70"/>
              <w:left w:type="dxa" w:w="110"/>
              <w:bottom w:type="dxa" w:w="70"/>
              <w:right w:type="dxa" w:w="110"/>
            </w:tcMar>
            <w:vAlign w:val="center"/>
          </w:tcPr>
          <w:p>
            <w:pPr>
              <w:jc w:val="left"/>
            </w:pPr>
            <w:r>
              <w:rPr>
                <w:b/>
                <w:bCs/>
                <w:color w:val="2E7D32"/>
                <w:sz w:val="19"/>
                <w:szCs w:val="19"/>
              </w:rPr>
              <w:t xml:space="preserve">Determinista</w:t>
            </w:r>
          </w:p>
        </w:tc>
        <w:tc>
          <w:tcPr>
            <w:tcW w:type="dxa" w:w="1950"/>
            <w:tcMar>
              <w:top w:type="dxa" w:w="70"/>
              <w:left w:type="dxa" w:w="110"/>
              <w:bottom w:type="dxa" w:w="70"/>
              <w:right w:type="dxa" w:w="110"/>
            </w:tcMar>
            <w:vAlign w:val="center"/>
          </w:tcPr>
          <w:p>
            <w:pPr>
              <w:jc w:val="left"/>
            </w:pPr>
            <w:r>
              <w:rPr>
                <w:b w:val="false"/>
                <w:bCs w:val="false"/>
                <w:sz w:val="19"/>
                <w:szCs w:val="19"/>
              </w:rPr>
              <w:t xml:space="preserve">Integration/contract</w:t>
            </w:r>
          </w:p>
        </w:tc>
        <w:tc>
          <w:tcPr>
            <w:tcW w:type="dxa" w:w="3380"/>
            <w:tcMar>
              <w:top w:type="dxa" w:w="70"/>
              <w:left w:type="dxa" w:w="110"/>
              <w:bottom w:type="dxa" w:w="70"/>
              <w:right w:type="dxa" w:w="110"/>
            </w:tcMar>
            <w:vAlign w:val="center"/>
          </w:tcPr>
          <w:p>
            <w:pPr>
              <w:jc w:val="left"/>
            </w:pPr>
            <w:r>
              <w:rPr>
                <w:b w:val="false"/>
                <w:bCs w:val="false"/>
                <w:sz w:val="17"/>
                <w:szCs w:val="17"/>
              </w:rPr>
              <w:t xml:space="preserve">Spring Boot Test + WireMock (mock del servicio SIE — pendiente de incorporar)</w:t>
            </w:r>
          </w:p>
        </w:tc>
      </w:tr>
      <w:tr>
        <w:trPr>
          <w:cantSplit/>
        </w:trPr>
        <w:tc>
          <w:tcPr>
            <w:tcW w:type="dxa" w:w="500"/>
            <w:shd w:fill="EDF2FA" w:color="auto" w:val="clear"/>
            <w:tcMar>
              <w:top w:type="dxa" w:w="70"/>
              <w:left w:type="dxa" w:w="110"/>
              <w:bottom w:type="dxa" w:w="70"/>
              <w:right w:type="dxa" w:w="110"/>
            </w:tcMar>
            <w:vAlign w:val="center"/>
          </w:tcPr>
          <w:p>
            <w:pPr>
              <w:jc w:val="left"/>
            </w:pPr>
            <w:r>
              <w:rPr>
                <w:b w:val="false"/>
                <w:bCs w:val="false"/>
                <w:sz w:val="19"/>
                <w:szCs w:val="19"/>
              </w:rPr>
              <w:t xml:space="preserve">16</w:t>
            </w:r>
          </w:p>
        </w:tc>
        <w:tc>
          <w:tcPr>
            <w:tcW w:type="dxa" w:w="2900"/>
            <w:shd w:fill="EDF2FA" w:color="auto" w:val="clear"/>
            <w:tcMar>
              <w:top w:type="dxa" w:w="70"/>
              <w:left w:type="dxa" w:w="110"/>
              <w:bottom w:type="dxa" w:w="70"/>
              <w:right w:type="dxa" w:w="110"/>
            </w:tcMar>
            <w:vAlign w:val="center"/>
          </w:tcPr>
          <w:p>
            <w:pPr>
              <w:jc w:val="left"/>
            </w:pPr>
            <w:r>
              <w:rPr>
                <w:b w:val="false"/>
                <w:bCs w:val="false"/>
                <w:sz w:val="19"/>
                <w:szCs w:val="19"/>
              </w:rPr>
              <w:t xml:space="preserve">Chat libre con el asistente LLM (POST /api/v1/ai/chat, Ollama / Open WebUI)</w:t>
            </w:r>
          </w:p>
        </w:tc>
        <w:tc>
          <w:tcPr>
            <w:tcW w:type="dxa" w:w="1350"/>
            <w:shd w:fill="EDF2FA" w:color="auto" w:val="clear"/>
            <w:tcMar>
              <w:top w:type="dxa" w:w="70"/>
              <w:left w:type="dxa" w:w="110"/>
              <w:bottom w:type="dxa" w:w="70"/>
              <w:right w:type="dxa" w:w="110"/>
            </w:tcMar>
            <w:vAlign w:val="center"/>
          </w:tcPr>
          <w:p>
            <w:pPr>
              <w:jc w:val="left"/>
            </w:pPr>
            <w:r>
              <w:rPr>
                <w:b/>
                <w:bCs/>
                <w:color w:val="B45309"/>
                <w:sz w:val="19"/>
                <w:szCs w:val="19"/>
              </w:rPr>
              <w:t xml:space="preserve">Probabilística</w:t>
            </w:r>
          </w:p>
        </w:tc>
        <w:tc>
          <w:tcPr>
            <w:tcW w:type="dxa" w:w="1950"/>
            <w:shd w:fill="EDF2FA" w:color="auto" w:val="clear"/>
            <w:tcMar>
              <w:top w:type="dxa" w:w="70"/>
              <w:left w:type="dxa" w:w="110"/>
              <w:bottom w:type="dxa" w:w="70"/>
              <w:right w:type="dxa" w:w="110"/>
            </w:tcMar>
            <w:vAlign w:val="center"/>
          </w:tcPr>
          <w:p>
            <w:pPr>
              <w:jc w:val="left"/>
            </w:pPr>
            <w:r>
              <w:rPr>
                <w:b w:val="false"/>
                <w:bCs w:val="false"/>
                <w:sz w:val="19"/>
                <w:szCs w:val="19"/>
              </w:rPr>
              <w:t xml:space="preserve">Evals de IA (offline) + Red-teaming + Monitoreo en producción</w:t>
            </w:r>
          </w:p>
        </w:tc>
        <w:tc>
          <w:tcPr>
            <w:tcW w:type="dxa" w:w="3380"/>
            <w:shd w:fill="EDF2FA" w:color="auto" w:val="clear"/>
            <w:tcMar>
              <w:top w:type="dxa" w:w="70"/>
              <w:left w:type="dxa" w:w="110"/>
              <w:bottom w:type="dxa" w:w="70"/>
              <w:right w:type="dxa" w:w="110"/>
            </w:tcMar>
            <w:vAlign w:val="center"/>
          </w:tcPr>
          <w:p>
            <w:pPr>
              <w:jc w:val="left"/>
            </w:pPr>
            <w:r>
              <w:rPr>
                <w:b w:val="false"/>
                <w:bCs w:val="false"/>
                <w:sz w:val="17"/>
                <w:szCs w:val="17"/>
              </w:rPr>
              <w:t xml:space="preserve">DeepEval / RAGAS-style con dataset dorado y umbral · promptfoo (inyección de prompt, fuga de datos entre tenants) · Langfuse (trazas en producción)</w:t>
            </w:r>
          </w:p>
        </w:tc>
      </w:tr>
      <w:tr>
        <w:trPr>
          <w:cantSplit/>
        </w:trPr>
        <w:tc>
          <w:tcPr>
            <w:tcW w:type="dxa" w:w="500"/>
            <w:tcMar>
              <w:top w:type="dxa" w:w="70"/>
              <w:left w:type="dxa" w:w="110"/>
              <w:bottom w:type="dxa" w:w="70"/>
              <w:right w:type="dxa" w:w="110"/>
            </w:tcMar>
            <w:vAlign w:val="center"/>
          </w:tcPr>
          <w:p>
            <w:pPr>
              <w:jc w:val="left"/>
            </w:pPr>
            <w:r>
              <w:rPr>
                <w:b w:val="false"/>
                <w:bCs w:val="false"/>
                <w:sz w:val="19"/>
                <w:szCs w:val="19"/>
              </w:rPr>
              <w:t xml:space="preserve">17a</w:t>
            </w:r>
          </w:p>
        </w:tc>
        <w:tc>
          <w:tcPr>
            <w:tcW w:type="dxa" w:w="2900"/>
            <w:tcMar>
              <w:top w:type="dxa" w:w="70"/>
              <w:left w:type="dxa" w:w="110"/>
              <w:bottom w:type="dxa" w:w="70"/>
              <w:right w:type="dxa" w:w="110"/>
            </w:tcMar>
            <w:vAlign w:val="center"/>
          </w:tcPr>
          <w:p>
            <w:pPr>
              <w:jc w:val="left"/>
            </w:pPr>
            <w:r>
              <w:rPr>
                <w:b w:val="false"/>
                <w:bCs w:val="false"/>
                <w:sz w:val="19"/>
                <w:szCs w:val="19"/>
              </w:rPr>
              <w:t xml:space="preserve">Extracción de consulta estructurada — parseo, reintento y validación del JSON alrededor de la respuesta del LLM</w:t>
            </w:r>
          </w:p>
        </w:tc>
        <w:tc>
          <w:tcPr>
            <w:tcW w:type="dxa" w:w="1350"/>
            <w:tcMar>
              <w:top w:type="dxa" w:w="70"/>
              <w:left w:type="dxa" w:w="110"/>
              <w:bottom w:type="dxa" w:w="70"/>
              <w:right w:type="dxa" w:w="110"/>
            </w:tcMar>
            <w:vAlign w:val="center"/>
          </w:tcPr>
          <w:p>
            <w:pPr>
              <w:jc w:val="left"/>
            </w:pPr>
            <w:r>
              <w:rPr>
                <w:b/>
                <w:bCs/>
                <w:color w:val="2E7D32"/>
                <w:sz w:val="19"/>
                <w:szCs w:val="19"/>
              </w:rPr>
              <w:t xml:space="preserve">Determinista</w:t>
            </w:r>
          </w:p>
        </w:tc>
        <w:tc>
          <w:tcPr>
            <w:tcW w:type="dxa" w:w="1950"/>
            <w:tcMar>
              <w:top w:type="dxa" w:w="70"/>
              <w:left w:type="dxa" w:w="110"/>
              <w:bottom w:type="dxa" w:w="70"/>
              <w:right w:type="dxa" w:w="110"/>
            </w:tcMar>
            <w:vAlign w:val="center"/>
          </w:tcPr>
          <w:p>
            <w:pPr>
              <w:jc w:val="left"/>
            </w:pPr>
            <w:r>
              <w:rPr>
                <w:b w:val="false"/>
                <w:bCs w:val="false"/>
                <w:sz w:val="19"/>
                <w:szCs w:val="19"/>
              </w:rPr>
              <w:t xml:space="preserve">Integration/contract (con el LLM mockeado)</w:t>
            </w:r>
          </w:p>
        </w:tc>
        <w:tc>
          <w:tcPr>
            <w:tcW w:type="dxa" w:w="3380"/>
            <w:tcMar>
              <w:top w:type="dxa" w:w="70"/>
              <w:left w:type="dxa" w:w="110"/>
              <w:bottom w:type="dxa" w:w="70"/>
              <w:right w:type="dxa" w:w="110"/>
            </w:tcMar>
            <w:vAlign w:val="center"/>
          </w:tcPr>
          <w:p>
            <w:pPr>
              <w:jc w:val="left"/>
            </w:pPr>
            <w:r>
              <w:rPr>
                <w:b w:val="false"/>
                <w:bCs w:val="false"/>
                <w:sz w:val="17"/>
                <w:szCs w:val="17"/>
              </w:rPr>
              <w:t xml:space="preserve">JUnit 5 + Mockito (LlmPort simulado con respuestas fijas)</w:t>
            </w:r>
          </w:p>
        </w:tc>
      </w:tr>
      <w:tr>
        <w:trPr>
          <w:cantSplit/>
        </w:trPr>
        <w:tc>
          <w:tcPr>
            <w:tcW w:type="dxa" w:w="500"/>
            <w:shd w:fill="EDF2FA" w:color="auto" w:val="clear"/>
            <w:tcMar>
              <w:top w:type="dxa" w:w="70"/>
              <w:left w:type="dxa" w:w="110"/>
              <w:bottom w:type="dxa" w:w="70"/>
              <w:right w:type="dxa" w:w="110"/>
            </w:tcMar>
            <w:vAlign w:val="center"/>
          </w:tcPr>
          <w:p>
            <w:pPr>
              <w:jc w:val="left"/>
            </w:pPr>
            <w:r>
              <w:rPr>
                <w:b w:val="false"/>
                <w:bCs w:val="false"/>
                <w:sz w:val="19"/>
                <w:szCs w:val="19"/>
              </w:rPr>
              <w:t xml:space="preserve">17b</w:t>
            </w:r>
          </w:p>
        </w:tc>
        <w:tc>
          <w:tcPr>
            <w:tcW w:type="dxa" w:w="2900"/>
            <w:shd w:fill="EDF2FA" w:color="auto" w:val="clear"/>
            <w:tcMar>
              <w:top w:type="dxa" w:w="70"/>
              <w:left w:type="dxa" w:w="110"/>
              <w:bottom w:type="dxa" w:w="70"/>
              <w:right w:type="dxa" w:w="110"/>
            </w:tcMar>
            <w:vAlign w:val="center"/>
          </w:tcPr>
          <w:p>
            <w:pPr>
              <w:jc w:val="left"/>
            </w:pPr>
            <w:r>
              <w:rPr>
                <w:b w:val="false"/>
                <w:bCs w:val="false"/>
                <w:sz w:val="19"/>
                <w:szCs w:val="19"/>
              </w:rPr>
              <w:t xml:space="preserve">Extracción de consulta estructurada — precisión semántica real del modelo al interpretar la intención del usuario</w:t>
            </w:r>
          </w:p>
        </w:tc>
        <w:tc>
          <w:tcPr>
            <w:tcW w:type="dxa" w:w="1350"/>
            <w:shd w:fill="EDF2FA" w:color="auto" w:val="clear"/>
            <w:tcMar>
              <w:top w:type="dxa" w:w="70"/>
              <w:left w:type="dxa" w:w="110"/>
              <w:bottom w:type="dxa" w:w="70"/>
              <w:right w:type="dxa" w:w="110"/>
            </w:tcMar>
            <w:vAlign w:val="center"/>
          </w:tcPr>
          <w:p>
            <w:pPr>
              <w:jc w:val="left"/>
            </w:pPr>
            <w:r>
              <w:rPr>
                <w:b/>
                <w:bCs/>
                <w:color w:val="B45309"/>
                <w:sz w:val="19"/>
                <w:szCs w:val="19"/>
              </w:rPr>
              <w:t xml:space="preserve">Probabilística</w:t>
            </w:r>
          </w:p>
        </w:tc>
        <w:tc>
          <w:tcPr>
            <w:tcW w:type="dxa" w:w="1950"/>
            <w:shd w:fill="EDF2FA" w:color="auto" w:val="clear"/>
            <w:tcMar>
              <w:top w:type="dxa" w:w="70"/>
              <w:left w:type="dxa" w:w="110"/>
              <w:bottom w:type="dxa" w:w="70"/>
              <w:right w:type="dxa" w:w="110"/>
            </w:tcMar>
            <w:vAlign w:val="center"/>
          </w:tcPr>
          <w:p>
            <w:pPr>
              <w:jc w:val="left"/>
            </w:pPr>
            <w:r>
              <w:rPr>
                <w:b w:val="false"/>
                <w:bCs w:val="false"/>
                <w:sz w:val="19"/>
                <w:szCs w:val="19"/>
              </w:rPr>
              <w:t xml:space="preserve">Evals de IA (offline)</w:t>
            </w:r>
          </w:p>
        </w:tc>
        <w:tc>
          <w:tcPr>
            <w:tcW w:type="dxa" w:w="3380"/>
            <w:shd w:fill="EDF2FA" w:color="auto" w:val="clear"/>
            <w:tcMar>
              <w:top w:type="dxa" w:w="70"/>
              <w:left w:type="dxa" w:w="110"/>
              <w:bottom w:type="dxa" w:w="70"/>
              <w:right w:type="dxa" w:w="110"/>
            </w:tcMar>
            <w:vAlign w:val="center"/>
          </w:tcPr>
          <w:p>
            <w:pPr>
              <w:jc w:val="left"/>
            </w:pPr>
            <w:r>
              <w:rPr>
                <w:b w:val="false"/>
                <w:bCs w:val="false"/>
                <w:sz w:val="17"/>
                <w:szCs w:val="17"/>
              </w:rPr>
              <w:t xml:space="preserve">DeepEval / RAGAS con dataset dorado (N frases → JSON esperado) y umbral mínimo de aceptación (p. ej. ≥ 90 %)</w:t>
            </w:r>
          </w:p>
        </w:tc>
      </w:tr>
      <w:tr>
        <w:trPr>
          <w:cantSplit/>
        </w:trPr>
        <w:tc>
          <w:tcPr>
            <w:tcW w:type="dxa" w:w="500"/>
            <w:tcMar>
              <w:top w:type="dxa" w:w="70"/>
              <w:left w:type="dxa" w:w="110"/>
              <w:bottom w:type="dxa" w:w="70"/>
              <w:right w:type="dxa" w:w="110"/>
            </w:tcMar>
            <w:vAlign w:val="center"/>
          </w:tcPr>
          <w:p>
            <w:pPr>
              <w:jc w:val="left"/>
            </w:pPr>
            <w:r>
              <w:rPr>
                <w:b w:val="false"/>
                <w:bCs w:val="false"/>
                <w:sz w:val="19"/>
                <w:szCs w:val="19"/>
              </w:rPr>
              <w:t xml:space="preserve">18</w:t>
            </w:r>
          </w:p>
        </w:tc>
        <w:tc>
          <w:tcPr>
            <w:tcW w:type="dxa" w:w="2900"/>
            <w:tcMar>
              <w:top w:type="dxa" w:w="70"/>
              <w:left w:type="dxa" w:w="110"/>
              <w:bottom w:type="dxa" w:w="70"/>
              <w:right w:type="dxa" w:w="110"/>
            </w:tcMar>
            <w:vAlign w:val="center"/>
          </w:tcPr>
          <w:p>
            <w:pPr>
              <w:jc w:val="left"/>
            </w:pPr>
            <w:r>
              <w:rPr>
                <w:b w:val="false"/>
                <w:bCs w:val="false"/>
                <w:sz w:val="19"/>
                <w:szCs w:val="19"/>
              </w:rPr>
              <w:t xml:space="preserve">Búsqueda determinista de usuario por nombre, ya con el criterio estructurado en mano</w:t>
            </w:r>
          </w:p>
        </w:tc>
        <w:tc>
          <w:tcPr>
            <w:tcW w:type="dxa" w:w="1350"/>
            <w:tcMar>
              <w:top w:type="dxa" w:w="70"/>
              <w:left w:type="dxa" w:w="110"/>
              <w:bottom w:type="dxa" w:w="70"/>
              <w:right w:type="dxa" w:w="110"/>
            </w:tcMar>
            <w:vAlign w:val="center"/>
          </w:tcPr>
          <w:p>
            <w:pPr>
              <w:jc w:val="left"/>
            </w:pPr>
            <w:r>
              <w:rPr>
                <w:b/>
                <w:bCs/>
                <w:color w:val="2E7D32"/>
                <w:sz w:val="19"/>
                <w:szCs w:val="19"/>
              </w:rPr>
              <w:t xml:space="preserve">Determinista</w:t>
            </w:r>
          </w:p>
        </w:tc>
        <w:tc>
          <w:tcPr>
            <w:tcW w:type="dxa" w:w="1950"/>
            <w:tcMar>
              <w:top w:type="dxa" w:w="70"/>
              <w:left w:type="dxa" w:w="110"/>
              <w:bottom w:type="dxa" w:w="70"/>
              <w:right w:type="dxa" w:w="110"/>
            </w:tcMar>
            <w:vAlign w:val="center"/>
          </w:tcPr>
          <w:p>
            <w:pPr>
              <w:jc w:val="left"/>
            </w:pPr>
            <w:r>
              <w:rPr>
                <w:b w:val="false"/>
                <w:bCs w:val="false"/>
                <w:sz w:val="19"/>
                <w:szCs w:val="19"/>
              </w:rPr>
              <w:t xml:space="preserve">Unit + Integration/contract</w:t>
            </w:r>
          </w:p>
        </w:tc>
        <w:tc>
          <w:tcPr>
            <w:tcW w:type="dxa" w:w="3380"/>
            <w:tcMar>
              <w:top w:type="dxa" w:w="70"/>
              <w:left w:type="dxa" w:w="110"/>
              <w:bottom w:type="dxa" w:w="70"/>
              <w:right w:type="dxa" w:w="110"/>
            </w:tcMar>
            <w:vAlign w:val="center"/>
          </w:tcPr>
          <w:p>
            <w:pPr>
              <w:jc w:val="left"/>
            </w:pPr>
            <w:r>
              <w:rPr>
                <w:b w:val="false"/>
                <w:bCs w:val="false"/>
                <w:sz w:val="17"/>
                <w:szCs w:val="17"/>
              </w:rPr>
              <w:t xml:space="preserve">JUnit 5 + Mockito + AssertJ · Spring Boot Test + Testcontainers</w:t>
            </w:r>
          </w:p>
        </w:tc>
      </w:tr>
    </w:tbl>
    <w:p>
      <w:r>
        <w:br w:type="page"/>
      </w:r>
    </w:p>
    <w:p>
      <w:pPr>
        <w:pStyle w:val="Heading1"/>
        <w:spacing w:after="180" w:before="360"/>
      </w:pPr>
      <w:r>
        <w:t xml:space="preserve">3. Justificación detallada por parte</w:t>
      </w:r>
    </w:p>
    <w:p>
      <w:pPr>
        <w:spacing w:after="140"/>
      </w:pPr>
      <w:r>
        <w:t xml:space="preserve">A continuación se explica, para cada fila de la tabla maestra, por qué se clasificó como determinista o probabilística.</w:t>
      </w:r>
    </w:p>
    <w:p>
      <w:pPr>
        <w:spacing w:after="100"/>
      </w:pPr>
      <w:r>
        <w:rPr>
          <w:b/>
          <w:bCs/>
          <w:color w:val="2E5395"/>
        </w:rPr>
        <w:t xml:space="preserve">1. Autenticación y autorización (login JWT, guards de rol/tenant)</w:t>
      </w:r>
      <w:r>
        <w:rPr>
          <w:b/>
          <w:bCs/>
          <w:color w:val="2E7D32"/>
        </w:rPr>
        <w:t xml:space="preserve">  —  Determinista</w:t>
      </w:r>
    </w:p>
    <w:p>
      <w:pPr>
        <w:spacing w:after="140"/>
      </w:pPr>
      <w:r>
        <w:rPr>
          <w:sz w:val="20"/>
          <w:szCs w:val="20"/>
        </w:rPr>
        <w:t xml:space="preserve">Dado un usuario y una contraseña, el veredicto (token válido o 401) es siempre el mismo; no hay variabilidad de salida que exija métricas ni umbral.</w:t>
      </w:r>
    </w:p>
    <w:p>
      <w:pPr>
        <w:spacing w:after="100"/>
      </w:pPr>
      <w:r>
        <w:rPr>
          <w:b/>
          <w:bCs/>
          <w:color w:val="2E5395"/>
        </w:rPr>
        <w:t xml:space="preserve">2. Gestión de Tenants (alta, suspensión, vencimiento automático)</w:t>
      </w:r>
      <w:r>
        <w:rPr>
          <w:b/>
          <w:bCs/>
          <w:color w:val="2E7D32"/>
        </w:rPr>
        <w:t xml:space="preserve">  —  Determinista</w:t>
      </w:r>
    </w:p>
    <w:p>
      <w:pPr>
        <w:spacing w:after="140"/>
      </w:pPr>
      <w:r>
        <w:rPr>
          <w:sz w:val="20"/>
          <w:szCs w:val="20"/>
        </w:rPr>
        <w:t xml:space="preserve">El ciclo de vida activo/suspendido/vencido es un autómata de estados con transiciones fijas y fechas de corte exactas (VencimientoSchedulerServiceTest).</w:t>
      </w:r>
    </w:p>
    <w:p>
      <w:pPr>
        <w:spacing w:after="100"/>
      </w:pPr>
      <w:r>
        <w:rPr>
          <w:b/>
          <w:bCs/>
          <w:color w:val="2E5395"/>
        </w:rPr>
        <w:t xml:space="preserve">3. Gestión de Usuarios y Roles (CRUD, activar/desactivar, reset de password)</w:t>
      </w:r>
      <w:r>
        <w:rPr>
          <w:b/>
          <w:bCs/>
          <w:color w:val="2E7D32"/>
        </w:rPr>
        <w:t xml:space="preserve">  —  Determinista</w:t>
      </w:r>
    </w:p>
    <w:p>
      <w:pPr>
        <w:spacing w:after="140"/>
      </w:pPr>
      <w:r>
        <w:rPr>
          <w:sz w:val="20"/>
          <w:szCs w:val="20"/>
        </w:rPr>
        <w:t xml:space="preserve">Las invariantes de rol (p. ej. SysAdmin nunca tiene tenant) son reglas de negocio verificables con assert exacto sobre datos de entrada fijos.</w:t>
      </w:r>
    </w:p>
    <w:p>
      <w:pPr>
        <w:spacing w:after="100"/>
      </w:pPr>
      <w:r>
        <w:rPr>
          <w:b/>
          <w:bCs/>
          <w:color w:val="2E5395"/>
        </w:rPr>
        <w:t xml:space="preserve">4. Gestión Escolar (alta y siembra automática de Periodos/Secciones)</w:t>
      </w:r>
      <w:r>
        <w:rPr>
          <w:b/>
          <w:bCs/>
          <w:color w:val="2E7D32"/>
        </w:rPr>
        <w:t xml:space="preserve">  —  Determinista</w:t>
      </w:r>
    </w:p>
    <w:p>
      <w:pPr>
        <w:spacing w:after="140"/>
      </w:pPr>
      <w:r>
        <w:rPr>
          <w:sz w:val="20"/>
          <w:szCs w:val="20"/>
        </w:rPr>
        <w:t xml:space="preserve">La cantidad y fechas de periodos/secciones que se siembran dependen de parámetros de configuración fijos, no de un modelo probabilístico.</w:t>
      </w:r>
    </w:p>
    <w:p>
      <w:pPr>
        <w:spacing w:after="100"/>
      </w:pPr>
      <w:r>
        <w:rPr>
          <w:b/>
          <w:bCs/>
          <w:color w:val="2E5395"/>
        </w:rPr>
        <w:t xml:space="preserve">5. Cursos y Paralelos (alta, listado)</w:t>
      </w:r>
      <w:r>
        <w:rPr>
          <w:b/>
          <w:bCs/>
          <w:color w:val="2E7D32"/>
        </w:rPr>
        <w:t xml:space="preserve">  —  Determinista</w:t>
      </w:r>
    </w:p>
    <w:p>
      <w:pPr>
        <w:spacing w:after="140"/>
      </w:pPr>
      <w:r>
        <w:rPr>
          <w:sz w:val="20"/>
          <w:szCs w:val="20"/>
        </w:rPr>
        <w:t xml:space="preserve">CRUD estándar con validaciones de existencia y de tenant; salida binaria (creado / 404 / 409).</w:t>
      </w:r>
    </w:p>
    <w:p>
      <w:pPr>
        <w:spacing w:after="100"/>
      </w:pPr>
      <w:r>
        <w:rPr>
          <w:b/>
          <w:bCs/>
          <w:color w:val="2E5395"/>
        </w:rPr>
        <w:t xml:space="preserve">6. Materias y asignaciones (Curso↔Materia, Materia↔Profesor)</w:t>
      </w:r>
      <w:r>
        <w:rPr>
          <w:b/>
          <w:bCs/>
          <w:color w:val="2E7D32"/>
        </w:rPr>
        <w:t xml:space="preserve">  —  Determinista</w:t>
      </w:r>
    </w:p>
    <w:p>
      <w:pPr>
        <w:spacing w:after="140"/>
      </w:pPr>
      <w:r>
        <w:rPr>
          <w:sz w:val="20"/>
          <w:szCs w:val="20"/>
        </w:rPr>
        <w:t xml:space="preserve">Las reglas de integridad referencial (409 si falta una asignación previa) son condicionales exactas sobre el estado de la base.</w:t>
      </w:r>
    </w:p>
    <w:p>
      <w:pPr>
        <w:spacing w:after="100"/>
      </w:pPr>
      <w:r>
        <w:rPr>
          <w:b/>
          <w:bCs/>
          <w:color w:val="2E5395"/>
        </w:rPr>
        <w:t xml:space="preserve">7. Estudiantes e Inscripciones</w:t>
      </w:r>
      <w:r>
        <w:rPr>
          <w:b/>
          <w:bCs/>
          <w:color w:val="2E7D32"/>
        </w:rPr>
        <w:t xml:space="preserve">  —  Determinista</w:t>
      </w:r>
    </w:p>
    <w:p>
      <w:pPr>
        <w:spacing w:after="140"/>
      </w:pPr>
      <w:r>
        <w:rPr>
          <w:sz w:val="20"/>
          <w:szCs w:val="20"/>
        </w:rPr>
        <w:t xml:space="preserve">Unicidad del código RUDE por tenant e inmutabilidad de datos personales son invariantes verificables con assert exacto.</w:t>
      </w:r>
    </w:p>
    <w:p>
      <w:pPr>
        <w:spacing w:after="100"/>
      </w:pPr>
      <w:r>
        <w:rPr>
          <w:b/>
          <w:bCs/>
          <w:color w:val="2E5395"/>
        </w:rPr>
        <w:t xml:space="preserve">8. Consulta de Profesores y sus asignaciones</w:t>
      </w:r>
      <w:r>
        <w:rPr>
          <w:b/>
          <w:bCs/>
          <w:color w:val="2E7D32"/>
        </w:rPr>
        <w:t xml:space="preserve">  —  Determinista</w:t>
      </w:r>
    </w:p>
    <w:p>
      <w:pPr>
        <w:spacing w:after="140"/>
      </w:pPr>
      <w:r>
        <w:rPr>
          <w:sz w:val="20"/>
          <w:szCs w:val="20"/>
        </w:rPr>
        <w:t xml:space="preserve">Consulta inversa sobre datos relacionales existentes; misma entrada produce siempre la misma lista.</w:t>
      </w:r>
    </w:p>
    <w:p>
      <w:pPr>
        <w:spacing w:after="100"/>
      </w:pPr>
      <w:r>
        <w:rPr>
          <w:b/>
          <w:bCs/>
          <w:color w:val="2E5395"/>
        </w:rPr>
        <w:t xml:space="preserve">9. Periodos de Evaluación (secuencia K1..K4, detección de solapes)</w:t>
      </w:r>
      <w:r>
        <w:rPr>
          <w:b/>
          <w:bCs/>
          <w:color w:val="2E7D32"/>
        </w:rPr>
        <w:t xml:space="preserve">  —  Determinista</w:t>
      </w:r>
    </w:p>
    <w:p>
      <w:pPr>
        <w:spacing w:after="140"/>
      </w:pPr>
      <w:r>
        <w:rPr>
          <w:sz w:val="20"/>
          <w:szCs w:val="20"/>
        </w:rPr>
        <w:t xml:space="preserve">La detección de solape de fechas es aritmética pura; se presta a pruebas exhaustivas con múltiples combinaciones y assert exacto.</w:t>
      </w:r>
    </w:p>
    <w:p>
      <w:pPr>
        <w:spacing w:after="100"/>
      </w:pPr>
      <w:r>
        <w:rPr>
          <w:b/>
          <w:bCs/>
          <w:color w:val="2E5395"/>
        </w:rPr>
        <w:t xml:space="preserve">10. Secciones de Evaluación (ponderación que debe sumar 100, freeze/sticky)</w:t>
      </w:r>
      <w:r>
        <w:rPr>
          <w:b/>
          <w:bCs/>
          <w:color w:val="2E7D32"/>
        </w:rPr>
        <w:t xml:space="preserve">  —  Determinista</w:t>
      </w:r>
    </w:p>
    <w:p>
      <w:pPr>
        <w:spacing w:after="140"/>
      </w:pPr>
      <w:r>
        <w:rPr>
          <w:sz w:val="20"/>
          <w:szCs w:val="20"/>
        </w:rPr>
        <w:t xml:space="preserve">"La suma de pesos debe ser 100" es una regla matemática exacta: se cumple o no se cumple, sin zona gris.</w:t>
      </w:r>
    </w:p>
    <w:p>
      <w:pPr>
        <w:spacing w:after="100"/>
      </w:pPr>
      <w:r>
        <w:rPr>
          <w:b/>
          <w:bCs/>
          <w:color w:val="2E5395"/>
        </w:rPr>
        <w:t xml:space="preserve">11. Cálculo de Notas y Calificaciones (regla floor, redondeo half-up, consolidación)</w:t>
      </w:r>
      <w:r>
        <w:rPr>
          <w:b/>
          <w:bCs/>
          <w:color w:val="2E7D32"/>
        </w:rPr>
        <w:t xml:space="preserve">  —  Determinista</w:t>
      </w:r>
    </w:p>
    <w:p>
      <w:pPr>
        <w:spacing w:after="140"/>
      </w:pPr>
      <w:r>
        <w:rPr>
          <w:sz w:val="20"/>
          <w:szCs w:val="20"/>
        </w:rPr>
        <w:t xml:space="preserve">Es el corazón normativo del producto: una fórmula matemática fija. Hacer "cálculos" no la vuelve probabilística — es el ejemplo más claro de la trampa a evitar.</w:t>
      </w:r>
    </w:p>
    <w:p>
      <w:pPr>
        <w:spacing w:after="100"/>
      </w:pPr>
      <w:r>
        <w:rPr>
          <w:b/>
          <w:bCs/>
          <w:color w:val="2E5395"/>
        </w:rPr>
        <w:t xml:space="preserve">12. Aislamiento multi-tenant (Row-Level Security en PostgreSQL)</w:t>
      </w:r>
      <w:r>
        <w:rPr>
          <w:b/>
          <w:bCs/>
          <w:color w:val="2E7D32"/>
        </w:rPr>
        <w:t xml:space="preserve">  —  Determinista</w:t>
      </w:r>
    </w:p>
    <w:p>
      <w:pPr>
        <w:spacing w:after="140"/>
      </w:pPr>
      <w:r>
        <w:rPr>
          <w:sz w:val="20"/>
          <w:szCs w:val="20"/>
        </w:rPr>
        <w:t xml:space="preserve">El RLS es una política de base de datos real; no puede verificarse con mocks ni con una base en memoria, pero su resultado (fila visible / no visible) es binario.</w:t>
      </w:r>
    </w:p>
    <w:p>
      <w:pPr>
        <w:spacing w:after="100"/>
      </w:pPr>
      <w:r>
        <w:rPr>
          <w:b/>
          <w:bCs/>
          <w:color w:val="2E5395"/>
        </w:rPr>
        <w:t xml:space="preserve">13. Arquitectura modular (límites entre los 5 módulos de Spring Modulith)</w:t>
      </w:r>
      <w:r>
        <w:rPr>
          <w:b/>
          <w:bCs/>
          <w:color w:val="2E7D32"/>
        </w:rPr>
        <w:t xml:space="preserve">  —  Determinista</w:t>
      </w:r>
    </w:p>
    <w:p>
      <w:pPr>
        <w:spacing w:after="140"/>
      </w:pPr>
      <w:r>
        <w:rPr>
          <w:sz w:val="20"/>
          <w:szCs w:val="20"/>
        </w:rPr>
        <w:t xml:space="preserve">No hay variabilidad: o el grafo de dependencias entre módulos tiene ciclos, o no los tiene.</w:t>
      </w:r>
    </w:p>
    <w:p>
      <w:pPr>
        <w:spacing w:after="100"/>
      </w:pPr>
      <w:r>
        <w:rPr>
          <w:b/>
          <w:bCs/>
          <w:color w:val="2E5395"/>
        </w:rPr>
        <w:t xml:space="preserve">14. Frontend Angular (consolas CRUD: login, usuarios, tenants, académico)</w:t>
      </w:r>
      <w:r>
        <w:rPr>
          <w:b/>
          <w:bCs/>
          <w:color w:val="2E7D32"/>
        </w:rPr>
        <w:t xml:space="preserve">  —  Determinista</w:t>
      </w:r>
    </w:p>
    <w:p>
      <w:pPr>
        <w:spacing w:after="140"/>
      </w:pPr>
      <w:r>
        <w:rPr>
          <w:sz w:val="20"/>
          <w:szCs w:val="20"/>
        </w:rPr>
        <w:t xml:space="preserve">Un formulario con los mismos datos siempre debe navegar, mostrar el mismo error o renderizar la misma tabla.</w:t>
      </w:r>
    </w:p>
    <w:p>
      <w:pPr>
        <w:spacing w:after="100"/>
      </w:pPr>
      <w:r>
        <w:rPr>
          <w:b/>
          <w:bCs/>
          <w:color w:val="2E5395"/>
        </w:rPr>
        <w:t xml:space="preserve">15. Integración con el sistema estatal SIE (código RUDE, Resilience4j)</w:t>
      </w:r>
      <w:r>
        <w:rPr>
          <w:b/>
          <w:bCs/>
          <w:color w:val="2E7D32"/>
        </w:rPr>
        <w:t xml:space="preserve">  —  Determinista</w:t>
      </w:r>
    </w:p>
    <w:p>
      <w:pPr>
        <w:spacing w:after="140"/>
      </w:pPr>
      <w:r>
        <w:rPr>
          <w:sz w:val="20"/>
          <w:szCs w:val="20"/>
        </w:rPr>
        <w:t xml:space="preserve">Es un contrato HTTP con esquema fijo y políticas de reintento/circuit breaker configurables; el comportamiento ante un mismo estímulo es reproducible.</w:t>
      </w:r>
    </w:p>
    <w:p>
      <w:pPr>
        <w:spacing w:after="100"/>
      </w:pPr>
      <w:r>
        <w:rPr>
          <w:b/>
          <w:bCs/>
          <w:color w:val="2E5395"/>
        </w:rPr>
        <w:t xml:space="preserve">16. Chat libre con el asistente LLM (POST /api/v1/ai/chat, Ollama / Open WebUI)</w:t>
      </w:r>
      <w:r>
        <w:rPr>
          <w:b/>
          <w:bCs/>
          <w:color w:val="B45309"/>
        </w:rPr>
        <w:t xml:space="preserve">  —  Probabilística</w:t>
      </w:r>
    </w:p>
    <w:p>
      <w:pPr>
        <w:spacing w:after="140"/>
      </w:pPr>
      <w:r>
        <w:rPr>
          <w:sz w:val="20"/>
          <w:szCs w:val="20"/>
        </w:rPr>
        <w:t xml:space="preserve">La misma pregunta puede generar redacciones distintas en cada llamada al modelo; un assert== es inviable, se requiere métrica + umbral, no igualdad exacta.</w:t>
      </w:r>
    </w:p>
    <w:p>
      <w:pPr>
        <w:spacing w:after="100"/>
      </w:pPr>
      <w:r>
        <w:rPr>
          <w:b/>
          <w:bCs/>
          <w:color w:val="2E5395"/>
        </w:rPr>
        <w:t xml:space="preserve">17a. Extracción de consulta estructurada — parseo, reintento y validación del JSON alrededor de la respuesta del LLM</w:t>
      </w:r>
      <w:r>
        <w:rPr>
          <w:b/>
          <w:bCs/>
          <w:color w:val="2E7D32"/>
        </w:rPr>
        <w:t xml:space="preserve">  —  Determinista</w:t>
      </w:r>
    </w:p>
    <w:p>
      <w:pPr>
        <w:spacing w:after="140"/>
      </w:pPr>
      <w:r>
        <w:rPr>
          <w:sz w:val="20"/>
          <w:szCs w:val="20"/>
        </w:rPr>
        <w:t xml:space="preserve">Dada una respuesta fija del LLM (real o simulada), el reintento y la validación de esquema producen siempre el mismo resultado. LlmStructuredExtractorTest ya prueba esto hoy con asserts exactos — es la parte del feature de IA que NO debe evaluarse como probabilística.</w:t>
      </w:r>
    </w:p>
    <w:p>
      <w:pPr>
        <w:spacing w:after="100"/>
      </w:pPr>
      <w:r>
        <w:rPr>
          <w:b/>
          <w:bCs/>
          <w:color w:val="2E5395"/>
        </w:rPr>
        <w:t xml:space="preserve">17b. Extracción de consulta estructurada — precisión semántica real del modelo al interpretar la intención del usuario</w:t>
      </w:r>
      <w:r>
        <w:rPr>
          <w:b/>
          <w:bCs/>
          <w:color w:val="B45309"/>
        </w:rPr>
        <w:t xml:space="preserve">  —  Probabilística</w:t>
      </w:r>
    </w:p>
    <w:p>
      <w:pPr>
        <w:spacing w:after="140"/>
      </w:pPr>
      <w:r>
        <w:rPr>
          <w:sz w:val="20"/>
          <w:szCs w:val="20"/>
        </w:rPr>
        <w:t xml:space="preserve">Interpretar "los profesores que dan Matemáticas" en lenguaje natural depende del modelo real; se mide con precisión/recall contra un dataset de referencia, no con igualdad exacta.</w:t>
      </w:r>
    </w:p>
    <w:p>
      <w:pPr>
        <w:spacing w:after="100"/>
      </w:pPr>
      <w:r>
        <w:rPr>
          <w:b/>
          <w:bCs/>
          <w:color w:val="2E5395"/>
        </w:rPr>
        <w:t xml:space="preserve">18. Búsqueda determinista de usuario por nombre, ya con el criterio estructurado en mano</w:t>
      </w:r>
      <w:r>
        <w:rPr>
          <w:b/>
          <w:bCs/>
          <w:color w:val="2E7D32"/>
        </w:rPr>
        <w:t xml:space="preserve">  —  Determinista</w:t>
      </w:r>
    </w:p>
    <w:p>
      <w:pPr>
        <w:spacing w:after="140"/>
      </w:pPr>
      <w:r>
        <w:rPr>
          <w:sz w:val="20"/>
          <w:szCs w:val="20"/>
        </w:rPr>
        <w:t xml:space="preserve">Una vez que el criterio de búsqueda es un dato estructurado (JSON), consultar la base de datos es una operación SQL corriente sin IA de por medio.</w:t>
      </w:r>
    </w:p>
    <w:p>
      <w:r>
        <w:br w:type="page"/>
      </w:r>
    </w:p>
    <w:p>
      <w:pPr>
        <w:pStyle w:val="Heading1"/>
        <w:spacing w:after="180" w:before="360"/>
      </w:pPr>
      <w:r>
        <w:t xml:space="preserve">4. Caso de estudio: "usa IA" no es sinónimo de "probabilística"</w:t>
      </w:r>
    </w:p>
    <w:p>
      <w:pPr>
        <w:spacing w:after="140"/>
      </w:pPr>
      <w:r>
        <w:t xml:space="preserve">El caso más ilustrativo del repositorio es la extracción de consulta estructurada a partir de lenguaje natural (LlmStructuredExtractorTest / ExtraerConsultaUsuarioService, módulo shared.ai), porque dentro de un mismo feature conviven ambas naturalezas:</w:t>
      </w:r>
    </w:p>
    <w:p>
      <w:pPr>
        <w:pStyle w:val="ListParagraph"/>
        <w:numPr>
          <w:ilvl w:val="0"/>
          <w:numId w:val="1"/>
        </w:numPr>
        <w:spacing w:after="70"/>
      </w:pPr>
      <w:r>
        <w:rPr>
          <w:sz w:val="20"/>
          <w:szCs w:val="20"/>
        </w:rPr>
        <w:t xml:space="preserve">El LLM recibe un texto libre del usuario (p. ej. "busca a los profesores de Matemáticas") y devuelve un bloque de texto que debería contener JSON.</w:t>
      </w:r>
    </w:p>
    <w:p>
      <w:pPr>
        <w:pStyle w:val="ListParagraph"/>
        <w:numPr>
          <w:ilvl w:val="0"/>
          <w:numId w:val="1"/>
        </w:numPr>
        <w:spacing w:after="70"/>
      </w:pPr>
      <w:r>
        <w:rPr>
          <w:sz w:val="20"/>
          <w:szCs w:val="20"/>
        </w:rPr>
        <w:t xml:space="preserve">El código de EduSync reintenta la llamada si el JSON es inválido, limpia texto adicional alrededor del bloque JSON y valida el resultado contra un esquema fijo — todo esto es lógica determinista corriente, y de hecho ya está cubierta hoy por 5 pruebas unitarias/de contrato (LlmStructuredExtractorTest) que simulan al LLM con un doble de prueba de respuestas fijas.</w:t>
      </w:r>
    </w:p>
    <w:p>
      <w:pPr>
        <w:pStyle w:val="ListParagraph"/>
        <w:numPr>
          <w:ilvl w:val="0"/>
          <w:numId w:val="1"/>
        </w:numPr>
        <w:spacing w:after="70"/>
      </w:pPr>
      <w:r>
        <w:rPr>
          <w:sz w:val="20"/>
          <w:szCs w:val="20"/>
        </w:rPr>
        <w:t xml:space="preserve">Solo la interpretación semántica real del modelo — decidir qué campos llenar a partir de una frase ambigua — es probabilística y no puede validarse con assert exacto: requiere un dataset dorado de frases de referencia y una métrica de precisión con umbral mínimo aceptado.</w:t>
      </w:r>
    </w:p>
    <w:p>
      <w:pPr>
        <w:spacing w:after="140"/>
      </w:pPr>
      <w:r>
        <w:t xml:space="preserve">Conclusión del caso: de las capas de prueba que este feature realmente necesita, tres de cada cuatro (parseo, reintento, validación de esquema y la búsqueda posterior en base de datos) son deterministas y ya están cubiertas con JUnit; sólo la salida cruda del modelo requiere evals de IA. Etiquetar todo el feature como "prueba de IA" habría llevado a intentar medir con dataset dorado algo que en realidad se puede — y se debe — probar con un assert de toda la vida.</w:t>
      </w:r>
    </w:p>
    <w:p>
      <w:r>
        <w:br w:type="page"/>
      </w:r>
    </w:p>
    <w:p>
      <w:pPr>
        <w:pStyle w:val="Heading1"/>
        <w:spacing w:after="180" w:before="360"/>
      </w:pPr>
      <w:r>
        <w:t xml:space="preserve">5. Distribución de las partes por capa de la pirámide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500"/>
        <w:gridCol w:w="3580"/>
      </w:tblGrid>
      <w:tr>
        <w:trPr>
          <w:cantSplit/>
          <w:tblHeader/>
        </w:trPr>
        <w:tc>
          <w:tcPr>
            <w:tcW w:type="dxa" w:w="6500"/>
            <w:shd w:fill="1F3864" w:color="auto" w:val="clear"/>
            <w:tcMar>
              <w:top w:type="dxa" w:w="70"/>
              <w:left w:type="dxa" w:w="110"/>
              <w:bottom w:type="dxa" w:w="70"/>
              <w:right w:type="dxa" w:w="110"/>
            </w:tcMar>
            <w:vAlign w:val="center"/>
          </w:tcPr>
          <w:p>
            <w:pPr>
              <w:jc w:val="left"/>
            </w:pPr>
            <w:r>
              <w:rPr>
                <w:b/>
                <w:bCs/>
                <w:color w:val="FFFFFF"/>
                <w:sz w:val="19"/>
                <w:szCs w:val="19"/>
              </w:rPr>
              <w:t xml:space="preserve">Capa de la pirámide</w:t>
            </w:r>
          </w:p>
        </w:tc>
        <w:tc>
          <w:tcPr>
            <w:tcW w:type="dxa" w:w="3580"/>
            <w:shd w:fill="1F3864" w:color="auto" w:val="clear"/>
            <w:tcMar>
              <w:top w:type="dxa" w:w="70"/>
              <w:left w:type="dxa" w:w="110"/>
              <w:bottom w:type="dxa" w:w="70"/>
              <w:right w:type="dxa" w:w="110"/>
            </w:tcMar>
            <w:vAlign w:val="center"/>
          </w:tcPr>
          <w:p>
            <w:pPr>
              <w:jc w:val="left"/>
            </w:pPr>
            <w:r>
              <w:rPr>
                <w:b/>
                <w:bCs/>
                <w:color w:val="FFFFFF"/>
                <w:sz w:val="19"/>
                <w:szCs w:val="19"/>
              </w:rPr>
              <w:t xml:space="preserve">Partes de EduSync (de 19)</w:t>
            </w:r>
          </w:p>
        </w:tc>
      </w:tr>
      <w:tr>
        <w:trPr>
          <w:cantSplit/>
        </w:trPr>
        <w:tc>
          <w:tcPr>
            <w:tcW w:type="dxa" w:w="6500"/>
            <w:tcMar>
              <w:top w:type="dxa" w:w="70"/>
              <w:left w:type="dxa" w:w="110"/>
              <w:bottom w:type="dxa" w:w="70"/>
              <w:right w:type="dxa" w:w="110"/>
            </w:tcMar>
            <w:vAlign w:val="center"/>
          </w:tcPr>
          <w:p>
            <w:pPr>
              <w:jc w:val="left"/>
            </w:pPr>
            <w:r>
              <w:rPr>
                <w:b w:val="false"/>
                <w:bCs w:val="false"/>
                <w:sz w:val="19"/>
                <w:szCs w:val="19"/>
              </w:rPr>
              <w:t xml:space="preserve">Unit</w:t>
            </w:r>
          </w:p>
        </w:tc>
        <w:tc>
          <w:tcPr>
            <w:tcW w:type="dxa" w:w="3580"/>
            <w:tcMar>
              <w:top w:type="dxa" w:w="70"/>
              <w:left w:type="dxa" w:w="110"/>
              <w:bottom w:type="dxa" w:w="70"/>
              <w:right w:type="dxa" w:w="110"/>
            </w:tcMar>
            <w:vAlign w:val="center"/>
          </w:tcPr>
          <w:p>
            <w:pPr>
              <w:jc w:val="left"/>
            </w:pPr>
            <w:r>
              <w:rPr>
                <w:b w:val="false"/>
                <w:bCs w:val="false"/>
                <w:sz w:val="19"/>
                <w:szCs w:val="19"/>
              </w:rPr>
              <w:t xml:space="preserve">12</w:t>
            </w:r>
          </w:p>
        </w:tc>
      </w:tr>
      <w:tr>
        <w:trPr>
          <w:cantSplit/>
        </w:trPr>
        <w:tc>
          <w:tcPr>
            <w:tcW w:type="dxa" w:w="6500"/>
            <w:shd w:fill="EDF2FA" w:color="auto" w:val="clear"/>
            <w:tcMar>
              <w:top w:type="dxa" w:w="70"/>
              <w:left w:type="dxa" w:w="110"/>
              <w:bottom w:type="dxa" w:w="70"/>
              <w:right w:type="dxa" w:w="110"/>
            </w:tcMar>
            <w:vAlign w:val="center"/>
          </w:tcPr>
          <w:p>
            <w:pPr>
              <w:jc w:val="left"/>
            </w:pPr>
            <w:r>
              <w:rPr>
                <w:b w:val="false"/>
                <w:bCs w:val="false"/>
                <w:sz w:val="19"/>
                <w:szCs w:val="19"/>
              </w:rPr>
              <w:t xml:space="preserve">Integration/contract</w:t>
            </w:r>
          </w:p>
        </w:tc>
        <w:tc>
          <w:tcPr>
            <w:tcW w:type="dxa" w:w="3580"/>
            <w:shd w:fill="EDF2FA" w:color="auto" w:val="clear"/>
            <w:tcMar>
              <w:top w:type="dxa" w:w="70"/>
              <w:left w:type="dxa" w:w="110"/>
              <w:bottom w:type="dxa" w:w="70"/>
              <w:right w:type="dxa" w:w="110"/>
            </w:tcMar>
            <w:vAlign w:val="center"/>
          </w:tcPr>
          <w:p>
            <w:pPr>
              <w:jc w:val="left"/>
            </w:pPr>
            <w:r>
              <w:rPr>
                <w:b w:val="false"/>
                <w:bCs w:val="false"/>
                <w:sz w:val="19"/>
                <w:szCs w:val="19"/>
              </w:rPr>
              <w:t xml:space="preserve">4</w:t>
            </w:r>
          </w:p>
        </w:tc>
      </w:tr>
      <w:tr>
        <w:trPr>
          <w:cantSplit/>
        </w:trPr>
        <w:tc>
          <w:tcPr>
            <w:tcW w:type="dxa" w:w="6500"/>
            <w:tcMar>
              <w:top w:type="dxa" w:w="70"/>
              <w:left w:type="dxa" w:w="110"/>
              <w:bottom w:type="dxa" w:w="70"/>
              <w:right w:type="dxa" w:w="110"/>
            </w:tcMar>
            <w:vAlign w:val="center"/>
          </w:tcPr>
          <w:p>
            <w:pPr>
              <w:jc w:val="left"/>
            </w:pPr>
            <w:r>
              <w:rPr>
                <w:b w:val="false"/>
                <w:bCs w:val="false"/>
                <w:sz w:val="19"/>
                <w:szCs w:val="19"/>
              </w:rPr>
              <w:t xml:space="preserve">UI/E2E web</w:t>
            </w:r>
          </w:p>
        </w:tc>
        <w:tc>
          <w:tcPr>
            <w:tcW w:type="dxa" w:w="3580"/>
            <w:tcMar>
              <w:top w:type="dxa" w:w="70"/>
              <w:left w:type="dxa" w:w="110"/>
              <w:bottom w:type="dxa" w:w="70"/>
              <w:right w:type="dxa" w:w="110"/>
            </w:tcMar>
            <w:vAlign w:val="center"/>
          </w:tcPr>
          <w:p>
            <w:pPr>
              <w:jc w:val="left"/>
            </w:pPr>
            <w:r>
              <w:rPr>
                <w:b w:val="false"/>
                <w:bCs w:val="false"/>
                <w:sz w:val="19"/>
                <w:szCs w:val="19"/>
              </w:rPr>
              <w:t xml:space="preserve">1</w:t>
            </w:r>
          </w:p>
        </w:tc>
      </w:tr>
      <w:tr>
        <w:trPr>
          <w:cantSplit/>
        </w:trPr>
        <w:tc>
          <w:tcPr>
            <w:tcW w:type="dxa" w:w="6500"/>
            <w:shd w:fill="EDF2FA" w:color="auto" w:val="clear"/>
            <w:tcMar>
              <w:top w:type="dxa" w:w="70"/>
              <w:left w:type="dxa" w:w="110"/>
              <w:bottom w:type="dxa" w:w="70"/>
              <w:right w:type="dxa" w:w="110"/>
            </w:tcMar>
            <w:vAlign w:val="center"/>
          </w:tcPr>
          <w:p>
            <w:pPr>
              <w:jc w:val="left"/>
            </w:pPr>
            <w:r>
              <w:rPr>
                <w:b w:val="false"/>
                <w:bCs w:val="false"/>
                <w:sz w:val="19"/>
                <w:szCs w:val="19"/>
              </w:rPr>
              <w:t xml:space="preserve">Red-teaming/seguridad</w:t>
            </w:r>
          </w:p>
        </w:tc>
        <w:tc>
          <w:tcPr>
            <w:tcW w:type="dxa" w:w="3580"/>
            <w:shd w:fill="EDF2FA" w:color="auto" w:val="clear"/>
            <w:tcMar>
              <w:top w:type="dxa" w:w="70"/>
              <w:left w:type="dxa" w:w="110"/>
              <w:bottom w:type="dxa" w:w="70"/>
              <w:right w:type="dxa" w:w="110"/>
            </w:tcMar>
            <w:vAlign w:val="center"/>
          </w:tcPr>
          <w:p>
            <w:pPr>
              <w:jc w:val="left"/>
            </w:pPr>
            <w:r>
              <w:rPr>
                <w:b w:val="false"/>
                <w:bCs w:val="false"/>
                <w:sz w:val="19"/>
                <w:szCs w:val="19"/>
              </w:rPr>
              <w:t xml:space="preserve">0</w:t>
            </w:r>
          </w:p>
        </w:tc>
      </w:tr>
      <w:tr>
        <w:trPr>
          <w:cantSplit/>
        </w:trPr>
        <w:tc>
          <w:tcPr>
            <w:tcW w:type="dxa" w:w="6500"/>
            <w:tcMar>
              <w:top w:type="dxa" w:w="70"/>
              <w:left w:type="dxa" w:w="110"/>
              <w:bottom w:type="dxa" w:w="70"/>
              <w:right w:type="dxa" w:w="110"/>
            </w:tcMar>
            <w:vAlign w:val="center"/>
          </w:tcPr>
          <w:p>
            <w:pPr>
              <w:jc w:val="left"/>
            </w:pPr>
            <w:r>
              <w:rPr>
                <w:b w:val="false"/>
                <w:bCs w:val="false"/>
                <w:sz w:val="19"/>
                <w:szCs w:val="19"/>
              </w:rPr>
              <w:t xml:space="preserve">Evals de IA (offline)</w:t>
            </w:r>
          </w:p>
        </w:tc>
        <w:tc>
          <w:tcPr>
            <w:tcW w:type="dxa" w:w="3580"/>
            <w:tcMar>
              <w:top w:type="dxa" w:w="70"/>
              <w:left w:type="dxa" w:w="110"/>
              <w:bottom w:type="dxa" w:w="70"/>
              <w:right w:type="dxa" w:w="110"/>
            </w:tcMar>
            <w:vAlign w:val="center"/>
          </w:tcPr>
          <w:p>
            <w:pPr>
              <w:jc w:val="left"/>
            </w:pPr>
            <w:r>
              <w:rPr>
                <w:b w:val="false"/>
                <w:bCs w:val="false"/>
                <w:sz w:val="19"/>
                <w:szCs w:val="19"/>
              </w:rPr>
              <w:t xml:space="preserve">2</w:t>
            </w:r>
          </w:p>
        </w:tc>
      </w:tr>
      <w:tr>
        <w:trPr>
          <w:cantSplit/>
        </w:trPr>
        <w:tc>
          <w:tcPr>
            <w:tcW w:type="dxa" w:w="6500"/>
            <w:shd w:fill="EDF2FA" w:color="auto" w:val="clear"/>
            <w:tcMar>
              <w:top w:type="dxa" w:w="70"/>
              <w:left w:type="dxa" w:w="110"/>
              <w:bottom w:type="dxa" w:w="70"/>
              <w:right w:type="dxa" w:w="110"/>
            </w:tcMar>
            <w:vAlign w:val="center"/>
          </w:tcPr>
          <w:p>
            <w:pPr>
              <w:jc w:val="left"/>
            </w:pPr>
            <w:r>
              <w:rPr>
                <w:b w:val="false"/>
                <w:bCs w:val="false"/>
                <w:sz w:val="19"/>
                <w:szCs w:val="19"/>
              </w:rPr>
              <w:t xml:space="preserve">Monitoreo en producción</w:t>
            </w:r>
          </w:p>
        </w:tc>
        <w:tc>
          <w:tcPr>
            <w:tcW w:type="dxa" w:w="3580"/>
            <w:shd w:fill="EDF2FA" w:color="auto" w:val="clear"/>
            <w:tcMar>
              <w:top w:type="dxa" w:w="70"/>
              <w:left w:type="dxa" w:w="110"/>
              <w:bottom w:type="dxa" w:w="70"/>
              <w:right w:type="dxa" w:w="110"/>
            </w:tcMar>
            <w:vAlign w:val="center"/>
          </w:tcPr>
          <w:p>
            <w:pPr>
              <w:jc w:val="left"/>
            </w:pPr>
            <w:r>
              <w:rPr>
                <w:b w:val="false"/>
                <w:bCs w:val="false"/>
                <w:sz w:val="19"/>
                <w:szCs w:val="19"/>
              </w:rPr>
              <w:t xml:space="preserve">0</w:t>
            </w:r>
          </w:p>
        </w:tc>
      </w:tr>
    </w:tbl>
    <w:p>
      <w:pPr>
        <w:spacing w:after="140"/>
      </w:pPr>
      <w:r>
        <w:t xml:space="preserve"/>
      </w:r>
    </w:p>
    <w:p>
      <w:pPr>
        <w:spacing w:after="140"/>
      </w:pPr>
      <w:r>
        <w:t xml:space="preserve">El 89 % de las partes analizadas (17 de 19) es determinista y se concentra en las tres capas base de la pirámide. Únicamente el 11 % (2 de 19) —ligado al único feature que invoca un modelo de lenguaje real— requiere las capas superiores. Esta proporción es consistente con una pirámide sana: la IA es una capacidad acotada dentro de EduSync, no su núcleo.</w:t>
      </w:r>
    </w:p>
    <w:p>
      <w:r>
        <w:br w:type="page"/>
      </w:r>
    </w:p>
    <w:p>
      <w:pPr>
        <w:pStyle w:val="Heading1"/>
        <w:spacing w:after="180" w:before="360"/>
      </w:pPr>
      <w:r>
        <w:t xml:space="preserve">6. Herramientas por capa (resumen)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gridCol w:w="2280"/>
      </w:tblGrid>
      <w:tr>
        <w:trPr>
          <w:cantSplit/>
          <w:tblHeader/>
        </w:trPr>
        <w:tc>
          <w:tcPr>
            <w:tcW w:type="dxa" w:w="2600"/>
            <w:shd w:fill="1F3864" w:color="auto" w:val="clear"/>
            <w:tcMar>
              <w:top w:type="dxa" w:w="70"/>
              <w:left w:type="dxa" w:w="110"/>
              <w:bottom w:type="dxa" w:w="70"/>
              <w:right w:type="dxa" w:w="110"/>
            </w:tcMar>
            <w:vAlign w:val="center"/>
          </w:tcPr>
          <w:p>
            <w:pPr>
              <w:jc w:val="left"/>
            </w:pPr>
            <w:r>
              <w:rPr>
                <w:b/>
                <w:bCs/>
                <w:color w:val="FFFFFF"/>
                <w:sz w:val="19"/>
                <w:szCs w:val="19"/>
              </w:rPr>
              <w:t xml:space="preserve">Capa</w:t>
            </w:r>
          </w:p>
        </w:tc>
        <w:tc>
          <w:tcPr>
            <w:tcW w:type="dxa" w:w="5200"/>
            <w:shd w:fill="1F3864" w:color="auto" w:val="clear"/>
            <w:tcMar>
              <w:top w:type="dxa" w:w="70"/>
              <w:left w:type="dxa" w:w="110"/>
              <w:bottom w:type="dxa" w:w="70"/>
              <w:right w:type="dxa" w:w="110"/>
            </w:tcMar>
            <w:vAlign w:val="center"/>
          </w:tcPr>
          <w:p>
            <w:pPr>
              <w:jc w:val="left"/>
            </w:pPr>
            <w:r>
              <w:rPr>
                <w:b/>
                <w:bCs/>
                <w:color w:val="FFFFFF"/>
                <w:sz w:val="19"/>
                <w:szCs w:val="19"/>
              </w:rPr>
              <w:t xml:space="preserve">Herramienta en EduSync</w:t>
            </w:r>
          </w:p>
        </w:tc>
        <w:tc>
          <w:tcPr>
            <w:tcW w:type="dxa" w:w="2280"/>
            <w:shd w:fill="1F3864" w:color="auto" w:val="clear"/>
            <w:tcMar>
              <w:top w:type="dxa" w:w="70"/>
              <w:left w:type="dxa" w:w="110"/>
              <w:bottom w:type="dxa" w:w="70"/>
              <w:right w:type="dxa" w:w="110"/>
            </w:tcMar>
            <w:vAlign w:val="center"/>
          </w:tcPr>
          <w:p>
            <w:pPr>
              <w:jc w:val="left"/>
            </w:pPr>
            <w:r>
              <w:rPr>
                <w:b/>
                <w:bCs/>
                <w:color w:val="FFFFFF"/>
                <w:sz w:val="19"/>
                <w:szCs w:val="19"/>
              </w:rPr>
              <w:t xml:space="preserve">Estado</w:t>
            </w:r>
          </w:p>
        </w:tc>
      </w:tr>
      <w:tr>
        <w:trPr>
          <w:cantSplit/>
        </w:trPr>
        <w:tc>
          <w:tcPr>
            <w:tcW w:type="dxa" w:w="2600"/>
            <w:tcMar>
              <w:top w:type="dxa" w:w="70"/>
              <w:left w:type="dxa" w:w="110"/>
              <w:bottom w:type="dxa" w:w="70"/>
              <w:right w:type="dxa" w:w="110"/>
            </w:tcMar>
            <w:vAlign w:val="center"/>
          </w:tcPr>
          <w:p>
            <w:pPr>
              <w:jc w:val="left"/>
            </w:pPr>
            <w:r>
              <w:rPr>
                <w:b w:val="false"/>
                <w:bCs w:val="false"/>
                <w:sz w:val="19"/>
                <w:szCs w:val="19"/>
              </w:rPr>
              <w:t xml:space="preserve">Unit tests</w:t>
            </w:r>
          </w:p>
        </w:tc>
        <w:tc>
          <w:tcPr>
            <w:tcW w:type="dxa" w:w="5200"/>
            <w:tcMar>
              <w:top w:type="dxa" w:w="70"/>
              <w:left w:type="dxa" w:w="110"/>
              <w:bottom w:type="dxa" w:w="70"/>
              <w:right w:type="dxa" w:w="110"/>
            </w:tcMar>
            <w:vAlign w:val="center"/>
          </w:tcPr>
          <w:p>
            <w:pPr>
              <w:jc w:val="left"/>
            </w:pPr>
            <w:r>
              <w:rPr>
                <w:b w:val="false"/>
                <w:bCs w:val="false"/>
                <w:sz w:val="19"/>
                <w:szCs w:val="19"/>
              </w:rPr>
              <w:t xml:space="preserve">JUnit 5 + Mockito + AssertJ (backend) · Vitest (frontend)</w:t>
            </w:r>
          </w:p>
        </w:tc>
        <w:tc>
          <w:tcPr>
            <w:tcW w:type="dxa" w:w="2280"/>
            <w:tcMar>
              <w:top w:type="dxa" w:w="70"/>
              <w:left w:type="dxa" w:w="110"/>
              <w:bottom w:type="dxa" w:w="70"/>
              <w:right w:type="dxa" w:w="110"/>
            </w:tcMar>
            <w:vAlign w:val="center"/>
          </w:tcPr>
          <w:p>
            <w:pPr>
              <w:jc w:val="left"/>
            </w:pPr>
            <w:r>
              <w:rPr>
                <w:b w:val="false"/>
                <w:bCs w:val="false"/>
                <w:sz w:val="19"/>
                <w:szCs w:val="19"/>
              </w:rPr>
              <w:t xml:space="preserve">Implementado (231 + 22 tests)</w:t>
            </w:r>
          </w:p>
        </w:tc>
      </w:tr>
      <w:tr>
        <w:trPr>
          <w:cantSplit/>
        </w:trPr>
        <w:tc>
          <w:tcPr>
            <w:tcW w:type="dxa" w:w="2600"/>
            <w:shd w:fill="EDF2FA" w:color="auto" w:val="clear"/>
            <w:tcMar>
              <w:top w:type="dxa" w:w="70"/>
              <w:left w:type="dxa" w:w="110"/>
              <w:bottom w:type="dxa" w:w="70"/>
              <w:right w:type="dxa" w:w="110"/>
            </w:tcMar>
            <w:vAlign w:val="center"/>
          </w:tcPr>
          <w:p>
            <w:pPr>
              <w:jc w:val="left"/>
            </w:pPr>
            <w:r>
              <w:rPr>
                <w:b w:val="false"/>
                <w:bCs w:val="false"/>
                <w:sz w:val="19"/>
                <w:szCs w:val="19"/>
              </w:rPr>
              <w:t xml:space="preserve">Integration / contract</w:t>
            </w:r>
          </w:p>
        </w:tc>
        <w:tc>
          <w:tcPr>
            <w:tcW w:type="dxa" w:w="5200"/>
            <w:shd w:fill="EDF2FA" w:color="auto" w:val="clear"/>
            <w:tcMar>
              <w:top w:type="dxa" w:w="70"/>
              <w:left w:type="dxa" w:w="110"/>
              <w:bottom w:type="dxa" w:w="70"/>
              <w:right w:type="dxa" w:w="110"/>
            </w:tcMar>
            <w:vAlign w:val="center"/>
          </w:tcPr>
          <w:p>
            <w:pPr>
              <w:jc w:val="left"/>
            </w:pPr>
            <w:r>
              <w:rPr>
                <w:b w:val="false"/>
                <w:bCs w:val="false"/>
                <w:sz w:val="19"/>
                <w:szCs w:val="19"/>
              </w:rPr>
              <w:t xml:space="preserve">Spring Boot Test + Testcontainers (PostgreSQL) · Spring Modulith Test</w:t>
            </w:r>
          </w:p>
        </w:tc>
        <w:tc>
          <w:tcPr>
            <w:tcW w:type="dxa" w:w="2280"/>
            <w:shd w:fill="EDF2FA" w:color="auto" w:val="clear"/>
            <w:tcMar>
              <w:top w:type="dxa" w:w="70"/>
              <w:left w:type="dxa" w:w="110"/>
              <w:bottom w:type="dxa" w:w="70"/>
              <w:right w:type="dxa" w:w="110"/>
            </w:tcMar>
            <w:vAlign w:val="center"/>
          </w:tcPr>
          <w:p>
            <w:pPr>
              <w:jc w:val="left"/>
            </w:pPr>
            <w:r>
              <w:rPr>
                <w:b w:val="false"/>
                <w:bCs w:val="false"/>
                <w:sz w:val="19"/>
                <w:szCs w:val="19"/>
              </w:rPr>
              <w:t xml:space="preserve">Implementado (48 + 3 tests)</w:t>
            </w:r>
          </w:p>
        </w:tc>
      </w:tr>
      <w:tr>
        <w:trPr>
          <w:cantSplit/>
        </w:trPr>
        <w:tc>
          <w:tcPr>
            <w:tcW w:type="dxa" w:w="2600"/>
            <w:tcMar>
              <w:top w:type="dxa" w:w="70"/>
              <w:left w:type="dxa" w:w="110"/>
              <w:bottom w:type="dxa" w:w="70"/>
              <w:right w:type="dxa" w:w="110"/>
            </w:tcMar>
            <w:vAlign w:val="center"/>
          </w:tcPr>
          <w:p>
            <w:pPr>
              <w:jc w:val="left"/>
            </w:pPr>
            <w:r>
              <w:rPr>
                <w:b w:val="false"/>
                <w:bCs w:val="false"/>
                <w:sz w:val="19"/>
                <w:szCs w:val="19"/>
              </w:rPr>
              <w:t xml:space="preserve">Integration / contract (LLM)</w:t>
            </w:r>
          </w:p>
        </w:tc>
        <w:tc>
          <w:tcPr>
            <w:tcW w:type="dxa" w:w="5200"/>
            <w:tcMar>
              <w:top w:type="dxa" w:w="70"/>
              <w:left w:type="dxa" w:w="110"/>
              <w:bottom w:type="dxa" w:w="70"/>
              <w:right w:type="dxa" w:w="110"/>
            </w:tcMar>
            <w:vAlign w:val="center"/>
          </w:tcPr>
          <w:p>
            <w:pPr>
              <w:jc w:val="left"/>
            </w:pPr>
            <w:r>
              <w:rPr>
                <w:b w:val="false"/>
                <w:bCs w:val="false"/>
                <w:sz w:val="19"/>
                <w:szCs w:val="19"/>
              </w:rPr>
              <w:t xml:space="preserve">WireMock para simular Ollama / Open WebUI sin llamar al modelo real</w:t>
            </w:r>
          </w:p>
        </w:tc>
        <w:tc>
          <w:tcPr>
            <w:tcW w:type="dxa" w:w="2280"/>
            <w:tcMar>
              <w:top w:type="dxa" w:w="70"/>
              <w:left w:type="dxa" w:w="110"/>
              <w:bottom w:type="dxa" w:w="70"/>
              <w:right w:type="dxa" w:w="110"/>
            </w:tcMar>
            <w:vAlign w:val="center"/>
          </w:tcPr>
          <w:p>
            <w:pPr>
              <w:jc w:val="left"/>
            </w:pPr>
            <w:r>
              <w:rPr>
                <w:b w:val="false"/>
                <w:bCs w:val="false"/>
                <w:sz w:val="19"/>
                <w:szCs w:val="19"/>
              </w:rPr>
              <w:t xml:space="preserve">Pendiente de incorporar</w:t>
            </w:r>
          </w:p>
        </w:tc>
      </w:tr>
      <w:tr>
        <w:trPr>
          <w:cantSplit/>
        </w:trPr>
        <w:tc>
          <w:tcPr>
            <w:tcW w:type="dxa" w:w="2600"/>
            <w:shd w:fill="EDF2FA" w:color="auto" w:val="clear"/>
            <w:tcMar>
              <w:top w:type="dxa" w:w="70"/>
              <w:left w:type="dxa" w:w="110"/>
              <w:bottom w:type="dxa" w:w="70"/>
              <w:right w:type="dxa" w:w="110"/>
            </w:tcMar>
            <w:vAlign w:val="center"/>
          </w:tcPr>
          <w:p>
            <w:pPr>
              <w:jc w:val="left"/>
            </w:pPr>
            <w:r>
              <w:rPr>
                <w:b w:val="false"/>
                <w:bCs w:val="false"/>
                <w:sz w:val="19"/>
                <w:szCs w:val="19"/>
              </w:rPr>
              <w:t xml:space="preserve">UI / E2E — web</w:t>
            </w:r>
          </w:p>
        </w:tc>
        <w:tc>
          <w:tcPr>
            <w:tcW w:type="dxa" w:w="5200"/>
            <w:shd w:fill="EDF2FA" w:color="auto" w:val="clear"/>
            <w:tcMar>
              <w:top w:type="dxa" w:w="70"/>
              <w:left w:type="dxa" w:w="110"/>
              <w:bottom w:type="dxa" w:w="70"/>
              <w:right w:type="dxa" w:w="110"/>
            </w:tcMar>
            <w:vAlign w:val="center"/>
          </w:tcPr>
          <w:p>
            <w:pPr>
              <w:jc w:val="left"/>
            </w:pPr>
            <w:r>
              <w:rPr>
                <w:b w:val="false"/>
                <w:bCs w:val="false"/>
                <w:sz w:val="19"/>
                <w:szCs w:val="19"/>
              </w:rPr>
              <w:t xml:space="preserve">Playwright (flujos de pantalla completos sobre Angular)</w:t>
            </w:r>
          </w:p>
        </w:tc>
        <w:tc>
          <w:tcPr>
            <w:tcW w:type="dxa" w:w="2280"/>
            <w:shd w:fill="EDF2FA" w:color="auto" w:val="clear"/>
            <w:tcMar>
              <w:top w:type="dxa" w:w="70"/>
              <w:left w:type="dxa" w:w="110"/>
              <w:bottom w:type="dxa" w:w="70"/>
              <w:right w:type="dxa" w:w="110"/>
            </w:tcMar>
            <w:vAlign w:val="center"/>
          </w:tcPr>
          <w:p>
            <w:pPr>
              <w:jc w:val="left"/>
            </w:pPr>
            <w:r>
              <w:rPr>
                <w:b w:val="false"/>
                <w:bCs w:val="false"/>
                <w:sz w:val="19"/>
                <w:szCs w:val="19"/>
              </w:rPr>
              <w:t xml:space="preserve">Pendiente de incorporar</w:t>
            </w:r>
          </w:p>
        </w:tc>
      </w:tr>
      <w:tr>
        <w:trPr>
          <w:cantSplit/>
        </w:trPr>
        <w:tc>
          <w:tcPr>
            <w:tcW w:type="dxa" w:w="2600"/>
            <w:tcMar>
              <w:top w:type="dxa" w:w="70"/>
              <w:left w:type="dxa" w:w="110"/>
              <w:bottom w:type="dxa" w:w="70"/>
              <w:right w:type="dxa" w:w="110"/>
            </w:tcMar>
            <w:vAlign w:val="center"/>
          </w:tcPr>
          <w:p>
            <w:pPr>
              <w:jc w:val="left"/>
            </w:pPr>
            <w:r>
              <w:rPr>
                <w:b w:val="false"/>
                <w:bCs w:val="false"/>
                <w:sz w:val="19"/>
                <w:szCs w:val="19"/>
              </w:rPr>
              <w:t xml:space="preserve">Red-teaming / seguridad</w:t>
            </w:r>
          </w:p>
        </w:tc>
        <w:tc>
          <w:tcPr>
            <w:tcW w:type="dxa" w:w="5200"/>
            <w:tcMar>
              <w:top w:type="dxa" w:w="70"/>
              <w:left w:type="dxa" w:w="110"/>
              <w:bottom w:type="dxa" w:w="70"/>
              <w:right w:type="dxa" w:w="110"/>
            </w:tcMar>
            <w:vAlign w:val="center"/>
          </w:tcPr>
          <w:p>
            <w:pPr>
              <w:jc w:val="left"/>
            </w:pPr>
            <w:r>
              <w:rPr>
                <w:b w:val="false"/>
                <w:bCs w:val="false"/>
                <w:sz w:val="19"/>
                <w:szCs w:val="19"/>
              </w:rPr>
              <w:t xml:space="preserve">promptfoo (inyección de prompt, fuga de datos entre tenants en /api/v1/ai/chat)</w:t>
            </w:r>
          </w:p>
        </w:tc>
        <w:tc>
          <w:tcPr>
            <w:tcW w:type="dxa" w:w="2280"/>
            <w:tcMar>
              <w:top w:type="dxa" w:w="70"/>
              <w:left w:type="dxa" w:w="110"/>
              <w:bottom w:type="dxa" w:w="70"/>
              <w:right w:type="dxa" w:w="110"/>
            </w:tcMar>
            <w:vAlign w:val="center"/>
          </w:tcPr>
          <w:p>
            <w:pPr>
              <w:jc w:val="left"/>
            </w:pPr>
            <w:r>
              <w:rPr>
                <w:b w:val="false"/>
                <w:bCs w:val="false"/>
                <w:sz w:val="19"/>
                <w:szCs w:val="19"/>
              </w:rPr>
              <w:t xml:space="preserve">Pendiente de incorporar</w:t>
            </w:r>
          </w:p>
        </w:tc>
      </w:tr>
      <w:tr>
        <w:trPr>
          <w:cantSplit/>
        </w:trPr>
        <w:tc>
          <w:tcPr>
            <w:tcW w:type="dxa" w:w="2600"/>
            <w:shd w:fill="EDF2FA" w:color="auto" w:val="clear"/>
            <w:tcMar>
              <w:top w:type="dxa" w:w="70"/>
              <w:left w:type="dxa" w:w="110"/>
              <w:bottom w:type="dxa" w:w="70"/>
              <w:right w:type="dxa" w:w="110"/>
            </w:tcMar>
            <w:vAlign w:val="center"/>
          </w:tcPr>
          <w:p>
            <w:pPr>
              <w:jc w:val="left"/>
            </w:pPr>
            <w:r>
              <w:rPr>
                <w:b w:val="false"/>
                <w:bCs w:val="false"/>
                <w:sz w:val="19"/>
                <w:szCs w:val="19"/>
              </w:rPr>
              <w:t xml:space="preserve">Evals de IA (offline)</w:t>
            </w:r>
          </w:p>
        </w:tc>
        <w:tc>
          <w:tcPr>
            <w:tcW w:type="dxa" w:w="5200"/>
            <w:shd w:fill="EDF2FA" w:color="auto" w:val="clear"/>
            <w:tcMar>
              <w:top w:type="dxa" w:w="70"/>
              <w:left w:type="dxa" w:w="110"/>
              <w:bottom w:type="dxa" w:w="70"/>
              <w:right w:type="dxa" w:w="110"/>
            </w:tcMar>
            <w:vAlign w:val="center"/>
          </w:tcPr>
          <w:p>
            <w:pPr>
              <w:jc w:val="left"/>
            </w:pPr>
            <w:r>
              <w:rPr>
                <w:b w:val="false"/>
                <w:bCs w:val="false"/>
                <w:sz w:val="19"/>
                <w:szCs w:val="19"/>
              </w:rPr>
              <w:t xml:space="preserve">DeepEval o RAGAS con dataset dorado para ExtraerConsultaUsuarioService y el chat libre</w:t>
            </w:r>
          </w:p>
        </w:tc>
        <w:tc>
          <w:tcPr>
            <w:tcW w:type="dxa" w:w="2280"/>
            <w:shd w:fill="EDF2FA" w:color="auto" w:val="clear"/>
            <w:tcMar>
              <w:top w:type="dxa" w:w="70"/>
              <w:left w:type="dxa" w:w="110"/>
              <w:bottom w:type="dxa" w:w="70"/>
              <w:right w:type="dxa" w:w="110"/>
            </w:tcMar>
            <w:vAlign w:val="center"/>
          </w:tcPr>
          <w:p>
            <w:pPr>
              <w:jc w:val="left"/>
            </w:pPr>
            <w:r>
              <w:rPr>
                <w:b w:val="false"/>
                <w:bCs w:val="false"/>
                <w:sz w:val="19"/>
                <w:szCs w:val="19"/>
              </w:rPr>
              <w:t xml:space="preserve">Pendiente de incorporar</w:t>
            </w:r>
          </w:p>
        </w:tc>
      </w:tr>
      <w:tr>
        <w:trPr>
          <w:cantSplit/>
        </w:trPr>
        <w:tc>
          <w:tcPr>
            <w:tcW w:type="dxa" w:w="2600"/>
            <w:tcMar>
              <w:top w:type="dxa" w:w="70"/>
              <w:left w:type="dxa" w:w="110"/>
              <w:bottom w:type="dxa" w:w="70"/>
              <w:right w:type="dxa" w:w="110"/>
            </w:tcMar>
            <w:vAlign w:val="center"/>
          </w:tcPr>
          <w:p>
            <w:pPr>
              <w:jc w:val="left"/>
            </w:pPr>
            <w:r>
              <w:rPr>
                <w:b w:val="false"/>
                <w:bCs w:val="false"/>
                <w:sz w:val="19"/>
                <w:szCs w:val="19"/>
              </w:rPr>
              <w:t xml:space="preserve">Monitoreo en producción</w:t>
            </w:r>
          </w:p>
        </w:tc>
        <w:tc>
          <w:tcPr>
            <w:tcW w:type="dxa" w:w="5200"/>
            <w:tcMar>
              <w:top w:type="dxa" w:w="70"/>
              <w:left w:type="dxa" w:w="110"/>
              <w:bottom w:type="dxa" w:w="70"/>
              <w:right w:type="dxa" w:w="110"/>
            </w:tcMar>
            <w:vAlign w:val="center"/>
          </w:tcPr>
          <w:p>
            <w:pPr>
              <w:jc w:val="left"/>
            </w:pPr>
            <w:r>
              <w:rPr>
                <w:b w:val="false"/>
                <w:bCs w:val="false"/>
                <w:sz w:val="19"/>
                <w:szCs w:val="19"/>
              </w:rPr>
              <w:t xml:space="preserve">Langfuse (trazas de prompts/respuestas reales, detección de drift)</w:t>
            </w:r>
          </w:p>
        </w:tc>
        <w:tc>
          <w:tcPr>
            <w:tcW w:type="dxa" w:w="2280"/>
            <w:tcMar>
              <w:top w:type="dxa" w:w="70"/>
              <w:left w:type="dxa" w:w="110"/>
              <w:bottom w:type="dxa" w:w="70"/>
              <w:right w:type="dxa" w:w="110"/>
            </w:tcMar>
            <w:vAlign w:val="center"/>
          </w:tcPr>
          <w:p>
            <w:pPr>
              <w:jc w:val="left"/>
            </w:pPr>
            <w:r>
              <w:rPr>
                <w:b w:val="false"/>
                <w:bCs w:val="false"/>
                <w:sz w:val="19"/>
                <w:szCs w:val="19"/>
              </w:rPr>
              <w:t xml:space="preserve">Pendiente de incorporar</w:t>
            </w:r>
          </w:p>
        </w:tc>
      </w:tr>
    </w:tbl>
    <w:p>
      <w:pPr>
        <w:spacing w:after="140"/>
      </w:pPr>
      <w:r>
        <w:t xml:space="preserve"/>
      </w:r>
    </w:p>
    <w:p>
      <w:pPr>
        <w:spacing w:after="140"/>
      </w:pPr>
      <w:r>
        <w:rPr>
          <w:i/>
          <w:iCs/>
          <w:color w:val="666666"/>
          <w:sz w:val="18"/>
          <w:szCs w:val="18"/>
        </w:rPr>
        <w:t xml:space="preserve">Nota: las tres capas base ya cuentan con cobertura real y verificable en el repositorio (ver Informe de Pruebas Unitarias adjunto). Las tres capas superiores están identificadas y justificadas en este informe, pero su implementación queda como trabajo futuro, dado que la capacidad de IA de EduSync es todavía un spike acotado (ADR pendiente de formalizar) y no forma parte del alcance evaluado en el baseline congelado.</w:t>
      </w:r>
    </w:p>
    <w:p>
      <w:r>
        <w:br w:type="page"/>
      </w:r>
    </w:p>
    <w:p>
      <w:pPr>
        <w:pStyle w:val="Heading1"/>
        <w:spacing w:after="180" w:before="360"/>
      </w:pPr>
      <w:r>
        <w:t xml:space="preserve">7. Conclusiones</w:t>
      </w:r>
    </w:p>
    <w:p>
      <w:pPr>
        <w:spacing w:after="140"/>
      </w:pPr>
      <w:r>
        <w:t xml:space="preserve">De las 19 partes del producto EduSync analizadas, 17 son deterministas y 2 son probabilísticas. Esto confirma que la mayoría de las capacidades del sistema — autenticación, los nueve CRUD académicos, el cálculo de notas y el aislamiento multi-tenant — se prueban y se seguirán probando con los asserts de toda la vida, sin necesidad de datasets dorados ni umbrales de aceptación.</w:t>
      </w:r>
    </w:p>
    <w:p>
      <w:pPr>
        <w:spacing w:after="140"/>
      </w:pPr>
      <w:r>
        <w:t xml:space="preserve">La única funcionalidad genuinamente probabilística es la que invoca un modelo de lenguaje (Ollama / Open WebUI): el chat libre y la interpretación semántica dentro de la extracción de consultas en lenguaje natural. Incluso dentro de esa funcionalidad, el código que rodea al modelo (reintentos, parseo, validación de esquema, búsqueda final en base de datos) sigue siendo determinista y ya está cubierto por pruebas unitarias y de contrato existentes.</w:t>
      </w:r>
    </w:p>
    <w:p>
      <w:pPr>
        <w:spacing w:after="140"/>
      </w:pPr>
      <w:r>
        <w:t xml:space="preserve">Recomendación: antes de ampliar la capacidad de IA de EduSync, incorporar las tres capas superiores pendientes (evals offline con dataset dorado, red-teaming con promptfoo y monitoreo con Langfuse) como parte del Definition of Done de cualquier nuevo caso de uso que dependa del LLM, evitando tanto sub-probar (confiar en el modelo sin medir precisión) como sobre-probar (aplicar evals de IA a código que en realidad es determinista).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Página </w:t>
    </w:r>
    <w:r>
      <w:rPr>
        <w:color w:val="666666"/>
        <w:sz w:val="16"/>
        <w:szCs w:val="16"/>
      </w:rPr>
      <w:fldChar w:fldCharType="begin"/>
      <w:instrText xml:space="preserve">PAGE</w:instrText>
      <w:fldChar w:fldCharType="separate"/>
      <w:fldChar w:fldCharType="end"/>
    </w:r>
    <w:r>
      <w:rPr>
        <w:color w:val="666666"/>
        <w:sz w:val="16"/>
        <w:szCs w:val="16"/>
      </w:rPr>
      <w:t xml:space="preserve"> de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EduSync — Pirámide de Pruebas ampliada para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pPr>
    <w:rPr>
      <w:b/>
      <w:bCs/>
      <w:color w:val="1F3864"/>
      <w:sz w:val="30"/>
      <w:szCs w:val="30"/>
    </w:rPr>
  </w:style>
  <w:style w:type="paragraph" w:styleId="Heading2">
    <w:name w:val="Heading 2"/>
    <w:basedOn w:val="Normal"/>
    <w:next w:val="Normal"/>
    <w:qFormat/>
    <w:pPr>
      <w:spacing w:after="120" w:before="240"/>
    </w:pPr>
    <w:rPr>
      <w:b/>
      <w:bCs/>
      <w:color w:val="2E5395"/>
      <w:sz w:val="25"/>
      <w:szCs w:val="25"/>
    </w:rPr>
  </w:style>
  <w:style w:type="paragraph" w:styleId="Heading3">
    <w:name w:val="Heading 3"/>
    <w:basedOn w:val="Normal"/>
    <w:next w:val="Normal"/>
    <w:qFormat/>
    <w:pPr>
      <w:spacing w:after="90" w:before="180"/>
    </w:pPr>
    <w:rPr>
      <w:b/>
      <w:bCs/>
      <w:i/>
      <w:iCs/>
      <w:color w:val="3B3B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2026-09-04T23:02:58.437Z</dcterms:created>
  <dcterms:modified xsi:type="dcterms:W3CDTF">2026-09-04T23:02:58.437Z</dcterms:modified>
</cp:coreProperties>
</file>

<file path=docProps/custom.xml><?xml version="1.0" encoding="utf-8"?>
<Properties xmlns="http://schemas.openxmlformats.org/officeDocument/2006/custom-properties" xmlns:vt="http://schemas.openxmlformats.org/officeDocument/2006/docPropsVTypes"/>
</file>