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9.wmf" ContentType="image/x-wmf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ГОСУДАРСТВЕННОЕ БЮДЖЕТНОЕ ПРОФЕССИОНАЛЬНОЕ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ОБРАЗОВАТЕЛЬНОЕ УЧРЕЖДЕНИЕ РЕСПУБЛИКИ ХАКАСИЯ</w:t>
      </w:r>
    </w:p>
    <w:p>
      <w:pPr>
        <w:pStyle w:val="Normal1"/>
        <w:spacing w:lineRule="auto" w:line="259" w:before="0" w:after="16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«ХАКАССКИЙ ПОЛИТЕХНИЧЕСКИЙ КОЛЛЕДЖ»</w:t>
      </w:r>
    </w:p>
    <w:p>
      <w:pPr>
        <w:pStyle w:val="Normal1"/>
        <w:spacing w:lineRule="auto" w:line="259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spacing w:lineRule="auto" w:line="259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ОТЧЕТ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 учебной практике</w:t>
      </w:r>
    </w:p>
    <w:p>
      <w:pPr>
        <w:pStyle w:val="Normal1"/>
        <w:spacing w:lineRule="auto" w:line="259" w:before="0" w:after="16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 профессиональному модулю</w:t>
      </w:r>
    </w:p>
    <w:p>
      <w:pPr>
        <w:pStyle w:val="Normal1"/>
        <w:spacing w:lineRule="auto" w:line="259" w:before="0" w:after="16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59" w:before="0" w:after="160"/>
        <w:jc w:val="center"/>
        <w:rPr>
          <w:rFonts w:ascii="Times New Roman" w:hAnsi="Times New Roman" w:eastAsia="Times New Roman" w:cs="Times New Roman"/>
          <w:i/>
          <w:i/>
          <w:smallCaps/>
          <w:sz w:val="24"/>
          <w:szCs w:val="24"/>
          <w:vertAlign w:val="superscript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ПМ.02 </w:t>
      </w:r>
      <w:r>
        <w:rPr>
          <w:rFonts w:eastAsia="Times New Roman" w:cs="Times New Roman" w:ascii="Times New Roman" w:hAnsi="Times New Roman"/>
          <w:smallCaps/>
          <w:sz w:val="20"/>
          <w:szCs w:val="20"/>
        </w:rPr>
        <w:t>ОСУЩЕСТВЛЕНИЕ ИНТЕГРАЦИИ ПРОГРАММНЫХ МОДУЛЕЙ</w:t>
      </w:r>
    </w:p>
    <w:p>
      <w:pPr>
        <w:pStyle w:val="Normal1"/>
        <w:spacing w:lineRule="auto" w:line="259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специальности </w:t>
      </w:r>
      <w:r>
        <w:rPr>
          <w:rFonts w:eastAsia="Times New Roman" w:cs="Times New Roman" w:ascii="Times New Roman" w:hAnsi="Times New Roman"/>
        </w:rPr>
        <w:t xml:space="preserve">09.02.07 Информационные системы и программирование </w:t>
        <w:br/>
        <w:t>Квалификация Технический писатель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59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59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tbl>
      <w:tblPr>
        <w:tblStyle w:val="TableNormal"/>
        <w:tblW w:w="9605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1680"/>
        <w:gridCol w:w="1691"/>
        <w:gridCol w:w="567"/>
        <w:gridCol w:w="1687"/>
        <w:gridCol w:w="436"/>
        <w:gridCol w:w="3543"/>
      </w:tblGrid>
      <w:tr>
        <w:trPr/>
        <w:tc>
          <w:tcPr>
            <w:tcW w:w="1680" w:type="dxa"/>
            <w:tcBorders/>
            <w:vAlign w:val="bottom"/>
          </w:tcPr>
          <w:p>
            <w:pPr>
              <w:pStyle w:val="Normal1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Студент гр.</w:t>
            </w:r>
          </w:p>
        </w:tc>
        <w:tc>
          <w:tcPr>
            <w:tcW w:w="169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1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eastAsia="Calibri" w:cs="Times New Roman"/>
              </w:rPr>
            </w:pPr>
            <w:bookmarkStart w:id="0" w:name="_gjdgxs"/>
            <w:bookmarkEnd w:id="0"/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ИС(ТП)-31</w:t>
            </w:r>
          </w:p>
        </w:tc>
        <w:tc>
          <w:tcPr>
            <w:tcW w:w="567" w:type="dxa"/>
            <w:tcBorders/>
            <w:vAlign w:val="bottom"/>
          </w:tcPr>
          <w:p>
            <w:pPr>
              <w:pStyle w:val="Normal1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</w:r>
          </w:p>
        </w:tc>
        <w:tc>
          <w:tcPr>
            <w:tcW w:w="1687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1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</w:r>
          </w:p>
        </w:tc>
        <w:tc>
          <w:tcPr>
            <w:tcW w:w="436" w:type="dxa"/>
            <w:tcBorders/>
            <w:vAlign w:val="bottom"/>
          </w:tcPr>
          <w:p>
            <w:pPr>
              <w:pStyle w:val="Normal1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</w:r>
          </w:p>
        </w:tc>
        <w:tc>
          <w:tcPr>
            <w:tcW w:w="354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1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Брытчиков А.И.</w:t>
            </w:r>
          </w:p>
        </w:tc>
      </w:tr>
      <w:tr>
        <w:trPr/>
        <w:tc>
          <w:tcPr>
            <w:tcW w:w="1680" w:type="dxa"/>
            <w:tcBorders/>
          </w:tcPr>
          <w:p>
            <w:pPr>
              <w:pStyle w:val="Normal1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</w:r>
          </w:p>
        </w:tc>
        <w:tc>
          <w:tcPr>
            <w:tcW w:w="1691" w:type="dxa"/>
            <w:tcBorders>
              <w:top w:val="single" w:sz="4" w:space="0" w:color="000000"/>
            </w:tcBorders>
          </w:tcPr>
          <w:p>
            <w:pPr>
              <w:pStyle w:val="Normal1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</w:r>
          </w:p>
        </w:tc>
        <w:tc>
          <w:tcPr>
            <w:tcW w:w="567" w:type="dxa"/>
            <w:tcBorders/>
          </w:tcPr>
          <w:p>
            <w:pPr>
              <w:pStyle w:val="Normal1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</w:r>
          </w:p>
        </w:tc>
        <w:tc>
          <w:tcPr>
            <w:tcW w:w="1687" w:type="dxa"/>
            <w:tcBorders>
              <w:top w:val="single" w:sz="4" w:space="0" w:color="000000"/>
            </w:tcBorders>
          </w:tcPr>
          <w:p>
            <w:pPr>
              <w:pStyle w:val="Normal1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4"/>
                <w:vertAlign w:val="superscript"/>
                <w:lang w:val="ru-RU" w:eastAsia="zh-CN" w:bidi="hi-IN"/>
              </w:rPr>
              <w:t>подпись</w:t>
            </w:r>
          </w:p>
        </w:tc>
        <w:tc>
          <w:tcPr>
            <w:tcW w:w="436" w:type="dxa"/>
            <w:tcBorders/>
          </w:tcPr>
          <w:p>
            <w:pPr>
              <w:pStyle w:val="Normal1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</w:r>
          </w:p>
        </w:tc>
        <w:tc>
          <w:tcPr>
            <w:tcW w:w="3543" w:type="dxa"/>
            <w:tcBorders>
              <w:top w:val="single" w:sz="4" w:space="0" w:color="000000"/>
            </w:tcBorders>
          </w:tcPr>
          <w:p>
            <w:pPr>
              <w:pStyle w:val="Normal1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4"/>
                <w:vertAlign w:val="superscript"/>
                <w:lang w:val="ru-RU" w:eastAsia="zh-CN" w:bidi="hi-IN"/>
              </w:rPr>
              <w:t>Фамилия И.О.</w:t>
            </w:r>
          </w:p>
        </w:tc>
      </w:tr>
    </w:tbl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Normal"/>
        <w:tblW w:w="9887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095"/>
        <w:gridCol w:w="1231"/>
        <w:gridCol w:w="240"/>
        <w:gridCol w:w="1538"/>
        <w:gridCol w:w="296"/>
        <w:gridCol w:w="1372"/>
        <w:gridCol w:w="241"/>
        <w:gridCol w:w="2872"/>
      </w:tblGrid>
      <w:tr>
        <w:trPr/>
        <w:tc>
          <w:tcPr>
            <w:tcW w:w="2095" w:type="dxa"/>
            <w:tcBorders/>
            <w:vAlign w:val="bottom"/>
          </w:tcPr>
          <w:p>
            <w:pPr>
              <w:pStyle w:val="Normal1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ru-RU" w:eastAsia="zh-CN" w:bidi="hi-IN"/>
              </w:rPr>
              <w:t>Руководитель практики</w:t>
            </w:r>
          </w:p>
          <w:p>
            <w:pPr>
              <w:pStyle w:val="Normal1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ru-RU" w:eastAsia="zh-CN" w:bidi="hi-IN"/>
              </w:rPr>
              <w:t>от ГБПОУ РХ ХПК</w:t>
            </w:r>
          </w:p>
        </w:tc>
        <w:tc>
          <w:tcPr>
            <w:tcW w:w="123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1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</w:r>
          </w:p>
        </w:tc>
        <w:tc>
          <w:tcPr>
            <w:tcW w:w="240" w:type="dxa"/>
            <w:tcBorders/>
            <w:vAlign w:val="bottom"/>
          </w:tcPr>
          <w:p>
            <w:pPr>
              <w:pStyle w:val="Normal1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</w:r>
          </w:p>
        </w:tc>
        <w:tc>
          <w:tcPr>
            <w:tcW w:w="153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1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</w:r>
          </w:p>
        </w:tc>
        <w:tc>
          <w:tcPr>
            <w:tcW w:w="296" w:type="dxa"/>
            <w:tcBorders/>
            <w:vAlign w:val="bottom"/>
          </w:tcPr>
          <w:p>
            <w:pPr>
              <w:pStyle w:val="Normal1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</w:r>
          </w:p>
        </w:tc>
        <w:tc>
          <w:tcPr>
            <w:tcW w:w="137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1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</w:r>
          </w:p>
        </w:tc>
        <w:tc>
          <w:tcPr>
            <w:tcW w:w="241" w:type="dxa"/>
            <w:tcBorders/>
            <w:vAlign w:val="bottom"/>
          </w:tcPr>
          <w:p>
            <w:pPr>
              <w:pStyle w:val="Normal1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</w:r>
          </w:p>
        </w:tc>
        <w:tc>
          <w:tcPr>
            <w:tcW w:w="287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1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Головина Е.А.</w:t>
            </w:r>
          </w:p>
        </w:tc>
      </w:tr>
      <w:tr>
        <w:trPr/>
        <w:tc>
          <w:tcPr>
            <w:tcW w:w="2095" w:type="dxa"/>
            <w:tcBorders/>
          </w:tcPr>
          <w:p>
            <w:pPr>
              <w:pStyle w:val="Normal1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</w:r>
          </w:p>
        </w:tc>
        <w:tc>
          <w:tcPr>
            <w:tcW w:w="1231" w:type="dxa"/>
            <w:tcBorders>
              <w:top w:val="single" w:sz="4" w:space="0" w:color="000000"/>
            </w:tcBorders>
          </w:tcPr>
          <w:p>
            <w:pPr>
              <w:pStyle w:val="Normal1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4"/>
                <w:vertAlign w:val="superscript"/>
                <w:lang w:val="ru-RU" w:eastAsia="zh-CN" w:bidi="hi-IN"/>
              </w:rPr>
              <w:t>оценка</w:t>
            </w:r>
          </w:p>
        </w:tc>
        <w:tc>
          <w:tcPr>
            <w:tcW w:w="240" w:type="dxa"/>
            <w:tcBorders/>
          </w:tcPr>
          <w:p>
            <w:pPr>
              <w:pStyle w:val="Normal1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</w:r>
          </w:p>
        </w:tc>
        <w:tc>
          <w:tcPr>
            <w:tcW w:w="1538" w:type="dxa"/>
            <w:tcBorders>
              <w:top w:val="single" w:sz="4" w:space="0" w:color="000000"/>
            </w:tcBorders>
          </w:tcPr>
          <w:p>
            <w:pPr>
              <w:pStyle w:val="Normal1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4"/>
                <w:vertAlign w:val="superscript"/>
                <w:lang w:val="ru-RU" w:eastAsia="zh-CN" w:bidi="hi-IN"/>
              </w:rPr>
              <w:t>дата</w:t>
            </w:r>
          </w:p>
        </w:tc>
        <w:tc>
          <w:tcPr>
            <w:tcW w:w="296" w:type="dxa"/>
            <w:tcBorders/>
          </w:tcPr>
          <w:p>
            <w:pPr>
              <w:pStyle w:val="Normal1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</w:r>
          </w:p>
        </w:tc>
        <w:tc>
          <w:tcPr>
            <w:tcW w:w="1372" w:type="dxa"/>
            <w:tcBorders>
              <w:top w:val="single" w:sz="4" w:space="0" w:color="000000"/>
            </w:tcBorders>
          </w:tcPr>
          <w:p>
            <w:pPr>
              <w:pStyle w:val="Normal1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4"/>
                <w:vertAlign w:val="superscript"/>
                <w:lang w:val="ru-RU" w:eastAsia="zh-CN" w:bidi="hi-IN"/>
              </w:rPr>
              <w:t>подпись</w:t>
            </w:r>
          </w:p>
        </w:tc>
        <w:tc>
          <w:tcPr>
            <w:tcW w:w="241" w:type="dxa"/>
            <w:tcBorders/>
          </w:tcPr>
          <w:p>
            <w:pPr>
              <w:pStyle w:val="Normal1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</w:r>
          </w:p>
        </w:tc>
        <w:tc>
          <w:tcPr>
            <w:tcW w:w="2872" w:type="dxa"/>
            <w:tcBorders>
              <w:top w:val="single" w:sz="4" w:space="0" w:color="000000"/>
            </w:tcBorders>
          </w:tcPr>
          <w:p>
            <w:pPr>
              <w:pStyle w:val="Normal1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kern w:val="0"/>
                <w:sz w:val="24"/>
                <w:szCs w:val="24"/>
                <w:vertAlign w:val="superscript"/>
                <w:lang w:val="ru-RU" w:eastAsia="zh-CN" w:bidi="hi-IN"/>
              </w:rPr>
              <w:t>Фамилия И.О.</w:t>
            </w:r>
          </w:p>
        </w:tc>
      </w:tr>
    </w:tbl>
    <w:p>
      <w:pPr>
        <w:pStyle w:val="Normal1"/>
        <w:spacing w:lineRule="auto" w:line="259" w:before="0" w:after="1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tabs>
          <w:tab w:val="clear" w:pos="720"/>
          <w:tab w:val="left" w:pos="4039" w:leader="none"/>
        </w:tabs>
        <w:spacing w:lineRule="auto" w:line="259" w:before="0" w:after="1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</w:t>
      </w:r>
      <w:r>
        <w:rPr>
          <w:rFonts w:eastAsia="Times New Roman" w:cs="Times New Roman" w:ascii="Times New Roman" w:hAnsi="Times New Roman"/>
        </w:rPr>
        <w:tab/>
      </w:r>
    </w:p>
    <w:p>
      <w:pPr>
        <w:pStyle w:val="Normal1"/>
        <w:tabs>
          <w:tab w:val="clear" w:pos="720"/>
          <w:tab w:val="left" w:pos="4039" w:leader="none"/>
        </w:tabs>
        <w:spacing w:lineRule="auto" w:line="259" w:before="0" w:after="1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tabs>
          <w:tab w:val="clear" w:pos="720"/>
          <w:tab w:val="left" w:pos="4039" w:leader="none"/>
        </w:tabs>
        <w:spacing w:lineRule="auto" w:line="259" w:before="0" w:after="1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tabs>
          <w:tab w:val="clear" w:pos="720"/>
          <w:tab w:val="left" w:pos="4039" w:leader="none"/>
        </w:tabs>
        <w:spacing w:lineRule="auto" w:line="259" w:before="0" w:after="1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440" w:right="1440" w:gutter="0" w:header="0" w:top="1440" w:footer="0" w:bottom="1440"/>
          <w:pgNumType w:start="1" w:fmt="decimal"/>
          <w:formProt w:val="false"/>
          <w:titlePg/>
          <w:textDirection w:val="lrTb"/>
          <w:docGrid w:type="default" w:linePitch="299" w:charSpace="8192"/>
        </w:sectPr>
        <w:pStyle w:val="Normal1"/>
        <w:spacing w:lineRule="auto" w:line="259" w:before="0" w:after="1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Абакан 2026 </w:t>
      </w:r>
    </w:p>
    <w:p>
      <w:pPr>
        <w:pStyle w:val="Normal1"/>
        <w:spacing w:lineRule="auto" w:line="259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Оглавление</w:t>
          </w:r>
        </w:p>
        <w:p>
          <w:pPr>
            <w:pStyle w:val="TOC1"/>
            <w:tabs>
              <w:tab w:val="clear" w:pos="720"/>
              <w:tab w:val="right" w:pos="9016" w:leader="dot"/>
            </w:tabs>
            <w:rPr>
              <w:rFonts w:ascii="Cambria" w:hAnsi="Cambria" w:eastAsia="Arial" w:cs="Arial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</w:rPr>
          </w:pPr>
          <w:r>
            <w:fldChar w:fldCharType="begin"/>
          </w:r>
          <w:r>
            <w:rPr>
              <w:webHidden/>
              <w:rStyle w:val="Style14"/>
              <w:rFonts w:cs="Times New Roman" w:ascii="Times New Roman" w:hAnsi="Times New Roman"/>
            </w:rPr>
            <w:instrText xml:space="preserve"> TOC \z \o "1-3" \u \h</w:instrText>
          </w:r>
          <w:r>
            <w:rPr>
              <w:webHidden/>
              <w:rStyle w:val="Style14"/>
              <w:rFonts w:cs="Times New Roman" w:ascii="Times New Roman" w:hAnsi="Times New Roman"/>
            </w:rPr>
            <w:fldChar w:fldCharType="separate"/>
          </w:r>
          <w:hyperlink w:anchor="_Toc227910127">
            <w:r>
              <w:rPr>
                <w:webHidden/>
                <w:rStyle w:val="Style14"/>
                <w:rFonts w:cs="Times New Roman" w:ascii="Times New Roman" w:hAnsi="Times New Roman"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_Toc227910127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16" w:leader="dot"/>
            </w:tabs>
            <w:rPr>
              <w:rFonts w:ascii="Cambria" w:hAnsi="Cambria" w:eastAsia="Arial" w:cs="Arial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</w:rPr>
          </w:pPr>
          <w:hyperlink w:anchor="_Toc227910128">
            <w:r>
              <w:rPr>
                <w:webHidden/>
                <w:rStyle w:val="Style14"/>
                <w:rFonts w:cs="Times New Roman" w:ascii="Times New Roman" w:hAnsi="Times New Roman"/>
              </w:rPr>
              <w:t>1 Анализ предметной области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_Toc227910128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6" w:leader="dot"/>
            </w:tabs>
            <w:rPr>
              <w:rFonts w:ascii="Cambria" w:hAnsi="Cambria" w:eastAsia="Arial" w:cs="Arial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</w:rPr>
          </w:pPr>
          <w:hyperlink w:anchor="_Toc227910129">
            <w:r>
              <w:rPr>
                <w:webHidden/>
                <w:rStyle w:val="Style14"/>
                <w:rFonts w:cs="Times New Roman" w:ascii="Times New Roman" w:hAnsi="Times New Roman"/>
              </w:rPr>
              <w:t>1.1 Изучение аналогов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_Toc227910129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016" w:leader="dot"/>
            </w:tabs>
            <w:rPr>
              <w:rFonts w:ascii="Cambria" w:hAnsi="Cambria" w:eastAsia="Arial" w:cs="Arial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</w:rPr>
          </w:pPr>
          <w:hyperlink w:anchor="_Toc227910130">
            <w:r>
              <w:rPr>
                <w:webHidden/>
                <w:rStyle w:val="Style14"/>
                <w:rFonts w:cs="Times New Roman" w:ascii="Times New Roman" w:hAnsi="Times New Roman"/>
              </w:rPr>
              <w:t>1.1.1 Альфа-Банк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_Toc227910130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016" w:leader="dot"/>
            </w:tabs>
            <w:rPr>
              <w:rFonts w:ascii="Cambria" w:hAnsi="Cambria" w:eastAsia="Arial" w:cs="Arial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</w:rPr>
          </w:pPr>
          <w:hyperlink w:anchor="_Toc227910131">
            <w:r>
              <w:rPr>
                <w:webHidden/>
                <w:rStyle w:val="Style14"/>
                <w:rFonts w:cs="Times New Roman" w:ascii="Times New Roman" w:hAnsi="Times New Roman"/>
              </w:rPr>
              <w:t>1.1.2. Тинькофф-Банк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_Toc227910131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016" w:leader="dot"/>
            </w:tabs>
            <w:rPr>
              <w:rFonts w:ascii="Cambria" w:hAnsi="Cambria" w:eastAsia="Arial" w:cs="Arial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</w:rPr>
          </w:pPr>
          <w:hyperlink w:anchor="_Toc227910132">
            <w:r>
              <w:rPr>
                <w:webHidden/>
                <w:rStyle w:val="Style14"/>
                <w:rFonts w:cs="Times New Roman" w:ascii="Times New Roman" w:hAnsi="Times New Roman"/>
              </w:rPr>
              <w:t>1.1.3 ВТБ-Банк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_Toc227910132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6" w:leader="dot"/>
            </w:tabs>
            <w:rPr>
              <w:rFonts w:ascii="Cambria" w:hAnsi="Cambria" w:eastAsia="Arial" w:cs="Arial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</w:rPr>
          </w:pPr>
          <w:hyperlink w:anchor="_Toc227910133">
            <w:r>
              <w:rPr>
                <w:webHidden/>
                <w:rStyle w:val="Style14"/>
                <w:rFonts w:cs="Times New Roman" w:ascii="Times New Roman" w:hAnsi="Times New Roman"/>
              </w:rPr>
              <w:t>1.2 Описание выбранного case-средства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_Toc227910133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16" w:leader="dot"/>
            </w:tabs>
            <w:rPr>
              <w:rFonts w:ascii="Cambria" w:hAnsi="Cambria" w:eastAsia="Arial" w:cs="Arial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</w:rPr>
          </w:pPr>
          <w:hyperlink w:anchor="_Toc227910134">
            <w:r>
              <w:rPr>
                <w:webHidden/>
                <w:rStyle w:val="Style14"/>
                <w:rFonts w:cs="Times New Roman" w:ascii="Times New Roman" w:hAnsi="Times New Roman"/>
              </w:rPr>
              <w:t>2 Построение функциональной архитектуры программного средства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_Toc227910134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6" w:leader="dot"/>
            </w:tabs>
            <w:rPr>
              <w:rFonts w:ascii="Cambria" w:hAnsi="Cambria" w:eastAsia="Arial" w:cs="Arial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</w:rPr>
          </w:pPr>
          <w:hyperlink w:anchor="_Toc227910135">
            <w:r>
              <w:rPr>
                <w:webHidden/>
                <w:rStyle w:val="Style14"/>
                <w:rFonts w:cs="Times New Roman" w:ascii="Times New Roman" w:hAnsi="Times New Roman"/>
              </w:rPr>
              <w:t>2.1 Построение ER-диаграммы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_Toc227910135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6" w:leader="dot"/>
            </w:tabs>
            <w:rPr>
              <w:rFonts w:ascii="Cambria" w:hAnsi="Cambria" w:eastAsia="Arial" w:cs="Arial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</w:rPr>
          </w:pPr>
          <w:hyperlink w:anchor="_Toc227910136">
            <w:r>
              <w:rPr>
                <w:webHidden/>
                <w:rStyle w:val="Style14"/>
                <w:rFonts w:cs="Times New Roman" w:ascii="Times New Roman" w:hAnsi="Times New Roman"/>
              </w:rPr>
              <w:t>2.2 Построение диаграммы Вариантов использования и диаграммы последовательности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_Toc227910136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6" w:leader="dot"/>
            </w:tabs>
            <w:rPr>
              <w:rFonts w:ascii="Cambria" w:hAnsi="Cambria" w:eastAsia="Arial" w:cs="Arial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</w:rPr>
          </w:pPr>
          <w:hyperlink w:anchor="_Toc227910137">
            <w:r>
              <w:rPr>
                <w:webHidden/>
                <w:rStyle w:val="Style14"/>
                <w:rFonts w:cs="Times New Roman" w:ascii="Times New Roman" w:hAnsi="Times New Roman"/>
              </w:rPr>
              <w:t>2.3 Построение диаграммы Деятельности, диаграммы Классов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_Toc227910137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16" w:leader="dot"/>
            </w:tabs>
            <w:rPr>
              <w:rFonts w:ascii="Cambria" w:hAnsi="Cambria" w:eastAsia="Arial" w:cs="Arial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</w:rPr>
          </w:pPr>
          <w:hyperlink w:anchor="_Toc227910138">
            <w:r>
              <w:rPr>
                <w:webHidden/>
                <w:rStyle w:val="Style14"/>
                <w:rFonts w:cs="Times New Roman" w:ascii="Times New Roman" w:hAnsi="Times New Roman"/>
              </w:rPr>
              <w:t>3 Разработка прототипа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_Toc227910138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6" w:leader="dot"/>
            </w:tabs>
            <w:rPr>
              <w:rFonts w:ascii="Cambria" w:hAnsi="Cambria" w:eastAsia="Arial" w:cs="Arial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</w:rPr>
          </w:pPr>
          <w:hyperlink w:anchor="_Toc227910139">
            <w:r>
              <w:rPr>
                <w:webHidden/>
                <w:rStyle w:val="Style14"/>
                <w:rFonts w:cs="Times New Roman" w:ascii="Times New Roman" w:hAnsi="Times New Roman"/>
              </w:rPr>
              <w:t>3.1Разработка макета интерфейса в figma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_Toc227910139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16" w:leader="dot"/>
            </w:tabs>
            <w:rPr>
              <w:rFonts w:ascii="Cambria" w:hAnsi="Cambria" w:eastAsia="Arial" w:cs="Arial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</w:rPr>
          </w:pPr>
          <w:hyperlink w:anchor="_Toc227910140">
            <w:r>
              <w:rPr>
                <w:webHidden/>
                <w:rStyle w:val="Style14"/>
                <w:rFonts w:cs="Times New Roman" w:ascii="Times New Roman" w:hAnsi="Times New Roman"/>
              </w:rPr>
              <w:t>4 Тестирование и оценка качества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_Toc227910140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27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6" w:leader="dot"/>
            </w:tabs>
            <w:rPr>
              <w:rFonts w:ascii="Cambria" w:hAnsi="Cambria" w:eastAsia="Arial" w:cs="Arial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</w:rPr>
          </w:pPr>
          <w:hyperlink w:anchor="_Toc227910141">
            <w:r>
              <w:rPr>
                <w:webHidden/>
                <w:rStyle w:val="Style14"/>
                <w:rFonts w:cs="Times New Roman" w:ascii="Times New Roman" w:hAnsi="Times New Roman"/>
              </w:rPr>
              <w:t>4.1 Изучение работы в системе контроля версий, настройка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_Toc227910141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27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6" w:leader="dot"/>
            </w:tabs>
            <w:rPr>
              <w:rFonts w:ascii="Cambria" w:hAnsi="Cambria" w:eastAsia="Arial" w:cs="Arial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</w:rPr>
          </w:pPr>
          <w:hyperlink w:anchor="_Toc227910142">
            <w:r>
              <w:rPr>
                <w:webHidden/>
                <w:rStyle w:val="Style14"/>
                <w:rFonts w:cs="Times New Roman" w:ascii="Times New Roman" w:hAnsi="Times New Roman"/>
              </w:rPr>
              <w:t>4.2 Разработка тестового сценария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_Toc227910142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31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6" w:leader="dot"/>
            </w:tabs>
            <w:rPr>
              <w:rFonts w:ascii="Cambria" w:hAnsi="Cambria" w:eastAsia="Arial" w:cs="Arial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</w:rPr>
          </w:pPr>
          <w:hyperlink w:anchor="_Toc227910143">
            <w:r>
              <w:rPr>
                <w:webHidden/>
                <w:rStyle w:val="Style14"/>
                <w:rFonts w:cs="Times New Roman" w:ascii="Times New Roman" w:hAnsi="Times New Roman"/>
              </w:rPr>
              <w:t>4.3 Разработка тестовых пакетов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_Toc227910143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48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16" w:leader="dot"/>
            </w:tabs>
            <w:rPr>
              <w:rFonts w:ascii="Cambria" w:hAnsi="Cambria" w:eastAsia="Arial" w:cs="Arial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</w:rPr>
          </w:pPr>
          <w:hyperlink w:anchor="_Toc227910144">
            <w:r>
              <w:rPr>
                <w:webHidden/>
                <w:rStyle w:val="Style14"/>
                <w:rFonts w:cs="Times New Roman" w:ascii="Times New Roman" w:hAnsi="Times New Roman"/>
              </w:rPr>
              <w:t>ЗАКЛЮЧЕНИЕ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_Toc227910144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52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16" w:leader="dot"/>
            </w:tabs>
            <w:rPr>
              <w:rFonts w:ascii="Cambria" w:hAnsi="Cambria" w:eastAsia="Arial" w:cs="Arial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</w:rPr>
          </w:pPr>
          <w:hyperlink w:anchor="_Toc227910145">
            <w:r>
              <w:rPr>
                <w:webHidden/>
                <w:rStyle w:val="Style14"/>
                <w:rFonts w:cs="Times New Roman" w:ascii="Times New Roman" w:hAnsi="Times New Roman"/>
              </w:rPr>
              <w:t>Список использованных источников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_Toc227910145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54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16" w:leader="dot"/>
            </w:tabs>
            <w:rPr>
              <w:rFonts w:ascii="Cambria" w:hAnsi="Cambria" w:eastAsia="Arial" w:cs="Arial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</w:rPr>
          </w:pPr>
          <w:hyperlink w:anchor="_Toc227910146">
            <w:r>
              <w:rPr>
                <w:webHidden/>
                <w:rStyle w:val="Style14"/>
                <w:rFonts w:cs="Times New Roman" w:ascii="Times New Roman" w:hAnsi="Times New Roman"/>
              </w:rPr>
              <w:t>Глоссарий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_Toc227910146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55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16" w:leader="dot"/>
            </w:tabs>
            <w:rPr>
              <w:rFonts w:ascii="Cambria" w:hAnsi="Cambria" w:eastAsia="Arial" w:cs="Arial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</w:rPr>
          </w:pPr>
          <w:hyperlink w:anchor="_Toc227910147">
            <w:r>
              <w:rPr>
                <w:webHidden/>
                <w:rStyle w:val="Style14"/>
                <w:rFonts w:cs="Times New Roman" w:ascii="Times New Roman" w:hAnsi="Times New Roman"/>
              </w:rPr>
              <w:t>Список</w:t>
            </w:r>
            <w:r>
              <w:rPr>
                <w:rStyle w:val="Style14"/>
                <w:rFonts w:cs="Times New Roman" w:ascii="Times New Roman" w:hAnsi="Times New Roman"/>
                <w:lang w:val="en-US"/>
              </w:rPr>
              <w:t xml:space="preserve"> </w:t>
            </w:r>
            <w:r>
              <w:rPr>
                <w:rStyle w:val="Style14"/>
                <w:rFonts w:cs="Times New Roman" w:ascii="Times New Roman" w:hAnsi="Times New Roman"/>
              </w:rPr>
              <w:t>аббревиатур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_Toc227910147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56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16" w:leader="dot"/>
            </w:tabs>
            <w:rPr>
              <w:rFonts w:ascii="Cambria" w:hAnsi="Cambria" w:eastAsia="Arial" w:cs="Arial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</w:rPr>
          </w:pPr>
          <w:hyperlink w:anchor="_Toc227910148">
            <w:r>
              <w:rPr>
                <w:webHidden/>
                <w:rStyle w:val="Style14"/>
                <w:rFonts w:cs="Times New Roman" w:ascii="Times New Roman" w:hAnsi="Times New Roman"/>
              </w:rPr>
              <w:t>Приложение А. Техническое задание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_Toc227910148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57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suppressAutoHyphens w:val="true"/>
        <w:spacing w:lineRule="auto" w:line="24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240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Toc227910127"/>
      <w:r>
        <w:rPr>
          <w:rFonts w:cs="Times New Roman" w:ascii="Times New Roman" w:hAnsi="Times New Roman"/>
          <w:sz w:val="28"/>
          <w:szCs w:val="28"/>
        </w:rPr>
        <w:t>ВВЕДЕНИЕ</w:t>
      </w:r>
      <w:bookmarkEnd w:id="1"/>
    </w:p>
    <w:p>
      <w:pPr>
        <w:pStyle w:val="Normal1"/>
        <w:spacing w:lineRule="auto" w:line="36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современном мире банковские приложения играют ключевую роль в обеспечении удобного и безопасного доступа пользователей к финансовым услугам. Интеграция программных модулей, автоматизация процессов и обеспечение надежности работы систем являются важными аспектами для удовлетворения потребностей клиентов и повышения конкурентоспособности банка.</w:t>
      </w:r>
    </w:p>
    <w:p>
      <w:pPr>
        <w:pStyle w:val="Normal1"/>
        <w:spacing w:lineRule="auto" w:line="36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 каждым годом растет спрос на цифровые банковские решения, которые обеспечивают высокую скорость операций, удобство управления финансами и безопасность данных. В условиях стремительного развития технологий и увеличения числа пользователей, работающих с банковскими приложениями, разработка качественного программного обеспечения становится необходимостью. Актуальность данной работы заключается в создании функционального и безопасного приложения для выполнения финансовых операций, соответствующего современным требованиям рынка.</w:t>
      </w:r>
    </w:p>
    <w:p>
      <w:pPr>
        <w:pStyle w:val="Normal1"/>
        <w:spacing w:lineRule="auto" w:line="36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Целью данной работы является разработка банковского приложения, которое обеспечит удобный доступ клиентов к финансовым операциям и интеграцию внутренних систем банка. Приложение должно быть интуитивно понятным, безопасным и функциональным, соответствовать требованиям пользователей и стандартам качества.</w:t>
      </w:r>
    </w:p>
    <w:p>
      <w:pPr>
        <w:pStyle w:val="Normal1"/>
        <w:spacing w:lineRule="auto" w:line="36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Для достижения поставленной цели необходимо решить следующие задачи:</w:t>
      </w:r>
    </w:p>
    <w:p>
      <w:pPr>
        <w:pStyle w:val="Normal1"/>
        <w:numPr>
          <w:ilvl w:val="0"/>
          <w:numId w:val="10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Провести анализ предметной области, изучив существующие аналоги и лучшие практики.</w:t>
      </w:r>
    </w:p>
    <w:p>
      <w:pPr>
        <w:pStyle w:val="Normal1"/>
        <w:numPr>
          <w:ilvl w:val="0"/>
          <w:numId w:val="10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Спроектировать функциональную архитектуру программного средства, включая построение ER-диаграмм и UML-диаграмм.</w:t>
      </w:r>
    </w:p>
    <w:p>
      <w:pPr>
        <w:pStyle w:val="Normal1"/>
        <w:numPr>
          <w:ilvl w:val="0"/>
          <w:numId w:val="10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Разработать прототип интерфейса приложения с учетом требований к дизайну и пользовательскому опыту.</w:t>
      </w:r>
    </w:p>
    <w:p>
      <w:pPr>
        <w:pStyle w:val="Normal1"/>
        <w:numPr>
          <w:ilvl w:val="0"/>
          <w:numId w:val="10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Провести тестирование приложения, включая функциональное, нагрузочное и безопасность.</w:t>
      </w:r>
    </w:p>
    <w:p>
      <w:pPr>
        <w:pStyle w:val="Normal1"/>
        <w:spacing w:lineRule="auto" w:line="36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Отчёт представлен на 60 страницах. Приложение представлено на 57-6 0 страницах. Состоит из разделов: анализ, построение, разработка тестирование, содержит 19 рисунков, 67 таблиц.   </w:t>
      </w:r>
    </w:p>
    <w:p>
      <w:pPr>
        <w:pStyle w:val="Normal1"/>
        <w:spacing w:lineRule="auto" w:line="36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Раздел «Анализ» содержит описание анализа предметной области.</w:t>
      </w:r>
    </w:p>
    <w:p>
      <w:pPr>
        <w:pStyle w:val="Normal1"/>
        <w:spacing w:lineRule="auto" w:line="36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Раздел «Построение функциональной архитектуры программного средства» содержит описание и построенные диаграммы</w:t>
      </w:r>
    </w:p>
    <w:p>
      <w:pPr>
        <w:pStyle w:val="Normal1"/>
        <w:spacing w:lineRule="auto" w:line="36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Раздел «Разработка прототипа» содержит макет будущего сайта</w:t>
      </w:r>
    </w:p>
    <w:p>
      <w:pPr>
        <w:pStyle w:val="Normal1"/>
        <w:spacing w:lineRule="auto" w:line="36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Раздел «Тестирование и оценка качества» содержат настройку системы контроля версий и тесты.</w:t>
      </w:r>
      <w:r>
        <w:br w:type="page"/>
      </w:r>
    </w:p>
    <w:p>
      <w:pPr>
        <w:pStyle w:val="Heading1"/>
        <w:spacing w:lineRule="auto" w:line="360" w:before="0" w:after="240"/>
        <w:ind w:firstLine="709"/>
        <w:rPr>
          <w:rFonts w:ascii="Times New Roman" w:hAnsi="Times New Roman" w:cs="Times New Roman"/>
          <w:sz w:val="28"/>
          <w:szCs w:val="28"/>
        </w:rPr>
      </w:pPr>
      <w:bookmarkStart w:id="2" w:name="_Toc227910128"/>
      <w:r>
        <w:rPr>
          <w:rFonts w:cs="Times New Roman" w:ascii="Times New Roman" w:hAnsi="Times New Roman"/>
          <w:sz w:val="28"/>
          <w:szCs w:val="28"/>
        </w:rPr>
        <w:t>1 Анализ предметной области</w:t>
      </w:r>
      <w:bookmarkEnd w:id="2"/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Сбербанк России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- является основным кредитором российской экономики и занимает крупнейшую долю на рынке вкладов (На долю Сбербанка приходится 46,4% вкладов населения, 34,7% кредитов физическим лицам и 33,9% кредитов юридическим лицам), а также предлагает широкий спектр банковских и инвестиционных услуг.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Основным акционером и учредителем Сбербанка России является </w:t>
      </w:r>
      <w:hyperlink r:id="rId8" w:tgtFrame="https://www.dk.ru/wiki/centralnyy-bank-rossiyskoy-federacii">
        <w:r>
          <w:rPr>
            <w:rStyle w:val="Hyperlink"/>
            <w:rFonts w:cs="Times New Roman" w:ascii="Times New Roman" w:hAnsi="Times New Roman"/>
            <w:color w:val="000000"/>
            <w:sz w:val="24"/>
            <w:szCs w:val="24"/>
            <w:u w:val="none"/>
          </w:rPr>
          <w:t>Центральный банк Российской Федерации</w:t>
        </w:r>
      </w:hyperlink>
      <w:r>
        <w:rPr>
          <w:rFonts w:cs="Times New Roman" w:ascii="Times New Roman" w:hAnsi="Times New Roman"/>
          <w:color w:val="000000"/>
          <w:sz w:val="24"/>
          <w:szCs w:val="24"/>
        </w:rPr>
        <w:t>, который владеет 50% уставного капитала плюс одна голосующая акция. Другими акционерами Банка являются международные и российские инвесторы. 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Сбербанк сегодня – это 16 территориальных банков и более 17 тысяч отделений по всей стране, в 83 субъектах Российской Федерации.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В России у Сбербанка более 110 миллионов, а за рубежом услугами Сбербанка пользуются около 11 миллионов человек. 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Помимо стран СНГ (Казахстан, Украина и Беларусь), Сбербанк представлен в девяти странах Центральной и Восточной Европы (Sberbank Europe AG, бывший VBI) и в Турции (DenizBank). 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В банке создана система удаленных каналов обслуживания, в которую входят:</w:t>
      </w:r>
    </w:p>
    <w:p>
      <w:pPr>
        <w:pStyle w:val="BodyText"/>
        <w:numPr>
          <w:ilvl w:val="0"/>
          <w:numId w:val="6"/>
        </w:numPr>
        <w:spacing w:lineRule="auto" w:line="360" w:before="0" w:after="0"/>
        <w:ind w:hanging="397" w:left="1531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онлайн-банкинг «Сбербанк Онлайн» (более 13 млн активных пользователей);</w:t>
      </w:r>
    </w:p>
    <w:p>
      <w:pPr>
        <w:pStyle w:val="BodyText"/>
        <w:numPr>
          <w:ilvl w:val="0"/>
          <w:numId w:val="6"/>
        </w:numPr>
        <w:spacing w:lineRule="auto" w:line="360" w:before="0" w:after="0"/>
        <w:ind w:hanging="397" w:left="1531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мобильные приложения «Сбербанк Онлайн» для смартфонов (более 1 млн активных пользователей)</w:t>
      </w:r>
    </w:p>
    <w:p>
      <w:pPr>
        <w:pStyle w:val="BodyText"/>
        <w:numPr>
          <w:ilvl w:val="0"/>
          <w:numId w:val="6"/>
        </w:numPr>
        <w:spacing w:lineRule="auto" w:line="360" w:before="0" w:after="0"/>
        <w:ind w:hanging="397" w:left="1531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SMS-сервис «Мобильный банк» (более 17 млн активных пользователей).</w:t>
      </w:r>
    </w:p>
    <w:p>
      <w:pPr>
        <w:pStyle w:val="BodyText"/>
        <w:numPr>
          <w:ilvl w:val="0"/>
          <w:numId w:val="6"/>
        </w:numPr>
        <w:spacing w:lineRule="auto" w:line="360" w:before="0" w:after="0"/>
        <w:ind w:hanging="397" w:left="1531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сеть банкоматов и терминалов самообслуживания (более 90 тыс. устройств).</w:t>
      </w:r>
    </w:p>
    <w:p>
      <w:pPr>
        <w:pStyle w:val="Normal"/>
        <w:ind w:firstLine="709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Услуги Сберанка:</w:t>
      </w:r>
    </w:p>
    <w:p>
      <w:pPr>
        <w:pStyle w:val="BodyText"/>
        <w:numPr>
          <w:ilvl w:val="0"/>
          <w:numId w:val="6"/>
        </w:numPr>
        <w:spacing w:lineRule="auto" w:line="360" w:before="0" w:after="0"/>
        <w:ind w:hanging="397" w:left="1531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Кредиты: потребительские кредиты, образовательные кредиты ипотечные кредиты, кредитные карты, рефинансирование.</w:t>
      </w:r>
    </w:p>
    <w:p>
      <w:pPr>
        <w:pStyle w:val="BodyText"/>
        <w:numPr>
          <w:ilvl w:val="0"/>
          <w:numId w:val="6"/>
        </w:numPr>
        <w:spacing w:lineRule="auto" w:line="360" w:before="0" w:after="0"/>
        <w:ind w:hanging="397" w:left="1531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Вклады: срочные вклады, сберегательный сертификат, вклады онлайн, вклады для расчетов, выплаты асьв, компенсация по вкладам, розыск счетов, специальные (рублевые) счета.</w:t>
      </w:r>
    </w:p>
    <w:p>
      <w:pPr>
        <w:pStyle w:val="BodyText"/>
        <w:numPr>
          <w:ilvl w:val="0"/>
          <w:numId w:val="6"/>
        </w:numPr>
        <w:spacing w:lineRule="auto" w:line="360" w:before="0" w:after="0"/>
        <w:ind w:hanging="397" w:left="1531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Банковские карты: кредитные карты, дебетовые карты, карты с индивидуальным дизайном, карты в подарок, социальная карта, универсальная электронная карта.</w:t>
      </w:r>
    </w:p>
    <w:p>
      <w:pPr>
        <w:pStyle w:val="BodyText"/>
        <w:numPr>
          <w:ilvl w:val="0"/>
          <w:numId w:val="6"/>
        </w:numPr>
        <w:spacing w:lineRule="auto" w:line="360" w:before="0" w:after="0"/>
        <w:ind w:hanging="397" w:left="1531"/>
        <w:jc w:val="both"/>
        <w:rPr>
          <w:rStyle w:val="Strong"/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BodyText"/>
        <w:numPr>
          <w:ilvl w:val="0"/>
          <w:numId w:val="6"/>
        </w:numPr>
        <w:spacing w:lineRule="auto" w:line="360" w:before="0" w:after="0"/>
        <w:ind w:hanging="397" w:left="1531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Переводы: переводы по россии, переводы за рубеж, платежи, автоплатежи, оплата услуг, оплата налогов, погашение кредитов других банков.</w:t>
      </w:r>
    </w:p>
    <w:p>
      <w:pPr>
        <w:pStyle w:val="BodyText"/>
        <w:numPr>
          <w:ilvl w:val="0"/>
          <w:numId w:val="6"/>
        </w:numPr>
        <w:spacing w:lineRule="auto" w:line="360" w:before="0" w:after="0"/>
        <w:ind w:hanging="397" w:left="1531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Инвестиции и ценные бумаги: металлические счета, онлайн брокерские услуги, депозитарное обслуживание, ПИФы, доверительное управление, векселя и сертификаты, выкуп ценных бумаг СССР.</w:t>
      </w:r>
    </w:p>
    <w:p>
      <w:pPr>
        <w:pStyle w:val="BodyText"/>
        <w:numPr>
          <w:ilvl w:val="0"/>
          <w:numId w:val="6"/>
        </w:numPr>
        <w:spacing w:lineRule="auto" w:line="360" w:before="0" w:after="0"/>
        <w:ind w:hanging="397" w:left="1531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Страховые и пенсионные программы: страховые программы, пенсионные программы</w:t>
      </w:r>
    </w:p>
    <w:p>
      <w:pPr>
        <w:pStyle w:val="BodyText"/>
        <w:numPr>
          <w:ilvl w:val="0"/>
          <w:numId w:val="6"/>
        </w:numPr>
        <w:spacing w:lineRule="auto" w:line="360" w:before="0" w:after="0"/>
        <w:ind w:hanging="397" w:left="1531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Дополнительные услуги: аренда сейфов, драгоценные металлы и монеты, лотереи, наличная валюта.</w:t>
      </w:r>
    </w:p>
    <w:p>
      <w:pPr>
        <w:pStyle w:val="Heading2"/>
        <w:spacing w:lineRule="auto" w:line="360" w:before="240" w:after="240"/>
        <w:ind w:firstLine="709"/>
        <w:rPr>
          <w:rFonts w:ascii="Times New Roman" w:hAnsi="Times New Roman" w:cs="Times New Roman"/>
          <w:sz w:val="28"/>
          <w:szCs w:val="28"/>
        </w:rPr>
      </w:pPr>
      <w:bookmarkStart w:id="3" w:name="_Toc227910129"/>
      <w:r>
        <w:rPr>
          <w:rFonts w:cs="Times New Roman" w:ascii="Times New Roman" w:hAnsi="Times New Roman"/>
          <w:sz w:val="28"/>
          <w:szCs w:val="28"/>
        </w:rPr>
        <w:t>1.1 Изучение аналогов</w:t>
      </w:r>
      <w:bookmarkEnd w:id="3"/>
    </w:p>
    <w:p>
      <w:pPr>
        <w:pStyle w:val="Heading3"/>
        <w:spacing w:lineRule="auto" w:line="360" w:before="240" w:after="240"/>
        <w:ind w:firstLine="709"/>
        <w:rPr>
          <w:rFonts w:ascii="Times New Roman" w:hAnsi="Times New Roman" w:cs="Times New Roman"/>
        </w:rPr>
      </w:pPr>
      <w:bookmarkStart w:id="4" w:name="_Toc227910130"/>
      <w:r>
        <w:rPr>
          <w:rStyle w:val="Strong"/>
          <w:rFonts w:cs="Times New Roman" w:ascii="Times New Roman" w:hAnsi="Times New Roman"/>
          <w:b w:val="false"/>
          <w:bCs w:val="false"/>
          <w:color w:val="000000"/>
        </w:rPr>
        <w:t>1.1.1 Альфа-Банк</w:t>
      </w:r>
      <w:bookmarkEnd w:id="4"/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Альфа-Банк, основанный в 1990 г., является универсальным банком, осуществляющим все основные виды банковских операций.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Основные направления деятельности Альфа-Банка: 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Финансовые услуги. Альфа-Банк предоставляет следующие виды услуг физическим и юридическим лицам: выдает разные виды банковских карт, включая дебетовые, зарплатные и кредитные; открытие расчетных счетов и вкладов, включая накопительные счета и депозиты; удобное дистанционное обслуживание, такое как мобильное приложение для управления финансами, а также интернет-банк для оплаты коммунальных услуг, штрафов ГИБДД и денежных переводов; проведение платежей, включая внесение наличных на карту любого банка и переводы с карты на карту через банкоматы; сервис по погашению кредита через систему быстрых платежей.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 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Инвестиционные услуги. Альфа-Банк предлагает комплексный спектр инвестиционных предложений, включая услуги брокерского обслуживания, где клиенты могут приобретать ценные бумаги, совершать операции с депозитарными расписками, заниматься маржинальной торговлей и т. д. Также банк предоставляет услуги для компаний-эмитентов: брокеры анализируют и оценивают акции, оказывают помощь в организации выпуска ценных бумаг на различных рынках, включая международные, а также занимаются поиском инвесторов и куплей-продажей акций для оптимизации структуры уставного капитала. Кроме того, банк предоставляет консультационные услуги: специалисты банка готовы дать рекомендации по вопросам проведения сделок, выбора наиболее эффективных торговых и финансовых инструментов, а также помочь в формировании оптимального портфеля ценных бумаг.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Цифровые и инновационные сервисы. Перечислим основные цифровые услуги, предоставляемые Альфа-Банком. К ним относятся цифровые банковские услуги, которые позволяют клиентам осуществлять платежи, переводы, управлять своими счетами и кредитами через мобильное приложение и интернет-банк. Банк использует искусственный интеллект и аналитику для оптимизации бизнес-процессов, оценки рисков и предоставления персонализированных услуг клиентам. Также реализована поддержка мобильных платежей и бесконтактных технологий. Для бизнеса доступен персонализированный интернет-банк под названием «Альфа-Бизнес». В области кибербезопасности реализован проект, включающий внедрение системы многофакторной аутентификации пользователей Indeed Access Manager (Indeed AM).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Социальные и образовательные программы. Пакет проектов Альфа-Банка в этой сфере включает следующие инициативы: «Альфа-Шанс» — стипендиальная программа, направленная на поддержку одаренной молодежи. В ней участвуют студенты третьего и четвертого курсов, которые делятся своими достижениями и планами. Каждый год 30 лучших российских студентов получают по 300 тысяч рублей на реализацию своих проектов. «Альфа-Друг» — это бот-помощник в Telegram и горячая линия, предназначенная для оказания помощи животным в трудных ситуациях. Dog-Friendly Fridays — инициатива для сотрудников Альфа-Банка, позволяющая им брать своих собак на работу по пятницам. «Альфа-Спорт» — программа, направленная на популяризацию спорта и здорового образа жизни. Банк организует благотворительные мероприятия, поддерживает спортивные соревнования и проводит тренировки для сотрудников по таким видам спорта, как хоккей и бег.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Альфа-Банк — это крупный и надежный универсальный банк с богатым опытом работы с 1990 года, предлагающий широкий спектр современных финансовых, инвестиционных и цифровых услуг. </w:t>
      </w:r>
    </w:p>
    <w:p>
      <w:pPr>
        <w:pStyle w:val="Heading3"/>
        <w:spacing w:lineRule="auto" w:line="360" w:before="240" w:after="240"/>
        <w:ind w:firstLine="709"/>
        <w:rPr>
          <w:rStyle w:val="Strong"/>
          <w:rFonts w:ascii="Times New Roman" w:hAnsi="Times New Roman" w:cs="Times New Roman"/>
          <w:b w:val="false"/>
          <w:bCs w:val="false"/>
          <w:color w:val="000000"/>
        </w:rPr>
      </w:pPr>
      <w:bookmarkStart w:id="5" w:name="_Toc227910131"/>
      <w:r>
        <w:rPr>
          <w:rStyle w:val="Strong"/>
          <w:rFonts w:cs="Times New Roman" w:ascii="Times New Roman" w:hAnsi="Times New Roman"/>
          <w:b w:val="false"/>
          <w:bCs w:val="false"/>
          <w:color w:val="000000"/>
        </w:rPr>
        <w:t>1.1.2. Тинькофф-Банк</w:t>
      </w:r>
      <w:bookmarkEnd w:id="5"/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Т-Банк — финансовая онлайн-экосистема, объединяющая полный спектр финансовых услуг для частных лиц и бизнеса. Особое внимание Т-Банк уделяет развитию лайфстайл-банкинга: экосистема дает клиентам возможность анализировать и планировать личные траты, инвестировать сбережения, получать бонусы в рамках программ лояльности, бронировать путешествия, покупать билеты в кино, бронировать столики в ресторанах и делать многое другое.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Все сервисы Т-Банка доступны через мобильные приложения и сайт tbank.ru. Т-Банк не имеет отделений. Сеть собственных представителей позволяет доставлять продукты клиентам компании в любой регион страны в кратчайшие сроки, в онлайн-каналах и контакт-центре клиенты получают все необходимые консультации и сервис 24/7. Т-Банк реализует стратегию AI Banking и активно задействует технологии искусственного интеллекта и машинного обучения.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На сегодня банк предлагает следующие продукты для физических лиц:</w:t>
      </w:r>
    </w:p>
    <w:p>
      <w:pPr>
        <w:pStyle w:val="BodyText"/>
        <w:numPr>
          <w:ilvl w:val="0"/>
          <w:numId w:val="6"/>
        </w:numPr>
        <w:spacing w:lineRule="auto" w:line="360" w:before="0" w:after="0"/>
        <w:ind w:hanging="397" w:left="1531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банковские карты, дебетовые и кредитные;</w:t>
      </w:r>
    </w:p>
    <w:p>
      <w:pPr>
        <w:pStyle w:val="BodyText"/>
        <w:numPr>
          <w:ilvl w:val="0"/>
          <w:numId w:val="6"/>
        </w:numPr>
        <w:spacing w:lineRule="auto" w:line="360" w:before="0" w:after="0"/>
        <w:ind w:hanging="397" w:left="1531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вклады;</w:t>
      </w:r>
    </w:p>
    <w:p>
      <w:pPr>
        <w:pStyle w:val="BodyText"/>
        <w:numPr>
          <w:ilvl w:val="0"/>
          <w:numId w:val="6"/>
        </w:numPr>
        <w:spacing w:lineRule="auto" w:line="360" w:before="0" w:after="0"/>
        <w:ind w:hanging="397" w:left="1531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кредиты, в том числе и ипотека;</w:t>
      </w:r>
    </w:p>
    <w:p>
      <w:pPr>
        <w:pStyle w:val="BodyText"/>
        <w:numPr>
          <w:ilvl w:val="0"/>
          <w:numId w:val="6"/>
        </w:numPr>
        <w:spacing w:lineRule="auto" w:line="360" w:before="0" w:after="0"/>
        <w:ind w:hanging="397" w:left="1531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инвестирование и страхование.</w:t>
      </w:r>
    </w:p>
    <w:p>
      <w:pPr>
        <w:pStyle w:val="BodyText"/>
        <w:numPr>
          <w:ilvl w:val="0"/>
          <w:numId w:val="6"/>
        </w:numPr>
        <w:spacing w:lineRule="auto" w:line="360" w:before="0" w:after="0"/>
        <w:ind w:hanging="397" w:left="1531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Для бизнеса, ИП и юридических лиц:</w:t>
      </w:r>
    </w:p>
    <w:p>
      <w:pPr>
        <w:pStyle w:val="BodyText"/>
        <w:numPr>
          <w:ilvl w:val="0"/>
          <w:numId w:val="6"/>
        </w:numPr>
        <w:spacing w:lineRule="auto" w:line="360" w:before="0" w:after="0"/>
        <w:ind w:hanging="397" w:left="1531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открытие и ведение расчетных счетов;</w:t>
      </w:r>
    </w:p>
    <w:p>
      <w:pPr>
        <w:pStyle w:val="BodyText"/>
        <w:numPr>
          <w:ilvl w:val="0"/>
          <w:numId w:val="6"/>
        </w:numPr>
        <w:spacing w:lineRule="auto" w:line="360" w:before="0" w:after="0"/>
        <w:ind w:hanging="397" w:left="1531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эквайринг;</w:t>
      </w:r>
    </w:p>
    <w:p>
      <w:pPr>
        <w:pStyle w:val="BodyText"/>
        <w:numPr>
          <w:ilvl w:val="0"/>
          <w:numId w:val="6"/>
        </w:numPr>
        <w:spacing w:lineRule="auto" w:line="360" w:before="0" w:after="0"/>
        <w:ind w:hanging="397" w:left="1531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онлайн-кассы;</w:t>
      </w:r>
    </w:p>
    <w:p>
      <w:pPr>
        <w:pStyle w:val="BodyText"/>
        <w:numPr>
          <w:ilvl w:val="0"/>
          <w:numId w:val="6"/>
        </w:numPr>
        <w:spacing w:lineRule="auto" w:line="360" w:before="0" w:after="0"/>
        <w:ind w:hanging="397" w:left="1531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ведение бухгалтерии и конструктор сайтов;</w:t>
      </w:r>
    </w:p>
    <w:p>
      <w:pPr>
        <w:pStyle w:val="BodyText"/>
        <w:numPr>
          <w:ilvl w:val="0"/>
          <w:numId w:val="6"/>
        </w:numPr>
        <w:spacing w:lineRule="auto" w:line="360" w:before="0" w:after="0"/>
        <w:ind w:hanging="397" w:left="1531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корпоративные карты и зарплатные проекты.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Т-Банк предлагает современную и удобную цифровую экосистему с широким спектром услуг, что делает его привлекательным для клиентов</w:t>
      </w:r>
    </w:p>
    <w:p>
      <w:pPr>
        <w:pStyle w:val="Heading3"/>
        <w:spacing w:lineRule="auto" w:line="360" w:before="240" w:after="240"/>
        <w:ind w:firstLine="709"/>
        <w:rPr>
          <w:rStyle w:val="Strong"/>
          <w:rFonts w:ascii="Times New Roman" w:hAnsi="Times New Roman" w:cs="Times New Roman"/>
          <w:b w:val="false"/>
          <w:bCs w:val="false"/>
          <w:color w:val="000000"/>
        </w:rPr>
      </w:pPr>
      <w:bookmarkStart w:id="6" w:name="_Toc227910132"/>
      <w:r>
        <w:rPr>
          <w:rStyle w:val="Strong"/>
          <w:rFonts w:cs="Times New Roman" w:ascii="Times New Roman" w:hAnsi="Times New Roman"/>
          <w:b w:val="false"/>
          <w:bCs w:val="false"/>
          <w:color w:val="000000"/>
        </w:rPr>
        <w:t>1.1.3 ВТБ-Банк</w:t>
      </w:r>
      <w:bookmarkEnd w:id="6"/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Банк ВТБ – системообразующий универсальный российский банк, один из лидеров рынка финансовых услуг. Банк работает со всеми категориями клиентов – крупным, средним и малым бизнесом, индивидуальными предпринимателями, самозанятыми и физическими лицами</w:t>
      </w:r>
      <w:r>
        <w:rPr>
          <w:rFonts w:cs="Times New Roman" w:ascii="Times New Roman" w:hAnsi="Times New Roman"/>
        </w:rPr>
        <w:br w:type="textWrapping" w:clear="all"/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Основные направления деятельности банка ВТБ. Банк ВТБ постоянно расширяет спектр предоставляемых услуг, адаптируясь к потребностям </w:t>
      </w:r>
      <w:hyperlink r:id="rId9" w:tgtFrame="https://finance.mail.ru/guide/kak-privlech-klientov-251/">
        <w:r>
          <w:rPr>
            <w:rStyle w:val="Hyperlink"/>
            <w:rFonts w:cs="Times New Roman" w:ascii="Times New Roman" w:hAnsi="Times New Roman"/>
            <w:color w:val="000000"/>
            <w:sz w:val="24"/>
            <w:szCs w:val="24"/>
            <w:u w:val="none"/>
          </w:rPr>
          <w:t>клиентов</w:t>
        </w:r>
      </w:hyperlink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 и рыночным условиям. Организация разработала комплексную систему обслуживания, отвечающую самым высоким международным стандартам.</w:t>
      </w:r>
    </w:p>
    <w:p>
      <w:pPr>
        <w:pStyle w:val="BodyText"/>
        <w:numPr>
          <w:ilvl w:val="0"/>
          <w:numId w:val="6"/>
        </w:numPr>
        <w:spacing w:lineRule="auto" w:line="360" w:before="0" w:after="0"/>
        <w:ind w:hanging="397" w:left="1531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Розничный бизнес: обслуживание физических лиц, включая кредитование, депозиты, карточные продукты и страхование.</w:t>
      </w:r>
    </w:p>
    <w:p>
      <w:pPr>
        <w:pStyle w:val="BodyText"/>
        <w:numPr>
          <w:ilvl w:val="0"/>
          <w:numId w:val="6"/>
        </w:numPr>
        <w:spacing w:lineRule="auto" w:line="360" w:before="0" w:after="0"/>
        <w:ind w:hanging="397" w:left="1531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Корпоративно-инвестиционный бизнес: комплексные решения для ИП и юридических лиц любого масштаба.</w:t>
      </w:r>
    </w:p>
    <w:p>
      <w:pPr>
        <w:pStyle w:val="BodyText"/>
        <w:numPr>
          <w:ilvl w:val="0"/>
          <w:numId w:val="6"/>
        </w:numPr>
        <w:spacing w:lineRule="auto" w:line="360" w:before="0" w:after="0"/>
        <w:ind w:hanging="397" w:left="1531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Операции на финансовых рынках: торговля валютой, ценными бумагами, цифровыми финансовыми активами.</w:t>
      </w:r>
    </w:p>
    <w:p>
      <w:pPr>
        <w:pStyle w:val="BodyText"/>
        <w:numPr>
          <w:ilvl w:val="0"/>
          <w:numId w:val="6"/>
        </w:numPr>
        <w:spacing w:lineRule="auto" w:line="360" w:before="0" w:after="0"/>
        <w:ind w:hanging="397" w:left="1531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Инвестиционные услуги: брокерское обслуживание, доверительное управление, структурные продукты.</w:t>
      </w:r>
    </w:p>
    <w:p>
      <w:pPr>
        <w:pStyle w:val="BodyText"/>
        <w:numPr>
          <w:ilvl w:val="0"/>
          <w:numId w:val="6"/>
        </w:numPr>
        <w:spacing w:lineRule="auto" w:line="360" w:before="0" w:after="0"/>
        <w:ind w:hanging="397" w:left="1531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Международный бизнес: поддержка внешнеэкономической деятельности клиентов.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Популярные услуги банка ВТБ для физических лиц</w:t>
      </w:r>
      <w:r>
        <w:rPr>
          <w:rFonts w:cs="Times New Roman" w:ascii="Times New Roman" w:hAnsi="Times New Roman"/>
        </w:rPr>
        <w:t xml:space="preserve">.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ВТБ предоставляет комплексные финансовые решения для частных клиентов — от базовых банковских операций до инвестиционных продуктов.</w:t>
      </w:r>
    </w:p>
    <w:p>
      <w:pPr>
        <w:pStyle w:val="BodyText"/>
        <w:numPr>
          <w:ilvl w:val="0"/>
          <w:numId w:val="6"/>
        </w:numPr>
        <w:spacing w:lineRule="auto" w:line="360" w:before="0" w:after="0"/>
        <w:ind w:hanging="397" w:left="1531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Вклады и накопительные счета. ВТБ предлагает срочные вклады с повышенными ставками и накопительные счета с ежедневным начислением процентов. Для пенсионеров и зарплатных клиентов действуют специальные условия. Также доступно открытие мультивалютных вкладов для диверсификации сбережений.</w:t>
      </w:r>
    </w:p>
    <w:p>
      <w:pPr>
        <w:pStyle w:val="BodyText"/>
        <w:numPr>
          <w:ilvl w:val="0"/>
          <w:numId w:val="6"/>
        </w:numPr>
        <w:spacing w:lineRule="auto" w:line="360" w:before="0" w:after="0"/>
        <w:ind w:hanging="397" w:left="1531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Кредитные продукты. Банк реализует программы потребительского кредитования с гибкими условиями и выдает различные виды льготных ипотек с государственной поддержкой. Клиентам доступны автокредиты с возможностью отсрочки платежа, а также услуги по рефинансированию существующих кредитов на выгодных условиях.</w:t>
      </w:r>
    </w:p>
    <w:p>
      <w:pPr>
        <w:pStyle w:val="BodyText"/>
        <w:numPr>
          <w:ilvl w:val="0"/>
          <w:numId w:val="6"/>
        </w:numPr>
        <w:spacing w:lineRule="auto" w:line="360" w:before="0" w:after="0"/>
        <w:ind w:hanging="397" w:left="1531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Банковские карты.В линейке карточных продуктов представлены дебетовые карты с индивидуальным дизайном, кредитные карты с льготным периодом, премиальные карты с расширенным страховым покрытием и цифровые карты для бесконтактных платежей.</w:t>
      </w:r>
    </w:p>
    <w:p>
      <w:pPr>
        <w:pStyle w:val="BodyText"/>
        <w:numPr>
          <w:ilvl w:val="0"/>
          <w:numId w:val="6"/>
        </w:numPr>
        <w:spacing w:lineRule="auto" w:line="360" w:before="0" w:after="0"/>
        <w:ind w:hanging="397" w:left="1531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Инвестиционные продукты. Что касается инвестиционных продуктов, клиентам доступно брокерское обслуживание на фондовом рынке, доверительное управление активами, открытие индивидуальных инвестиционных счетов и структурные продукты с защитой капитала.</w:t>
      </w:r>
    </w:p>
    <w:p>
      <w:pPr>
        <w:pStyle w:val="BodyText"/>
        <w:numPr>
          <w:ilvl w:val="0"/>
          <w:numId w:val="6"/>
        </w:numPr>
        <w:spacing w:lineRule="auto" w:line="360" w:before="0" w:after="0"/>
        <w:ind w:hanging="397" w:left="1531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Страховые услуги.Банк также предоставляет комплексную страховую защиту, включающую страхование жизни и здоровья, страхование имущества, страхование путешественников и инвестиционное страхование жизни для долгосрочного финансового планирования.</w:t>
      </w:r>
    </w:p>
    <w:p>
      <w:pPr>
        <w:pStyle w:val="BodyText"/>
        <w:spacing w:lineRule="auto" w:line="360" w:before="0" w:after="0"/>
        <w:ind w:firstLine="709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Банк ВТБ — надежный и универсальный финансовый институт, предлагающий широкий спектр услуг для различных клиентов. </w:t>
      </w:r>
    </w:p>
    <w:p>
      <w:pPr>
        <w:pStyle w:val="Heading2"/>
        <w:spacing w:lineRule="auto" w:line="360" w:before="240" w:after="240"/>
        <w:ind w:firstLine="709"/>
        <w:rPr>
          <w:rFonts w:ascii="Times New Roman" w:hAnsi="Times New Roman" w:cs="Times New Roman"/>
          <w:sz w:val="28"/>
          <w:szCs w:val="28"/>
        </w:rPr>
      </w:pPr>
      <w:bookmarkStart w:id="7" w:name="_Toc227910133"/>
      <w:r>
        <w:rPr>
          <w:rFonts w:cs="Times New Roman" w:ascii="Times New Roman" w:hAnsi="Times New Roman"/>
          <w:sz w:val="28"/>
          <w:szCs w:val="28"/>
        </w:rPr>
        <w:t>1.2 Описание выбранного case-средства</w:t>
      </w:r>
      <w:bookmarkEnd w:id="7"/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</w:rPr>
      </w:pPr>
      <w:hyperlink r:id="rId10" w:tgtFrame="http://draw.io/">
        <w:r>
          <w:rPr>
            <w:rStyle w:val="Hyperlink"/>
            <w:rFonts w:cs="Times New Roman" w:ascii="Times New Roman" w:hAnsi="Times New Roman"/>
            <w:color w:val="000000"/>
            <w:sz w:val="24"/>
            <w:szCs w:val="24"/>
            <w:u w:val="none"/>
            <w:shd w:fill="FFFFFF" w:val="clear"/>
          </w:rPr>
          <w:t>Draw.io</w:t>
        </w:r>
      </w:hyperlink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 или </w:t>
      </w:r>
      <w:hyperlink r:id="rId11" w:tgtFrame="http://diagrams.net/">
        <w:r>
          <w:rPr>
            <w:rStyle w:val="Hyperlink"/>
            <w:rFonts w:cs="Times New Roman" w:ascii="Times New Roman" w:hAnsi="Times New Roman"/>
            <w:color w:val="000000"/>
            <w:sz w:val="24"/>
            <w:szCs w:val="24"/>
            <w:u w:val="none"/>
            <w:shd w:fill="FFFFFF" w:val="clear"/>
          </w:rPr>
          <w:t>Diagrams.net</w:t>
        </w:r>
      </w:hyperlink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 — это бесплатный инструмент для создания диаграмм. С его помощью можно рисовать блок-схемы, ментальные карты, организационные структуры и многое другое. У сервиса простой интерфейс и большая библиотека шаблонов. Пользоваться им можно прямо в браузере или через приложение для Windows, macOS и Linux.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Основные функции онлайн-сервиса</w:t>
      </w:r>
    </w:p>
    <w:p>
      <w:pPr>
        <w:pStyle w:val="BodyText"/>
        <w:spacing w:lineRule="auto" w:line="360" w:before="0" w:after="0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Моделирование бизнес-процессов. Сервис поддерживает различные нотации, в том числе BPMN (Business Process Model and Notation). BPMN — самый распространённый язык моделирования. По сути, с его помощью бизнес-аналитик может визуализировать бизнес-процесс от начала до конца, отразив последовательность шагов и логические ветвления. Например, как выглядит покупка товара или наём сотрудника. Draw.io позволяет делать такие схемы онлайн.</w:t>
        <w:br/>
        <w:t>Создание UML-диаграмм. UML</w:t>
      </w:r>
      <w:hyperlink r:id="rId12" w:tgtFrame="https://practicum.yandex.ru/blog/uml-diagrammy/">
        <w:r>
          <w:rPr>
            <w:rStyle w:val="Hyperlink"/>
            <w:rFonts w:cs="Times New Roman" w:ascii="Times New Roman" w:hAnsi="Times New Roman"/>
            <w:color w:val="000000"/>
            <w:sz w:val="24"/>
            <w:szCs w:val="24"/>
            <w:u w:val="none"/>
          </w:rPr>
          <w:t xml:space="preserve"> </w:t>
        </w:r>
      </w:hyperlink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(Unified Modeling Language) — это графический язык, в котором каждому символу и фигуре присвоены конкретные значения. Его разработали, чтобы люди из разных стран и компаний могли одинаково читать схемы. Все необходимые для UML элементы есть в Draw.io: стрелки, таблицы, разные виды многоугольников и кругов.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На рисунке 1 показан интерфейс Draw.io</w:t>
      </w:r>
      <w:r>
        <w:br w:type="page"/>
      </w:r>
    </w:p>
    <w:p>
      <w:pPr>
        <w:pStyle w:val="BodyText"/>
        <w:spacing w:lineRule="auto" w:line="360" w:before="0" w:after="0"/>
        <w:jc w:val="center"/>
        <w:rPr>
          <w:rFonts w:ascii="Times New Roman" w:hAnsi="Times New Roman" w:cs="Times New Roman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2625"/>
            <wp:effectExtent l="0" t="0" r="0" b="0"/>
            <wp:wrapSquare wrapText="bothSides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Рисунок 1 — Интерфейс Draw.io</w:t>
      </w:r>
    </w:p>
    <w:p>
      <w:pPr>
        <w:pStyle w:val="BodyText"/>
        <w:spacing w:lineRule="auto" w:line="360" w:before="0" w:after="0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В левой части окна находится панель со стрелками, прямоугольниками, UML-блоками и другими фигурами. Их можно перетаскивать на холст и соединять между собой — для этого у каждого объекта по сторонам есть синие стрелки-наводки. А чтобы создать связь, вам нужно выделить родительский элемент, кликнуть на одну из стрелок и, удерживая левую кнопку мыши, провести курсор к нужному объекту, как показано на рисунке 2</w:t>
      </w:r>
      <w:r>
        <w:br w:type="page"/>
      </w:r>
    </w:p>
    <w:p>
      <w:pPr>
        <w:pStyle w:val="BodyText"/>
        <w:spacing w:lineRule="auto" w:line="360" w:before="0" w:after="0"/>
        <w:jc w:val="center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BodyText"/>
        <w:spacing w:lineRule="auto" w:line="360" w:before="0" w:after="0"/>
        <w:jc w:val="center"/>
        <w:rPr>
          <w:rFonts w:ascii="Times New Roman" w:hAnsi="Times New Roman" w:cs="Times New Roman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2625"/>
            <wp:effectExtent l="0" t="0" r="0" b="0"/>
            <wp:wrapSquare wrapText="bothSides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Рисунок 2 — Связь объекта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br w:type="textWrapping" w:clear="all"/>
      </w:r>
    </w:p>
    <w:p>
      <w:pPr>
        <w:pStyle w:val="Normal"/>
        <w:ind w:firstLine="709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Преимущества сервиса Draw.io</w:t>
      </w:r>
    </w:p>
    <w:p>
      <w:pPr>
        <w:pStyle w:val="BodyText"/>
        <w:numPr>
          <w:ilvl w:val="0"/>
          <w:numId w:val="7"/>
        </w:numPr>
        <w:spacing w:lineRule="auto" w:line="360" w:before="0" w:after="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Draw.io — это бесплатно. У сервиса открытый исходный код. Его разработали, чтобы улучшить жизнь бизнес-аналитиков и всех, кто работает с графическими редакторами. Так что деньги за использование не берут. Можно прямо сейчас зайти в Draw.io: таблицы, инфографика, диаграммы, блок-схемы — все имеющиеся наборы элементов в открытом доступе.</w:t>
      </w:r>
    </w:p>
    <w:p>
      <w:pPr>
        <w:pStyle w:val="BodyText"/>
        <w:numPr>
          <w:ilvl w:val="0"/>
          <w:numId w:val="7"/>
        </w:numPr>
        <w:spacing w:lineRule="auto" w:line="360" w:before="0" w:after="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Draw.io интуитивно понятный. Инструкции о том, как пользоваться Draw.io, не нужны. Все инструменты внутри сервиса легко найти и применить. Важнее научиться правильно визуализировать бизнес-процессы, запомнить правила и условные обозначения BPMN.</w:t>
      </w:r>
    </w:p>
    <w:p>
      <w:pPr>
        <w:pStyle w:val="BodyText"/>
        <w:numPr>
          <w:ilvl w:val="0"/>
          <w:numId w:val="7"/>
        </w:numPr>
        <w:spacing w:lineRule="auto" w:line="360" w:before="0" w:after="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сервисе не нужна регистрация.Draw.io не просит почту, телефон, имя и пароль. Достаточно просто указать, где сохранить файл с диаграммой, и больше никаких вопросов. Чтобы зайти на сайт и приступить к работе, нужно 10 секунд.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Диаграмма в нотации Мартина-Чена описывает структуру данных банковской системы, включая сущности, их атрибуты и взаимосвязи. Сущность "Клиент" содержит такие атрибуты, как "ФИО", "ИНН", "Паспортные данные", "Адрес" и "Телефон", а связь "Владеет" связывает клиентов с их банковскими счетами, которые имеют атрибуты "Номер счета", "Баланс", "График платежей" и "Валюта". Счета могут быть связаны с банковскими картами через связь "Привязана", а карты имеют атрибуты, такие как "Номер карты", "Дата открытия", "Тип карты" и "Срок действия". Клиенты также связаны с услугами и каналами обслуживания через связь "Использует", а с банком — через связь "Есть", что отражает наличие клиентов у конкретного банка. Модель данных дополнительно включает кредиты с характеристиками "Сумма кредита", "Процентная ставка" и "Срок", что позволяет структурировать информацию для проектирования базы данных. На рисунке 3 показана нотация Мартина-Чена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5731510" cy="3090545"/>
            <wp:effectExtent l="0" t="0" r="0" b="0"/>
            <wp:docPr id="3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360" w:before="0" w:after="0"/>
        <w:jc w:val="center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Рисунок</w:t>
      </w:r>
      <w:r>
        <w:rPr>
          <w:rFonts w:cs="Times New Roman" w:ascii="Times New Roman" w:hAnsi="Times New Roman"/>
        </w:rPr>
        <w:t xml:space="preserve">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3 — Нотация Мартина-Чена</w:t>
      </w:r>
    </w:p>
    <w:p>
      <w:pPr>
        <w:pStyle w:val="Heading1"/>
        <w:spacing w:lineRule="auto" w:line="360" w:before="240" w:after="240"/>
        <w:ind w:firstLine="709"/>
        <w:rPr>
          <w:rFonts w:ascii="Times New Roman" w:hAnsi="Times New Roman" w:cs="Times New Roman"/>
          <w:sz w:val="28"/>
          <w:szCs w:val="28"/>
        </w:rPr>
      </w:pPr>
      <w:bookmarkStart w:id="8" w:name="_Toc227910134"/>
      <w:r>
        <w:rPr>
          <w:rFonts w:cs="Times New Roman" w:ascii="Times New Roman" w:hAnsi="Times New Roman"/>
          <w:sz w:val="28"/>
          <w:szCs w:val="28"/>
        </w:rPr>
        <w:t xml:space="preserve">2 </w:t>
      </w:r>
      <w:bookmarkStart w:id="9" w:name="_Hlk227908888"/>
      <w:r>
        <w:rPr>
          <w:rFonts w:cs="Times New Roman" w:ascii="Times New Roman" w:hAnsi="Times New Roman"/>
          <w:sz w:val="28"/>
          <w:szCs w:val="28"/>
        </w:rPr>
        <w:t>Построение</w:t>
      </w:r>
      <w:bookmarkEnd w:id="9"/>
      <w:r>
        <w:rPr>
          <w:rFonts w:cs="Times New Roman" w:ascii="Times New Roman" w:hAnsi="Times New Roman"/>
          <w:sz w:val="28"/>
          <w:szCs w:val="28"/>
        </w:rPr>
        <w:t xml:space="preserve"> функциональной архитектуры программного средства</w:t>
      </w:r>
      <w:bookmarkEnd w:id="8"/>
    </w:p>
    <w:p>
      <w:pPr>
        <w:pStyle w:val="Heading2"/>
        <w:spacing w:lineRule="auto" w:line="360" w:before="240" w:after="240"/>
        <w:ind w:firstLine="709"/>
        <w:rPr>
          <w:rFonts w:ascii="Times New Roman" w:hAnsi="Times New Roman" w:cs="Times New Roman"/>
          <w:sz w:val="28"/>
          <w:szCs w:val="28"/>
        </w:rPr>
      </w:pPr>
      <w:bookmarkStart w:id="10" w:name="_Toc227910135"/>
      <w:r>
        <w:rPr>
          <w:rFonts w:cs="Times New Roman" w:ascii="Times New Roman" w:hAnsi="Times New Roman"/>
          <w:sz w:val="28"/>
          <w:szCs w:val="28"/>
        </w:rPr>
        <w:t>2.1 Построение ER-диаграммы</w:t>
      </w:r>
      <w:bookmarkEnd w:id="10"/>
    </w:p>
    <w:p>
      <w:pPr>
        <w:pStyle w:val="Normal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spacing w:lineRule="auto" w:line="360" w:before="0" w:after="0"/>
        <w:ind w:firstLine="709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На рисунке 4 показана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en-US"/>
        </w:rPr>
        <w:t>ER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-диаграмма. </w:t>
      </w:r>
      <w:r>
        <w:rPr>
          <w:rFonts w:cs="Times New Roman" w:ascii="Times New Roman" w:hAnsi="Times New Roman"/>
          <w:color w:val="000000"/>
          <w:sz w:val="24"/>
          <w:szCs w:val="24"/>
        </w:rPr>
        <w:t>Эта диаграмма описывает структуру базы данных банковской системы. Она отображает сущности, такие как Клиент, Счет, Банк, Карта и Кредит, а также их атрибуты. С помощью связей между таблицами показана логика взаимодействия данных, например, принадлежность счета конкретному клиенту. Диаграмма определяет ключевые идентификаторы (ID) для обеспечения уникальности каждой записи.</w:t>
      </w:r>
    </w:p>
    <w:p>
      <w:pPr>
        <w:pStyle w:val="BodyText"/>
        <w:spacing w:lineRule="auto" w:line="360" w:before="0" w:after="0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/>
        <w:drawing>
          <wp:inline distT="0" distB="0" distL="0" distR="0">
            <wp:extent cx="5731510" cy="2245995"/>
            <wp:effectExtent l="0" t="0" r="0" b="0"/>
            <wp:docPr id="4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360" w:before="0" w:after="0"/>
        <w:jc w:val="center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Рисунок</w:t>
      </w:r>
      <w:r>
        <w:rPr>
          <w:rFonts w:cs="Times New Roman" w:ascii="Times New Roman" w:hAnsi="Times New Roman"/>
        </w:rPr>
        <w:t xml:space="preserve">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4 —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en-US"/>
        </w:rPr>
        <w:t>ER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-диаграмма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В таблице 1 представлено персональные и контактные данные клиентов банка.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Таблица 1 - Клиент </w:t>
      </w:r>
    </w:p>
    <w:tbl>
      <w:tblPr>
        <w:tblW w:w="9209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498"/>
        <w:gridCol w:w="1425"/>
        <w:gridCol w:w="5286"/>
      </w:tblGrid>
      <w:tr>
        <w:trPr>
          <w:trHeight w:val="310" w:hRule="atLeast"/>
        </w:trPr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Название</w:t>
            </w:r>
          </w:p>
        </w:tc>
        <w:tc>
          <w:tcPr>
            <w:tcW w:w="14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Тип</w:t>
            </w:r>
          </w:p>
        </w:tc>
        <w:tc>
          <w:tcPr>
            <w:tcW w:w="52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Описание</w:t>
            </w:r>
          </w:p>
        </w:tc>
      </w:tr>
      <w:tr>
        <w:trPr>
          <w:trHeight w:val="310" w:hRule="atLeast"/>
        </w:trPr>
        <w:tc>
          <w:tcPr>
            <w:tcW w:w="24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ID_Клиента</w:t>
            </w:r>
          </w:p>
        </w:tc>
        <w:tc>
          <w:tcPr>
            <w:tcW w:w="142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integer</w:t>
            </w:r>
          </w:p>
        </w:tc>
        <w:tc>
          <w:tcPr>
            <w:tcW w:w="528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Первичный ключ</w:t>
            </w:r>
          </w:p>
        </w:tc>
      </w:tr>
      <w:tr>
        <w:trPr>
          <w:trHeight w:val="310" w:hRule="atLeast"/>
        </w:trPr>
        <w:tc>
          <w:tcPr>
            <w:tcW w:w="24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ФИО</w:t>
            </w:r>
          </w:p>
        </w:tc>
        <w:tc>
          <w:tcPr>
            <w:tcW w:w="142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text</w:t>
            </w:r>
          </w:p>
        </w:tc>
        <w:tc>
          <w:tcPr>
            <w:tcW w:w="528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Полное имя клиента</w:t>
            </w:r>
          </w:p>
        </w:tc>
      </w:tr>
      <w:tr>
        <w:trPr>
          <w:trHeight w:val="310" w:hRule="atLeast"/>
        </w:trPr>
        <w:tc>
          <w:tcPr>
            <w:tcW w:w="24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ИНН</w:t>
            </w:r>
          </w:p>
        </w:tc>
        <w:tc>
          <w:tcPr>
            <w:tcW w:w="142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 w:eastAsia="ru-RU" w:bidi="ar-SA"/>
              </w:rPr>
              <w:t>v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archar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 w:eastAsia="ru-RU" w:bidi="ar-SA"/>
              </w:rPr>
              <w:t>(255)</w:t>
            </w:r>
          </w:p>
        </w:tc>
        <w:tc>
          <w:tcPr>
            <w:tcW w:w="528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Идентификационный номер налогоплательщика</w:t>
            </w:r>
          </w:p>
        </w:tc>
      </w:tr>
      <w:tr>
        <w:trPr>
          <w:trHeight w:val="310" w:hRule="atLeast"/>
        </w:trPr>
        <w:tc>
          <w:tcPr>
            <w:tcW w:w="24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Паспортные данные</w:t>
            </w:r>
          </w:p>
        </w:tc>
        <w:tc>
          <w:tcPr>
            <w:tcW w:w="142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 w:eastAsia="ru-RU" w:bidi="ar-SA"/>
              </w:rPr>
              <w:t>v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archar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 w:eastAsia="ru-RU" w:bidi="ar-SA"/>
              </w:rPr>
              <w:t>(255)</w:t>
            </w:r>
          </w:p>
        </w:tc>
        <w:tc>
          <w:tcPr>
            <w:tcW w:w="528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Данные документа, удостоверяющего личность</w:t>
            </w:r>
          </w:p>
        </w:tc>
      </w:tr>
      <w:tr>
        <w:trPr>
          <w:trHeight w:val="310" w:hRule="atLeast"/>
        </w:trPr>
        <w:tc>
          <w:tcPr>
            <w:tcW w:w="24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Адрес</w:t>
            </w:r>
          </w:p>
        </w:tc>
        <w:tc>
          <w:tcPr>
            <w:tcW w:w="142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 w:eastAsia="ru-RU" w:bidi="ar-SA"/>
              </w:rPr>
              <w:t>v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archar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 w:eastAsia="ru-RU" w:bidi="ar-SA"/>
              </w:rPr>
              <w:t>(255)</w:t>
            </w:r>
          </w:p>
        </w:tc>
        <w:tc>
          <w:tcPr>
            <w:tcW w:w="528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Адрес проживания</w:t>
            </w:r>
          </w:p>
        </w:tc>
      </w:tr>
      <w:tr>
        <w:trPr>
          <w:trHeight w:val="310" w:hRule="atLeast"/>
        </w:trPr>
        <w:tc>
          <w:tcPr>
            <w:tcW w:w="24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Телефон</w:t>
            </w:r>
          </w:p>
        </w:tc>
        <w:tc>
          <w:tcPr>
            <w:tcW w:w="142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 w:eastAsia="ru-RU" w:bidi="ar-SA"/>
              </w:rPr>
              <w:t>v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archar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 w:eastAsia="ru-RU" w:bidi="ar-SA"/>
              </w:rPr>
              <w:t>(255)</w:t>
            </w:r>
          </w:p>
        </w:tc>
        <w:tc>
          <w:tcPr>
            <w:tcW w:w="528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Контактный номер телефона</w:t>
            </w:r>
          </w:p>
        </w:tc>
      </w:tr>
    </w:tbl>
    <w:p>
      <w:pPr>
        <w:pStyle w:val="BodyText"/>
        <w:spacing w:lineRule="auto" w:line="360" w:before="0" w:after="0"/>
        <w:ind w:firstLine="709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BodyText"/>
        <w:spacing w:lineRule="auto" w:line="360" w:before="0" w:after="0"/>
        <w:ind w:firstLine="709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BodyText"/>
        <w:spacing w:lineRule="auto" w:line="360" w:before="0" w:after="0"/>
        <w:ind w:firstLine="709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BodyText"/>
        <w:spacing w:lineRule="auto" w:line="360" w:before="0" w:after="0"/>
        <w:ind w:firstLine="709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BodyText"/>
        <w:spacing w:lineRule="auto" w:line="360" w:before="0" w:after="0"/>
        <w:ind w:firstLine="709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таблице 2 представлены сведения о кредитных договорах, включая суммы, процентные ставки и сроки займа.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Таблица 2 - Кредит</w:t>
      </w:r>
    </w:p>
    <w:tbl>
      <w:tblPr>
        <w:tblW w:w="9209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47"/>
        <w:gridCol w:w="976"/>
        <w:gridCol w:w="5686"/>
      </w:tblGrid>
      <w:tr>
        <w:trPr>
          <w:trHeight w:val="290" w:hRule="atLeast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Название</w:t>
            </w:r>
          </w:p>
        </w:tc>
        <w:tc>
          <w:tcPr>
            <w:tcW w:w="9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Тип</w:t>
            </w:r>
          </w:p>
        </w:tc>
        <w:tc>
          <w:tcPr>
            <w:tcW w:w="56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Описание</w:t>
            </w:r>
          </w:p>
        </w:tc>
      </w:tr>
      <w:tr>
        <w:trPr>
          <w:trHeight w:val="290" w:hRule="atLeast"/>
        </w:trPr>
        <w:tc>
          <w:tcPr>
            <w:tcW w:w="25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ID_Кредита</w:t>
            </w:r>
          </w:p>
        </w:tc>
        <w:tc>
          <w:tcPr>
            <w:tcW w:w="97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integer</w:t>
            </w:r>
          </w:p>
        </w:tc>
        <w:tc>
          <w:tcPr>
            <w:tcW w:w="568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Первичный ключ</w:t>
            </w:r>
          </w:p>
        </w:tc>
      </w:tr>
      <w:tr>
        <w:trPr>
          <w:trHeight w:val="290" w:hRule="atLeast"/>
        </w:trPr>
        <w:tc>
          <w:tcPr>
            <w:tcW w:w="25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ID_Клиента</w:t>
            </w:r>
          </w:p>
        </w:tc>
        <w:tc>
          <w:tcPr>
            <w:tcW w:w="97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integer</w:t>
            </w:r>
          </w:p>
        </w:tc>
        <w:tc>
          <w:tcPr>
            <w:tcW w:w="568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Внешний ключ, ссылается на таблицу «Клиент»</w:t>
            </w:r>
          </w:p>
        </w:tc>
      </w:tr>
      <w:tr>
        <w:trPr>
          <w:trHeight w:val="290" w:hRule="atLeast"/>
        </w:trPr>
        <w:tc>
          <w:tcPr>
            <w:tcW w:w="25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Сумма кредита</w:t>
            </w:r>
          </w:p>
        </w:tc>
        <w:tc>
          <w:tcPr>
            <w:tcW w:w="97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decimal</w:t>
            </w:r>
          </w:p>
        </w:tc>
        <w:tc>
          <w:tcPr>
            <w:tcW w:w="568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Общая сумма займа</w:t>
            </w:r>
          </w:p>
        </w:tc>
      </w:tr>
      <w:tr>
        <w:trPr>
          <w:trHeight w:val="290" w:hRule="atLeast"/>
        </w:trPr>
        <w:tc>
          <w:tcPr>
            <w:tcW w:w="25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Процентная ставка</w:t>
            </w:r>
          </w:p>
        </w:tc>
        <w:tc>
          <w:tcPr>
            <w:tcW w:w="97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decimal</w:t>
            </w:r>
          </w:p>
        </w:tc>
        <w:tc>
          <w:tcPr>
            <w:tcW w:w="568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Размер годовой процентной ставки</w:t>
            </w:r>
          </w:p>
        </w:tc>
      </w:tr>
      <w:tr>
        <w:trPr>
          <w:trHeight w:val="290" w:hRule="atLeast"/>
        </w:trPr>
        <w:tc>
          <w:tcPr>
            <w:tcW w:w="25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Срок</w:t>
            </w:r>
          </w:p>
        </w:tc>
        <w:tc>
          <w:tcPr>
            <w:tcW w:w="97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integer</w:t>
            </w:r>
          </w:p>
        </w:tc>
        <w:tc>
          <w:tcPr>
            <w:tcW w:w="5686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Срок кредитования</w:t>
            </w:r>
          </w:p>
        </w:tc>
      </w:tr>
    </w:tbl>
    <w:p>
      <w:pPr>
        <w:pStyle w:val="BodyText"/>
        <w:spacing w:lineRule="auto" w:line="360" w:before="0" w:after="0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  <w:lang w:val="en-US"/>
        </w:rPr>
      </w:r>
    </w:p>
    <w:p>
      <w:pPr>
        <w:pStyle w:val="BodyText"/>
        <w:spacing w:lineRule="auto" w:line="360" w:before="0" w:after="0"/>
        <w:ind w:firstLine="709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В таблице 3 представлены данные о каналах обслуживания, через которые клиент взаимодействует с банком.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</w:rPr>
        <w:t xml:space="preserve">Таблица 3 </w:t>
      </w:r>
      <w:r>
        <w:rPr>
          <w:rFonts w:cs="Times New Roman" w:ascii="Times New Roman" w:hAnsi="Times New Roman"/>
          <w:sz w:val="24"/>
          <w:szCs w:val="24"/>
          <w:lang w:val="en-US"/>
        </w:rPr>
        <w:t>-</w:t>
      </w:r>
      <w:r>
        <w:rPr>
          <w:rFonts w:cs="Times New Roman" w:ascii="Times New Roman" w:hAnsi="Times New Roman"/>
          <w:sz w:val="24"/>
          <w:szCs w:val="24"/>
        </w:rPr>
        <w:t xml:space="preserve"> Канал обслуживания_Клиент</w:t>
      </w:r>
    </w:p>
    <w:tbl>
      <w:tblPr>
        <w:tblW w:w="9351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934"/>
        <w:gridCol w:w="1372"/>
        <w:gridCol w:w="5045"/>
      </w:tblGrid>
      <w:tr>
        <w:trPr>
          <w:trHeight w:val="310" w:hRule="atLeast"/>
        </w:trPr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Название</w:t>
            </w:r>
          </w:p>
        </w:tc>
        <w:tc>
          <w:tcPr>
            <w:tcW w:w="137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Тип</w:t>
            </w:r>
          </w:p>
        </w:tc>
        <w:tc>
          <w:tcPr>
            <w:tcW w:w="50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Описание</w:t>
            </w:r>
          </w:p>
        </w:tc>
      </w:tr>
      <w:tr>
        <w:trPr>
          <w:trHeight w:val="310" w:hRule="atLeast"/>
        </w:trPr>
        <w:tc>
          <w:tcPr>
            <w:tcW w:w="29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ID_Канала</w:t>
            </w:r>
          </w:p>
        </w:tc>
        <w:tc>
          <w:tcPr>
            <w:tcW w:w="137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integer</w:t>
            </w:r>
          </w:p>
        </w:tc>
        <w:tc>
          <w:tcPr>
            <w:tcW w:w="504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Первичный ключ</w:t>
            </w:r>
          </w:p>
        </w:tc>
      </w:tr>
      <w:tr>
        <w:trPr>
          <w:trHeight w:val="310" w:hRule="atLeast"/>
        </w:trPr>
        <w:tc>
          <w:tcPr>
            <w:tcW w:w="29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ID_Клиента</w:t>
            </w:r>
          </w:p>
        </w:tc>
        <w:tc>
          <w:tcPr>
            <w:tcW w:w="137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integer</w:t>
            </w:r>
          </w:p>
        </w:tc>
        <w:tc>
          <w:tcPr>
            <w:tcW w:w="504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Внешний ключ, ссылается на таблицу «Клиент»</w:t>
            </w:r>
          </w:p>
        </w:tc>
      </w:tr>
      <w:tr>
        <w:trPr>
          <w:trHeight w:val="310" w:hRule="atLeast"/>
        </w:trPr>
        <w:tc>
          <w:tcPr>
            <w:tcW w:w="29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Вид канала обслуживания</w:t>
            </w:r>
          </w:p>
        </w:tc>
        <w:tc>
          <w:tcPr>
            <w:tcW w:w="137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 w:eastAsia="ru-RU" w:bidi="ar-SA"/>
              </w:rPr>
              <w:t>v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archar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 w:eastAsia="ru-RU" w:bidi="ar-SA"/>
              </w:rPr>
              <w:t>(255)</w:t>
            </w:r>
          </w:p>
        </w:tc>
        <w:tc>
          <w:tcPr>
            <w:tcW w:w="504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Способ взаимодействия с клиентом</w:t>
            </w:r>
          </w:p>
        </w:tc>
      </w:tr>
    </w:tbl>
    <w:p>
      <w:pPr>
        <w:pStyle w:val="BodyText"/>
        <w:spacing w:lineRule="auto" w:line="360" w:before="0" w:after="0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таблице 4 представлены сведения о банковских счетах, их текущем балансе и связях с клиентом, банком и картой.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Таблица 4 - Счет</w:t>
      </w:r>
    </w:p>
    <w:tbl>
      <w:tblPr>
        <w:tblW w:w="892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78"/>
        <w:gridCol w:w="1454"/>
        <w:gridCol w:w="5494"/>
      </w:tblGrid>
      <w:tr>
        <w:trPr>
          <w:trHeight w:val="290" w:hRule="atLeast"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Название</w:t>
            </w:r>
          </w:p>
        </w:tc>
        <w:tc>
          <w:tcPr>
            <w:tcW w:w="14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Тип</w:t>
            </w:r>
          </w:p>
        </w:tc>
        <w:tc>
          <w:tcPr>
            <w:tcW w:w="549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Описание</w:t>
            </w:r>
          </w:p>
        </w:tc>
      </w:tr>
      <w:tr>
        <w:trPr>
          <w:trHeight w:val="290" w:hRule="atLeast"/>
        </w:trPr>
        <w:tc>
          <w:tcPr>
            <w:tcW w:w="19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ID_Счета</w:t>
            </w:r>
          </w:p>
        </w:tc>
        <w:tc>
          <w:tcPr>
            <w:tcW w:w="145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integer</w:t>
            </w:r>
          </w:p>
        </w:tc>
        <w:tc>
          <w:tcPr>
            <w:tcW w:w="549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Первичный ключ</w:t>
            </w:r>
          </w:p>
        </w:tc>
      </w:tr>
      <w:tr>
        <w:trPr>
          <w:trHeight w:val="290" w:hRule="atLeast"/>
        </w:trPr>
        <w:tc>
          <w:tcPr>
            <w:tcW w:w="19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Номер счета</w:t>
            </w:r>
          </w:p>
        </w:tc>
        <w:tc>
          <w:tcPr>
            <w:tcW w:w="145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varchar(255)</w:t>
            </w:r>
          </w:p>
        </w:tc>
        <w:tc>
          <w:tcPr>
            <w:tcW w:w="549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Уникальный номер банковского счета</w:t>
            </w:r>
          </w:p>
        </w:tc>
      </w:tr>
      <w:tr>
        <w:trPr>
          <w:trHeight w:val="290" w:hRule="atLeast"/>
        </w:trPr>
        <w:tc>
          <w:tcPr>
            <w:tcW w:w="19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ID_Клиента</w:t>
            </w:r>
          </w:p>
        </w:tc>
        <w:tc>
          <w:tcPr>
            <w:tcW w:w="145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integer</w:t>
            </w:r>
          </w:p>
        </w:tc>
        <w:tc>
          <w:tcPr>
            <w:tcW w:w="549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Внешний ключ, ссылается на таблицу «Клиент»</w:t>
            </w:r>
          </w:p>
        </w:tc>
      </w:tr>
      <w:tr>
        <w:trPr>
          <w:trHeight w:val="290" w:hRule="atLeast"/>
        </w:trPr>
        <w:tc>
          <w:tcPr>
            <w:tcW w:w="19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ID_Банка</w:t>
            </w:r>
          </w:p>
        </w:tc>
        <w:tc>
          <w:tcPr>
            <w:tcW w:w="145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integer</w:t>
            </w:r>
          </w:p>
        </w:tc>
        <w:tc>
          <w:tcPr>
            <w:tcW w:w="549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Внешний ключ, ссылается на таблицу «Банк»</w:t>
            </w:r>
          </w:p>
        </w:tc>
      </w:tr>
      <w:tr>
        <w:trPr>
          <w:trHeight w:val="290" w:hRule="atLeast"/>
        </w:trPr>
        <w:tc>
          <w:tcPr>
            <w:tcW w:w="19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ID_карты</w:t>
            </w:r>
          </w:p>
        </w:tc>
        <w:tc>
          <w:tcPr>
            <w:tcW w:w="145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integer</w:t>
            </w:r>
          </w:p>
        </w:tc>
        <w:tc>
          <w:tcPr>
            <w:tcW w:w="549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Внешний ключ, ссылается на таблицу «Карта»</w:t>
            </w:r>
          </w:p>
        </w:tc>
      </w:tr>
      <w:tr>
        <w:trPr>
          <w:trHeight w:val="290" w:hRule="atLeast"/>
        </w:trPr>
        <w:tc>
          <w:tcPr>
            <w:tcW w:w="19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Баланс</w:t>
            </w:r>
          </w:p>
        </w:tc>
        <w:tc>
          <w:tcPr>
            <w:tcW w:w="145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decimal</w:t>
            </w:r>
          </w:p>
        </w:tc>
        <w:tc>
          <w:tcPr>
            <w:tcW w:w="549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Остаток денежных средств на счете</w:t>
            </w:r>
          </w:p>
        </w:tc>
      </w:tr>
    </w:tbl>
    <w:p>
      <w:pPr>
        <w:pStyle w:val="BodyText"/>
        <w:spacing w:lineRule="auto" w:line="360" w:before="0"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таблице 5 представлены данные о конкретных банковских услугах, предоставленных клиенту.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Таблица 5 - Услуга_Клиент</w:t>
      </w:r>
    </w:p>
    <w:tbl>
      <w:tblPr>
        <w:tblW w:w="8075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359"/>
        <w:gridCol w:w="1371"/>
        <w:gridCol w:w="5345"/>
      </w:tblGrid>
      <w:tr>
        <w:trPr>
          <w:trHeight w:val="290" w:hRule="atLeast"/>
        </w:trPr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Название</w:t>
            </w:r>
          </w:p>
        </w:tc>
        <w:tc>
          <w:tcPr>
            <w:tcW w:w="13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Тип</w:t>
            </w:r>
          </w:p>
        </w:tc>
        <w:tc>
          <w:tcPr>
            <w:tcW w:w="53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Описание</w:t>
            </w:r>
          </w:p>
        </w:tc>
      </w:tr>
      <w:tr>
        <w:trPr>
          <w:trHeight w:val="290" w:hRule="atLeast"/>
        </w:trPr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ID_Услуги</w:t>
            </w:r>
          </w:p>
        </w:tc>
        <w:tc>
          <w:tcPr>
            <w:tcW w:w="137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integer</w:t>
            </w:r>
          </w:p>
        </w:tc>
        <w:tc>
          <w:tcPr>
            <w:tcW w:w="534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Первичный ключ</w:t>
            </w:r>
          </w:p>
        </w:tc>
      </w:tr>
      <w:tr>
        <w:trPr>
          <w:trHeight w:val="290" w:hRule="atLeast"/>
        </w:trPr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ID_Клиента</w:t>
            </w:r>
          </w:p>
        </w:tc>
        <w:tc>
          <w:tcPr>
            <w:tcW w:w="137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integer</w:t>
            </w:r>
          </w:p>
        </w:tc>
        <w:tc>
          <w:tcPr>
            <w:tcW w:w="534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Внешний ключ, ссылается на таблицу «Клиент»</w:t>
            </w:r>
          </w:p>
        </w:tc>
      </w:tr>
      <w:tr>
        <w:trPr>
          <w:trHeight w:val="290" w:hRule="atLeast"/>
        </w:trPr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Вид услуги</w:t>
            </w:r>
          </w:p>
        </w:tc>
        <w:tc>
          <w:tcPr>
            <w:tcW w:w="137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 w:eastAsia="ru-RU" w:bidi="ar-SA"/>
              </w:rPr>
              <w:t>v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archar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 w:eastAsia="ru-RU" w:bidi="ar-SA"/>
              </w:rPr>
              <w:t>(255)</w:t>
            </w:r>
          </w:p>
        </w:tc>
        <w:tc>
          <w:tcPr>
            <w:tcW w:w="534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Наименование предоставляемой услуги</w:t>
            </w:r>
          </w:p>
        </w:tc>
      </w:tr>
    </w:tbl>
    <w:p>
      <w:pPr>
        <w:pStyle w:val="BodyText"/>
        <w:spacing w:lineRule="auto" w:line="360" w:before="0" w:after="0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таблице 6 представлены реквизиты банковских организаций, такие как наименование и адрес.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Таблица 6 — Банк</w:t>
      </w:r>
    </w:p>
    <w:tbl>
      <w:tblPr>
        <w:tblW w:w="750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37"/>
        <w:gridCol w:w="1353"/>
        <w:gridCol w:w="4318"/>
      </w:tblGrid>
      <w:tr>
        <w:trPr>
          <w:trHeight w:val="290" w:hRule="atLeast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Название</w:t>
            </w:r>
          </w:p>
        </w:tc>
        <w:tc>
          <w:tcPr>
            <w:tcW w:w="135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Тип</w:t>
            </w:r>
          </w:p>
        </w:tc>
        <w:tc>
          <w:tcPr>
            <w:tcW w:w="43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Описание</w:t>
            </w:r>
          </w:p>
        </w:tc>
      </w:tr>
      <w:tr>
        <w:trPr>
          <w:trHeight w:val="290" w:hRule="atLeast"/>
        </w:trPr>
        <w:tc>
          <w:tcPr>
            <w:tcW w:w="18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ID_Банка</w:t>
            </w:r>
          </w:p>
        </w:tc>
        <w:tc>
          <w:tcPr>
            <w:tcW w:w="1353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integer</w:t>
            </w:r>
          </w:p>
        </w:tc>
        <w:tc>
          <w:tcPr>
            <w:tcW w:w="43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Первичный ключ</w:t>
            </w:r>
          </w:p>
        </w:tc>
      </w:tr>
      <w:tr>
        <w:trPr>
          <w:trHeight w:val="290" w:hRule="atLeast"/>
        </w:trPr>
        <w:tc>
          <w:tcPr>
            <w:tcW w:w="18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Название банка</w:t>
            </w:r>
          </w:p>
        </w:tc>
        <w:tc>
          <w:tcPr>
            <w:tcW w:w="1353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 w:eastAsia="ru-RU" w:bidi="ar-SA"/>
              </w:rPr>
              <w:t>v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archar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 w:eastAsia="ru-RU" w:bidi="ar-SA"/>
              </w:rPr>
              <w:t>(255)</w:t>
            </w:r>
          </w:p>
        </w:tc>
        <w:tc>
          <w:tcPr>
            <w:tcW w:w="43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Официальное наименование организации</w:t>
            </w:r>
          </w:p>
        </w:tc>
      </w:tr>
      <w:tr>
        <w:trPr>
          <w:trHeight w:val="290" w:hRule="atLeast"/>
        </w:trPr>
        <w:tc>
          <w:tcPr>
            <w:tcW w:w="18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Адрес банка</w:t>
            </w:r>
          </w:p>
        </w:tc>
        <w:tc>
          <w:tcPr>
            <w:tcW w:w="1353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 w:eastAsia="ru-RU" w:bidi="ar-SA"/>
              </w:rPr>
              <w:t>v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archar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 w:eastAsia="ru-RU" w:bidi="ar-SA"/>
              </w:rPr>
              <w:t>(255)</w:t>
            </w:r>
          </w:p>
        </w:tc>
        <w:tc>
          <w:tcPr>
            <w:tcW w:w="43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Юридический адрес отделения</w:t>
            </w:r>
          </w:p>
        </w:tc>
      </w:tr>
    </w:tbl>
    <w:p>
      <w:pPr>
        <w:pStyle w:val="BodyText"/>
        <w:spacing w:lineRule="auto" w:line="360" w:before="0" w:after="0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таблице 7 представлены технические характеристики банковских карт, включая их номера, типы и сроки действия.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Таблица 7 — Карта</w:t>
      </w:r>
    </w:p>
    <w:tbl>
      <w:tblPr>
        <w:tblW w:w="8359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42"/>
        <w:gridCol w:w="1384"/>
        <w:gridCol w:w="5233"/>
      </w:tblGrid>
      <w:tr>
        <w:trPr>
          <w:trHeight w:val="290" w:hRule="atLeast"/>
        </w:trPr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Название</w:t>
            </w: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Тип</w:t>
            </w:r>
          </w:p>
        </w:tc>
        <w:tc>
          <w:tcPr>
            <w:tcW w:w="5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Описание</w:t>
            </w:r>
          </w:p>
        </w:tc>
      </w:tr>
      <w:tr>
        <w:trPr>
          <w:trHeight w:val="290" w:hRule="atLeast"/>
        </w:trPr>
        <w:tc>
          <w:tcPr>
            <w:tcW w:w="17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ID_Карты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integer</w:t>
            </w:r>
          </w:p>
        </w:tc>
        <w:tc>
          <w:tcPr>
            <w:tcW w:w="5233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Первичный ключ</w:t>
            </w:r>
          </w:p>
        </w:tc>
      </w:tr>
      <w:tr>
        <w:trPr>
          <w:trHeight w:val="290" w:hRule="atLeast"/>
        </w:trPr>
        <w:tc>
          <w:tcPr>
            <w:tcW w:w="17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Номер карты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 w:eastAsia="ru-RU" w:bidi="ar-SA"/>
              </w:rPr>
              <w:t>v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archar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 w:eastAsia="ru-RU" w:bidi="ar-SA"/>
              </w:rPr>
              <w:t>(255)</w:t>
            </w:r>
          </w:p>
        </w:tc>
        <w:tc>
          <w:tcPr>
            <w:tcW w:w="5233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Уникальный номер пластиковой карты</w:t>
            </w:r>
          </w:p>
        </w:tc>
      </w:tr>
      <w:tr>
        <w:trPr>
          <w:trHeight w:val="290" w:hRule="atLeast"/>
        </w:trPr>
        <w:tc>
          <w:tcPr>
            <w:tcW w:w="17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Тип карты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 w:eastAsia="ru-RU" w:bidi="ar-SA"/>
              </w:rPr>
              <w:t>v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archar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 w:eastAsia="ru-RU" w:bidi="ar-SA"/>
              </w:rPr>
              <w:t>(255)</w:t>
            </w:r>
          </w:p>
        </w:tc>
        <w:tc>
          <w:tcPr>
            <w:tcW w:w="5233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Категория карты (дебетовая/кредитная и т.д.)</w:t>
            </w:r>
          </w:p>
        </w:tc>
      </w:tr>
      <w:tr>
        <w:trPr>
          <w:trHeight w:val="290" w:hRule="atLeast"/>
        </w:trPr>
        <w:tc>
          <w:tcPr>
            <w:tcW w:w="17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Срок действия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date</w:t>
            </w:r>
          </w:p>
        </w:tc>
        <w:tc>
          <w:tcPr>
            <w:tcW w:w="5233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 w:bidi="ar-SA"/>
              </w:rPr>
              <w:t>Дата истечения срока действия карты</w:t>
            </w:r>
          </w:p>
        </w:tc>
      </w:tr>
    </w:tbl>
    <w:p>
      <w:pPr>
        <w:pStyle w:val="BodyText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2"/>
        <w:spacing w:lineRule="auto" w:line="360" w:before="240" w:after="240"/>
        <w:ind w:firstLine="709"/>
        <w:rPr>
          <w:rFonts w:ascii="Times New Roman" w:hAnsi="Times New Roman" w:cs="Times New Roman"/>
          <w:sz w:val="28"/>
          <w:szCs w:val="28"/>
        </w:rPr>
      </w:pPr>
      <w:bookmarkStart w:id="11" w:name="_Toc227910136"/>
      <w:r>
        <w:rPr>
          <w:rFonts w:cs="Times New Roman" w:ascii="Times New Roman" w:hAnsi="Times New Roman"/>
          <w:sz w:val="28"/>
          <w:szCs w:val="28"/>
        </w:rPr>
        <w:t>2.2 Построение диаграммы Вариантов использования и диаграммы последовательности</w:t>
      </w:r>
      <w:bookmarkEnd w:id="11"/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 рисунке 5 показана диаграмма вариантов использования. Данная диаграмма визуализирует функциональные возможности системы и роли пользователей. Основными акторами здесь выступают Клиент и Сотрудник банка. Схема демонстрирует набор доступных действий, таких как открытие счета, оформление кредита или заказ карты. Линии показывают, какие именно операции может инициировать каждый из участников процесса.</w:t>
      </w:r>
    </w:p>
    <w:p>
      <w:pPr>
        <w:pStyle w:val="BodyText"/>
        <w:spacing w:lineRule="auto" w:line="360" w:before="0"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BodyText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5731510" cy="4147820"/>
            <wp:effectExtent l="0" t="0" r="0" b="0"/>
            <wp:docPr id="5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360" w:before="0" w:after="0"/>
        <w:jc w:val="center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Рисунок</w:t>
      </w:r>
      <w:r>
        <w:rPr>
          <w:rFonts w:cs="Times New Roman" w:ascii="Times New Roman" w:hAnsi="Times New Roman"/>
        </w:rPr>
        <w:t xml:space="preserve">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5 — Диаграмма вариантов использования</w:t>
      </w:r>
    </w:p>
    <w:p>
      <w:pPr>
        <w:pStyle w:val="BodyText"/>
        <w:spacing w:lineRule="auto" w:line="360" w:before="0" w:after="0"/>
        <w:ind w:firstLine="709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Таблица прецедентов</w:t>
      </w:r>
    </w:p>
    <w:tbl>
      <w:tblPr>
        <w:tblW w:w="7083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63"/>
        <w:gridCol w:w="4819"/>
      </w:tblGrid>
      <w:tr>
        <w:trPr>
          <w:trHeight w:val="290" w:hRule="atLeast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Актер</w:t>
            </w:r>
          </w:p>
        </w:tc>
        <w:tc>
          <w:tcPr>
            <w:tcW w:w="48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Вариант использования</w:t>
            </w:r>
          </w:p>
        </w:tc>
      </w:tr>
      <w:tr>
        <w:trPr>
          <w:trHeight w:val="290" w:hRule="atLeast"/>
        </w:trPr>
        <w:tc>
          <w:tcPr>
            <w:tcW w:w="22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Клиент</w:t>
            </w:r>
          </w:p>
        </w:tc>
        <w:tc>
          <w:tcPr>
            <w:tcW w:w="481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Открыть счет</w:t>
            </w:r>
          </w:p>
        </w:tc>
      </w:tr>
      <w:tr>
        <w:trPr>
          <w:trHeight w:val="290" w:hRule="atLeast"/>
        </w:trPr>
        <w:tc>
          <w:tcPr>
            <w:tcW w:w="22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Клиент</w:t>
            </w:r>
          </w:p>
        </w:tc>
        <w:tc>
          <w:tcPr>
            <w:tcW w:w="481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Оформить кредит</w:t>
            </w:r>
          </w:p>
        </w:tc>
      </w:tr>
      <w:tr>
        <w:trPr>
          <w:trHeight w:val="290" w:hRule="atLeast"/>
        </w:trPr>
        <w:tc>
          <w:tcPr>
            <w:tcW w:w="22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Клиент</w:t>
            </w:r>
          </w:p>
        </w:tc>
        <w:tc>
          <w:tcPr>
            <w:tcW w:w="481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Заказать карту</w:t>
            </w:r>
          </w:p>
        </w:tc>
      </w:tr>
      <w:tr>
        <w:trPr>
          <w:trHeight w:val="290" w:hRule="atLeast"/>
        </w:trPr>
        <w:tc>
          <w:tcPr>
            <w:tcW w:w="22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Клиент</w:t>
            </w:r>
          </w:p>
        </w:tc>
        <w:tc>
          <w:tcPr>
            <w:tcW w:w="481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Пополнить баланс</w:t>
            </w:r>
          </w:p>
        </w:tc>
      </w:tr>
      <w:tr>
        <w:trPr>
          <w:trHeight w:val="290" w:hRule="atLeast"/>
        </w:trPr>
        <w:tc>
          <w:tcPr>
            <w:tcW w:w="22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Клиент</w:t>
            </w:r>
          </w:p>
        </w:tc>
        <w:tc>
          <w:tcPr>
            <w:tcW w:w="481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Выбрать канал обслуживания</w:t>
            </w:r>
          </w:p>
        </w:tc>
      </w:tr>
      <w:tr>
        <w:trPr>
          <w:trHeight w:val="290" w:hRule="atLeast"/>
        </w:trPr>
        <w:tc>
          <w:tcPr>
            <w:tcW w:w="22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Сотрудник банка</w:t>
            </w:r>
          </w:p>
        </w:tc>
        <w:tc>
          <w:tcPr>
            <w:tcW w:w="481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Открыть счет</w:t>
            </w:r>
          </w:p>
        </w:tc>
      </w:tr>
      <w:tr>
        <w:trPr>
          <w:trHeight w:val="290" w:hRule="atLeast"/>
        </w:trPr>
        <w:tc>
          <w:tcPr>
            <w:tcW w:w="22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Сотрудник банка</w:t>
            </w:r>
          </w:p>
        </w:tc>
        <w:tc>
          <w:tcPr>
            <w:tcW w:w="481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Заказать карту</w:t>
            </w:r>
          </w:p>
        </w:tc>
      </w:tr>
      <w:tr>
        <w:trPr>
          <w:trHeight w:val="290" w:hRule="atLeast"/>
        </w:trPr>
        <w:tc>
          <w:tcPr>
            <w:tcW w:w="22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Сотрудник банка</w:t>
            </w:r>
          </w:p>
        </w:tc>
        <w:tc>
          <w:tcPr>
            <w:tcW w:w="481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 w:bidi="ar-SA"/>
              </w:rPr>
              <w:t>Проверить данные клиента</w:t>
            </w:r>
          </w:p>
        </w:tc>
      </w:tr>
    </w:tbl>
    <w:p>
      <w:pPr>
        <w:pStyle w:val="BodyText"/>
        <w:spacing w:lineRule="auto" w:line="360" w:before="0" w:after="0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BodyText"/>
        <w:spacing w:lineRule="auto" w:line="360" w:before="0" w:after="0"/>
        <w:ind w:firstLine="709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В результате создания диаграммы вариантов использования и таблицы прецедентов, получили таблицу сценариев.</w:t>
      </w:r>
    </w:p>
    <w:p>
      <w:pPr>
        <w:pStyle w:val="BodyText"/>
        <w:spacing w:lineRule="auto" w:line="360" w:before="0" w:after="0"/>
        <w:ind w:firstLine="709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/>
      </w:r>
      <w:r>
        <w:br w:type="page"/>
      </w:r>
    </w:p>
    <w:p>
      <w:pPr>
        <w:pStyle w:val="BodyText"/>
        <w:spacing w:lineRule="auto" w:line="360" w:before="0" w:after="0"/>
        <w:ind w:firstLine="709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Таблица сценариев</w:t>
      </w:r>
    </w:p>
    <w:tbl>
      <w:tblPr>
        <w:tblStyle w:val="affb"/>
        <w:tblW w:w="9028" w:type="dxa"/>
        <w:jc w:val="left"/>
        <w:tblInd w:w="150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firstRow="1" w:noVBand="1" w:lastRow="0" w:firstColumn="1" w:lastColumn="0" w:noHBand="0" w:val="04a0"/>
      </w:tblPr>
      <w:tblGrid>
        <w:gridCol w:w="4383"/>
        <w:gridCol w:w="4644"/>
      </w:tblGrid>
      <w:tr>
        <w:trPr>
          <w:trHeight w:val="269" w:hRule="atLeast"/>
        </w:trPr>
        <w:tc>
          <w:tcPr>
            <w:tcW w:w="4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mbria" w:cs="Times New Roman" w:ascii="Times New Roman" w:hAnsi="Times New Roman"/>
                <w:color w:val="000000"/>
                <w:kern w:val="0"/>
                <w:sz w:val="24"/>
                <w:szCs w:val="24"/>
                <w:lang w:val="ru-RU" w:eastAsia="zh-CN" w:bidi="hi-IN"/>
              </w:rPr>
              <w:t>Действия пользователя</w:t>
            </w:r>
          </w:p>
        </w:tc>
        <w:tc>
          <w:tcPr>
            <w:tcW w:w="4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Cambria" w:cs="Times New Roman"/>
                <w:color w:val="000000"/>
                <w:sz w:val="24"/>
                <w:szCs w:val="24"/>
              </w:rPr>
            </w:pPr>
            <w:r>
              <w:rPr>
                <w:rFonts w:eastAsia="Cambria" w:cs="Times New Roman" w:ascii="Times New Roman" w:hAnsi="Times New Roman"/>
                <w:color w:val="000000"/>
                <w:kern w:val="0"/>
                <w:sz w:val="24"/>
                <w:szCs w:val="24"/>
                <w:lang w:val="ru-RU" w:eastAsia="zh-CN" w:bidi="hi-IN"/>
              </w:rPr>
              <w:t>Реакция системы</w:t>
            </w:r>
          </w:p>
        </w:tc>
      </w:tr>
      <w:tr>
        <w:trPr>
          <w:trHeight w:val="269" w:hRule="atLeast"/>
        </w:trPr>
        <w:tc>
          <w:tcPr>
            <w:tcW w:w="4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mbria" w:cs="Times New Roman" w:ascii="Times New Roman" w:hAnsi="Times New Roman"/>
                <w:color w:val="000000"/>
                <w:kern w:val="0"/>
                <w:sz w:val="24"/>
                <w:szCs w:val="24"/>
                <w:lang w:val="ru-RU" w:eastAsia="zh-CN" w:bidi="hi-IN"/>
              </w:rPr>
              <w:t>Клиент заполняет заявку на открытие счета.</w:t>
            </w:r>
          </w:p>
        </w:tc>
        <w:tc>
          <w:tcPr>
            <w:tcW w:w="4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Cambria" w:cs="Times New Roman"/>
                <w:color w:val="000000"/>
                <w:sz w:val="24"/>
                <w:szCs w:val="24"/>
              </w:rPr>
            </w:pPr>
            <w:r>
              <w:rPr>
                <w:rFonts w:eastAsia="Cambria" w:cs="Times New Roman" w:ascii="Times New Roman" w:hAnsi="Times New Roman"/>
                <w:color w:val="000000"/>
                <w:kern w:val="0"/>
                <w:sz w:val="24"/>
                <w:szCs w:val="24"/>
                <w:lang w:val="ru-RU" w:eastAsia="zh-CN" w:bidi="hi-IN"/>
              </w:rPr>
              <w:t>Система проверяет данные клиента и создает счет.</w:t>
            </w:r>
          </w:p>
        </w:tc>
      </w:tr>
      <w:tr>
        <w:trPr>
          <w:trHeight w:val="269" w:hRule="atLeast"/>
        </w:trPr>
        <w:tc>
          <w:tcPr>
            <w:tcW w:w="4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mbria" w:cs="Times New Roman" w:ascii="Times New Roman" w:hAnsi="Times New Roman"/>
                <w:color w:val="000000"/>
                <w:kern w:val="0"/>
                <w:sz w:val="24"/>
                <w:szCs w:val="24"/>
                <w:lang w:val="ru-RU" w:eastAsia="zh-CN" w:bidi="hi-IN"/>
              </w:rPr>
              <w:t>Клиент подает заявку на кредит.</w:t>
            </w:r>
          </w:p>
        </w:tc>
        <w:tc>
          <w:tcPr>
            <w:tcW w:w="4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Cambria" w:cs="Times New Roman"/>
                <w:color w:val="000000"/>
                <w:sz w:val="24"/>
                <w:szCs w:val="24"/>
              </w:rPr>
            </w:pPr>
            <w:r>
              <w:rPr>
                <w:rFonts w:eastAsia="Cambria" w:cs="Times New Roman" w:ascii="Times New Roman" w:hAnsi="Times New Roman"/>
                <w:color w:val="000000"/>
                <w:kern w:val="0"/>
                <w:sz w:val="24"/>
                <w:szCs w:val="24"/>
                <w:lang w:val="ru-RU" w:eastAsia="zh-CN" w:bidi="hi-IN"/>
              </w:rPr>
              <w:t>Система проверяет кредитоспособность клиента.</w:t>
            </w:r>
          </w:p>
        </w:tc>
      </w:tr>
      <w:tr>
        <w:trPr>
          <w:trHeight w:val="269" w:hRule="atLeast"/>
        </w:trPr>
        <w:tc>
          <w:tcPr>
            <w:tcW w:w="4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mbria" w:cs="Times New Roman" w:ascii="Times New Roman" w:hAnsi="Times New Roman"/>
                <w:color w:val="000000"/>
                <w:kern w:val="0"/>
                <w:sz w:val="24"/>
                <w:szCs w:val="24"/>
                <w:lang w:val="ru-RU" w:eastAsia="zh-CN" w:bidi="hi-IN"/>
              </w:rPr>
              <w:t>Клиент выбирает тип карты и заполняет заявку.</w:t>
            </w:r>
          </w:p>
        </w:tc>
        <w:tc>
          <w:tcPr>
            <w:tcW w:w="4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Cambria" w:cs="Times New Roman"/>
                <w:color w:val="000000"/>
                <w:sz w:val="24"/>
                <w:szCs w:val="24"/>
              </w:rPr>
            </w:pPr>
            <w:r>
              <w:rPr>
                <w:rFonts w:eastAsia="Cambria" w:cs="Times New Roman" w:ascii="Times New Roman" w:hAnsi="Times New Roman"/>
                <w:color w:val="000000"/>
                <w:kern w:val="0"/>
                <w:sz w:val="24"/>
                <w:szCs w:val="24"/>
                <w:lang w:val="ru-RU" w:eastAsia="zh-CN" w:bidi="hi-IN"/>
              </w:rPr>
              <w:t>Система оформляет заказ карты и отправляет уведомление.</w:t>
            </w:r>
          </w:p>
        </w:tc>
      </w:tr>
      <w:tr>
        <w:trPr>
          <w:trHeight w:val="269" w:hRule="atLeast"/>
        </w:trPr>
        <w:tc>
          <w:tcPr>
            <w:tcW w:w="4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mbria" w:cs="Times New Roman" w:ascii="Times New Roman" w:hAnsi="Times New Roman"/>
                <w:color w:val="000000"/>
                <w:kern w:val="0"/>
                <w:sz w:val="24"/>
                <w:szCs w:val="24"/>
                <w:lang w:val="ru-RU" w:eastAsia="zh-CN" w:bidi="hi-IN"/>
              </w:rPr>
              <w:t>Клиент вводит сумму для пополнения счета.</w:t>
            </w:r>
          </w:p>
        </w:tc>
        <w:tc>
          <w:tcPr>
            <w:tcW w:w="4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Cambria" w:cs="Times New Roman"/>
                <w:color w:val="000000"/>
                <w:sz w:val="24"/>
                <w:szCs w:val="24"/>
              </w:rPr>
            </w:pPr>
            <w:r>
              <w:rPr>
                <w:rFonts w:eastAsia="Cambria" w:cs="Times New Roman" w:ascii="Times New Roman" w:hAnsi="Times New Roman"/>
                <w:color w:val="000000"/>
                <w:kern w:val="0"/>
                <w:sz w:val="24"/>
                <w:szCs w:val="24"/>
                <w:lang w:val="ru-RU" w:eastAsia="zh-CN" w:bidi="hi-IN"/>
              </w:rPr>
              <w:t>Система зачисляет средства на счет клиента.</w:t>
            </w:r>
          </w:p>
        </w:tc>
      </w:tr>
      <w:tr>
        <w:trPr>
          <w:trHeight w:val="269" w:hRule="atLeast"/>
        </w:trPr>
        <w:tc>
          <w:tcPr>
            <w:tcW w:w="4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mbria" w:cs="Times New Roman" w:ascii="Times New Roman" w:hAnsi="Times New Roman"/>
                <w:color w:val="000000"/>
                <w:kern w:val="0"/>
                <w:sz w:val="24"/>
                <w:szCs w:val="24"/>
                <w:lang w:val="ru-RU" w:eastAsia="zh-CN" w:bidi="hi-IN"/>
              </w:rPr>
              <w:t>Клиент выбирает удобный канал обслуживания (онлайн/офлайн).</w:t>
            </w:r>
          </w:p>
        </w:tc>
        <w:tc>
          <w:tcPr>
            <w:tcW w:w="4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Cambria" w:cs="Times New Roman"/>
                <w:color w:val="000000"/>
                <w:sz w:val="24"/>
                <w:szCs w:val="24"/>
              </w:rPr>
            </w:pPr>
            <w:r>
              <w:rPr>
                <w:rFonts w:eastAsia="Cambria" w:cs="Times New Roman" w:ascii="Times New Roman" w:hAnsi="Times New Roman"/>
                <w:color w:val="000000"/>
                <w:kern w:val="0"/>
                <w:sz w:val="24"/>
                <w:szCs w:val="24"/>
                <w:lang w:val="ru-RU" w:eastAsia="zh-CN" w:bidi="hi-IN"/>
              </w:rPr>
              <w:t>Система фиксирует выбор клиента.</w:t>
            </w:r>
          </w:p>
        </w:tc>
      </w:tr>
      <w:tr>
        <w:trPr>
          <w:trHeight w:val="269" w:hRule="atLeast"/>
        </w:trPr>
        <w:tc>
          <w:tcPr>
            <w:tcW w:w="4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mbria" w:cs="Times New Roman" w:ascii="Times New Roman" w:hAnsi="Times New Roman"/>
                <w:color w:val="000000"/>
                <w:kern w:val="0"/>
                <w:sz w:val="24"/>
                <w:szCs w:val="24"/>
                <w:lang w:val="ru-RU" w:eastAsia="zh-CN" w:bidi="hi-IN"/>
              </w:rPr>
              <w:t>Сотрудник банка запрашивает данные клиента.</w:t>
            </w:r>
          </w:p>
        </w:tc>
        <w:tc>
          <w:tcPr>
            <w:tcW w:w="4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Cambria" w:cs="Times New Roman"/>
                <w:color w:val="000000"/>
                <w:sz w:val="24"/>
                <w:szCs w:val="24"/>
              </w:rPr>
            </w:pPr>
            <w:r>
              <w:rPr>
                <w:rFonts w:eastAsia="Cambria" w:cs="Times New Roman" w:ascii="Times New Roman" w:hAnsi="Times New Roman"/>
                <w:color w:val="000000"/>
                <w:kern w:val="0"/>
                <w:sz w:val="24"/>
                <w:szCs w:val="24"/>
                <w:lang w:val="ru-RU" w:eastAsia="zh-CN" w:bidi="hi-IN"/>
              </w:rPr>
              <w:t>Система отображает информацию о клиенте.</w:t>
            </w:r>
          </w:p>
        </w:tc>
      </w:tr>
    </w:tbl>
    <w:p>
      <w:pPr>
        <w:pStyle w:val="Normal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spacing w:lineRule="auto" w:line="360"/>
        <w:ind w:firstLine="709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На рисунке 6 показана диаграмма последовательности для варианта использования «Открыть счёт». </w:t>
      </w:r>
      <w:r>
        <w:rPr>
          <w:rFonts w:cs="Times New Roman" w:ascii="Times New Roman" w:hAnsi="Times New Roman"/>
          <w:color w:val="000000"/>
          <w:sz w:val="24"/>
          <w:szCs w:val="24"/>
        </w:rPr>
        <w:t>Процесс начинается с того, что Клиент подает запрос на открытие счета Сотруднику банка. Сотрудник передает данные в Банковскую систему для их проверки. После подтверждения валидности данных система дает команду на создание счета. В завершение процесса Сотрудник передает Клиенту реквизиты готового счета.</w:t>
      </w:r>
      <w:r>
        <w:br w:type="page"/>
      </w:r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p>
      <w:pPr>
        <w:pStyle w:val="Normal"/>
        <w:jc w:val="center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/>
        <w:drawing>
          <wp:inline distT="0" distB="0" distL="0" distR="0">
            <wp:extent cx="4772025" cy="3819525"/>
            <wp:effectExtent l="0" t="0" r="0" b="0"/>
            <wp:docPr id="6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Рисунок 6 — Диаграмма последовательности для варианта использования «Открыть счёт»</w:t>
      </w:r>
    </w:p>
    <w:p>
      <w:pPr>
        <w:pStyle w:val="Normal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spacing w:lineRule="auto" w:line="360"/>
        <w:ind w:firstLine="709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На рисунке 7 показана диаграмма последовательности для варианта использования «Оформление кредита». </w:t>
      </w:r>
      <w:r>
        <w:rPr>
          <w:rFonts w:cs="Times New Roman" w:ascii="Times New Roman" w:hAnsi="Times New Roman"/>
          <w:color w:val="000000"/>
          <w:sz w:val="24"/>
          <w:szCs w:val="24"/>
        </w:rPr>
        <w:t>Клиент инициирует процесс, подавая заявку на кредит Сотруднику банка. Сотрудник направляет запрос в «Кредитный конвейер» для проведения скоринга. Система возвращает решение об одобрении кредита Сотруднику банка. Затем Клиент получает уведомление и подписывает договор с Сотрудником. Финальным этапом является зачисление денежных средств через кредитный конвейер.</w:t>
      </w:r>
    </w:p>
    <w:p>
      <w:pPr>
        <w:pStyle w:val="Normal"/>
        <w:ind w:firstLine="709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4772025" cy="3819525"/>
            <wp:effectExtent l="0" t="0" r="0" b="0"/>
            <wp:docPr id="7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Рисунок 7 — Диаграмма последовательности для варианта использования «Оформить кредит»</w:t>
      </w:r>
    </w:p>
    <w:p>
      <w:pPr>
        <w:pStyle w:val="Normal"/>
        <w:spacing w:lineRule="auto" w:line="360"/>
        <w:ind w:firstLine="709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На рисунке 8 показана диаграмма последовательности для варианта использования «Заказать карту». </w:t>
      </w:r>
      <w:r>
        <w:rPr>
          <w:rFonts w:cs="Times New Roman" w:ascii="Times New Roman" w:hAnsi="Times New Roman"/>
          <w:color w:val="000000"/>
          <w:sz w:val="24"/>
          <w:szCs w:val="24"/>
        </w:rPr>
        <w:t>Процесс запускается, когда Клиент обращается к Сотруднику банка с запросом на выпуск карты. Сотрудник передает этот запрос в Систему выпуска карт. Система выполняет операцию по созданию карты и отправляет подтверждение заказа обратно Сотруднику. Сотрудник информирует Клиента о сроках готовности карты. В конце процесса Клиент получает приглашение забрать готовую карту.</w:t>
      </w:r>
    </w:p>
    <w:p>
      <w:pPr>
        <w:pStyle w:val="Normal"/>
        <w:spacing w:lineRule="auto" w:line="360"/>
        <w:ind w:firstLine="709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jc w:val="center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/>
        <w:drawing>
          <wp:inline distT="0" distB="0" distL="0" distR="0">
            <wp:extent cx="4781550" cy="3819525"/>
            <wp:effectExtent l="0" t="0" r="0" b="0"/>
            <wp:docPr id="8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Рисунок 8 — Диаграмма последовательности для варианта использования «Заказать карту»</w:t>
      </w:r>
    </w:p>
    <w:p>
      <w:pPr>
        <w:pStyle w:val="Heading2"/>
        <w:spacing w:lineRule="auto" w:line="360" w:before="240" w:after="240"/>
        <w:ind w:firstLine="709"/>
        <w:rPr>
          <w:rFonts w:ascii="Times New Roman" w:hAnsi="Times New Roman" w:cs="Times New Roman"/>
          <w:sz w:val="28"/>
          <w:szCs w:val="28"/>
        </w:rPr>
      </w:pPr>
      <w:bookmarkStart w:id="12" w:name="_Toc227910137"/>
      <w:r>
        <w:rPr>
          <w:rFonts w:cs="Times New Roman" w:ascii="Times New Roman" w:hAnsi="Times New Roman"/>
          <w:sz w:val="28"/>
          <w:szCs w:val="28"/>
        </w:rPr>
        <w:t>2.3 Построение диаграммы Деятельности, диаграммы Классов</w:t>
      </w:r>
      <w:bookmarkEnd w:id="12"/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spacing w:lineRule="auto" w:line="360"/>
        <w:ind w:firstLine="709"/>
        <w:jc w:val="both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На рисунке 9 показана диаграмма классов. 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Эта диаграмма описывает статическую структуру системы и взаимосвязи между объектами. Она определяет сущности «Клиент», «Сотрудник», «Счёт» и «Кредит», а также их атрибуты. Диаграмма показывает методы, которые могут выполнять эти объекты, такие как «запрос на открытие счета» или «расчет платежа». Линии связи демонстрируют логику отношений: принадлежность счета конкретному клиенту. </w:t>
      </w:r>
    </w:p>
    <w:p>
      <w:pPr>
        <w:pStyle w:val="Normal"/>
        <w:ind w:firstLine="709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ind w:firstLine="709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ind w:firstLine="709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/>
        <w:drawing>
          <wp:inline distT="0" distB="0" distL="0" distR="0">
            <wp:extent cx="5731510" cy="3812540"/>
            <wp:effectExtent l="0" t="0" r="0" b="0"/>
            <wp:docPr id="9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 xml:space="preserve">Рисунок 9— Диаграмма классов </w:t>
      </w:r>
    </w:p>
    <w:p>
      <w:pPr>
        <w:pStyle w:val="Normal"/>
        <w:jc w:val="center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 рисунке 10 показана диаграмма активности получения клиентом услуги. Данная диаграмма визуализирует логику бизнес-процесса и алгоритм принятия решений. Она описывает последовательность шагов: от входа клиента на сайт до выполнения административных задач (транзакции, обновление, логирование).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jc w:val="center"/>
        <w:rPr>
          <w:rStyle w:val="Strong"/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  <w:r>
        <w:br w:type="page"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4835" cy="8256270"/>
            <wp:effectExtent l="0" t="0" r="0" b="0"/>
            <wp:wrapSquare wrapText="largest"/>
            <wp:docPr id="10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835" cy="8256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00000"/>
          <w:sz w:val="24"/>
          <w:szCs w:val="24"/>
        </w:rPr>
        <w:t>Рисунок 10 — Диаграмма активности получения клиентом услуги</w:t>
        <w:br/>
        <w:br/>
        <w:br/>
        <w:t>На рисунке 11 показана диаграмма состояний для перевода денег контакту. Эта диаграмма описывает движение информации между внешними сущностями и системой. Основным узлом является «Сбербанк Онлайн (Система)», которая выступает в роли центрального процессора данных. Потоки включают запросы на проведение операций и получение реквизитов от Клиента. Система передает запросы на авторизацию платежному шлюзу (МИР/СБП) и получает от него статус выполнения (OK/Error). Также показан поток передачи кода подтверждения через сервис SMS/Push для верификации транзакции. В конечном итоге, информация о чеке, балансе и уведомлениях возвращается обратно Клиенту, замыкая цикл движения данных.</w:t>
      </w:r>
    </w:p>
    <w:p>
      <w:pPr>
        <w:pStyle w:val="Normal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2715260</wp:posOffset>
            </wp:positionH>
            <wp:positionV relativeFrom="paragraph">
              <wp:posOffset>203200</wp:posOffset>
            </wp:positionV>
            <wp:extent cx="2715260" cy="7394575"/>
            <wp:effectExtent l="0" t="0" r="0" b="0"/>
            <wp:wrapSquare wrapText="largest"/>
            <wp:docPr id="11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260" cy="739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00000"/>
          <w:sz w:val="24"/>
          <w:szCs w:val="24"/>
        </w:rPr>
        <w:br/>
        <w:br/>
        <w:br/>
        <w:br/>
        <w:br/>
      </w:r>
    </w:p>
    <w:p>
      <w:pPr>
        <w:pStyle w:val="Normal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Рисунок 11 — Диаграмма состояний для перевода денег контакту</w:t>
        <w:br/>
      </w:r>
    </w:p>
    <w:p>
      <w:pPr>
        <w:pStyle w:val="Normal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На рисунке 12 показана DFD диаграмма для оплаты банком. Эта диаграмма описывает движение информации между внешними сущностями и системой. Основным узлом является «Сбербанк Онлайн (Система)», которая выступает в роли центрального процессора данных. Потоки включают запросы на проведение операций и получение реквизитов от Клиента. Система передает запросы на авторизацию платежному шлюзу (МИР/СБП) и получает от него статус выполнения (OK/Error). Также показан поток передачи кода подтверждения через сервис SMS/Push для верификации транзакции. В конечном итоге, информация о чеке, балансе и уведомлениях возвращается обратно Клиенту, замыкая цикл движения данных.</w:t>
      </w:r>
    </w:p>
    <w:p>
      <w:pPr>
        <w:pStyle w:val="Normal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14625"/>
            <wp:effectExtent l="0" t="0" r="0" b="0"/>
            <wp:wrapSquare wrapText="largest"/>
            <wp:docPr id="12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Рисунок 12 </w:t>
      </w:r>
      <w:r>
        <w:rPr>
          <w:rFonts w:cs="Times New Roman" w:ascii="Times New Roman" w:hAnsi="Times New Roman"/>
          <w:color w:val="000000"/>
          <w:sz w:val="24"/>
          <w:szCs w:val="24"/>
        </w:rPr>
        <w:t>— DFD диаграмма для оплаты банком</w:t>
      </w:r>
      <w:r>
        <w:rPr>
          <w:rFonts w:cs="Times New Roman" w:ascii="Times New Roman" w:hAnsi="Times New Roman"/>
        </w:rPr>
        <w:t xml:space="preserve"> </w:t>
      </w:r>
    </w:p>
    <w:p>
      <w:pPr>
        <w:pStyle w:val="Heading1"/>
        <w:spacing w:lineRule="auto" w:line="360" w:before="240" w:after="240"/>
        <w:ind w:firstLine="709"/>
        <w:rPr>
          <w:rFonts w:ascii="Times New Roman" w:hAnsi="Times New Roman" w:cs="Times New Roman"/>
        </w:rPr>
      </w:pPr>
      <w:bookmarkStart w:id="13" w:name="_Toc227910138"/>
      <w:r>
        <w:rPr>
          <w:rFonts w:cs="Times New Roman" w:ascii="Times New Roman" w:hAnsi="Times New Roman"/>
          <w:sz w:val="28"/>
          <w:szCs w:val="28"/>
        </w:rPr>
        <w:t xml:space="preserve">3 </w:t>
      </w:r>
      <w:bookmarkStart w:id="14" w:name="_Hlk227909016"/>
      <w:r>
        <w:rPr>
          <w:rFonts w:cs="Times New Roman" w:ascii="Times New Roman" w:hAnsi="Times New Roman"/>
          <w:sz w:val="28"/>
          <w:szCs w:val="28"/>
        </w:rPr>
        <w:t xml:space="preserve">Разработка </w:t>
      </w:r>
      <w:bookmarkEnd w:id="14"/>
      <w:r>
        <w:rPr>
          <w:rFonts w:cs="Times New Roman" w:ascii="Times New Roman" w:hAnsi="Times New Roman"/>
          <w:sz w:val="28"/>
          <w:szCs w:val="28"/>
        </w:rPr>
        <w:t>прототипа</w:t>
      </w:r>
      <w:bookmarkEnd w:id="13"/>
      <w:r>
        <w:rPr>
          <w:rFonts w:cs="Times New Roman" w:ascii="Times New Roman" w:hAnsi="Times New Roman"/>
        </w:rPr>
        <w:t xml:space="preserve"> </w:t>
      </w:r>
    </w:p>
    <w:p>
      <w:pPr>
        <w:pStyle w:val="Heading2"/>
        <w:spacing w:lineRule="auto" w:line="360" w:before="240" w:after="240"/>
        <w:ind w:firstLine="709"/>
        <w:rPr>
          <w:rFonts w:ascii="Times New Roman" w:hAnsi="Times New Roman" w:cs="Times New Roman"/>
          <w:sz w:val="28"/>
          <w:szCs w:val="28"/>
        </w:rPr>
      </w:pPr>
      <w:bookmarkStart w:id="15" w:name="_Toc227910139"/>
      <w:r>
        <w:rPr>
          <w:rFonts w:cs="Times New Roman" w:ascii="Times New Roman" w:hAnsi="Times New Roman"/>
          <w:sz w:val="28"/>
          <w:szCs w:val="28"/>
        </w:rPr>
        <w:t>3.1Разработка макета интерфейса в figma</w:t>
      </w:r>
      <w:bookmarkEnd w:id="15"/>
    </w:p>
    <w:p>
      <w:pPr>
        <w:pStyle w:val="Normal1"/>
        <w:spacing w:lineRule="auto" w:line="36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 рисунке 13 показан макет веб-сайта Сбербанк. Верхняя часть содержит элемент навигации или поиска, выделенный фиолетовым цветом. Центральный блок отображает данные карт и бонусов.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Нижний крупный баннер содержит маркетинговый текст, призывающий к путешествиям, и служит рекламным акцентом. Самым важным элементом является яркая кнопка действия «Оформить кредит», которая направляет пользователя к началу оформления кредита на путешествие.</w:t>
      </w:r>
    </w:p>
    <w:p>
      <w:pPr>
        <w:pStyle w:val="Normal1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5731510" cy="3448685"/>
            <wp:effectExtent l="0" t="0" r="0" b="0"/>
            <wp:docPr id="13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</w:rPr>
        <w:t xml:space="preserve">Рисунок 13 </w:t>
      </w:r>
      <w:r>
        <w:rPr>
          <w:rFonts w:cs="Times New Roman" w:ascii="Times New Roman" w:hAnsi="Times New Roman"/>
          <w:color w:val="000000"/>
          <w:sz w:val="24"/>
          <w:szCs w:val="24"/>
        </w:rPr>
        <w:t>— Макет веб-сайта Сбербанк</w:t>
      </w:r>
    </w:p>
    <w:p>
      <w:pPr>
        <w:pStyle w:val="Heading1"/>
        <w:spacing w:lineRule="auto" w:line="360" w:before="240" w:after="240"/>
        <w:ind w:firstLine="709"/>
        <w:rPr>
          <w:rFonts w:ascii="Times New Roman" w:hAnsi="Times New Roman" w:cs="Times New Roman"/>
          <w:sz w:val="28"/>
          <w:szCs w:val="28"/>
        </w:rPr>
      </w:pPr>
      <w:bookmarkStart w:id="16" w:name="_Toc227910140"/>
      <w:r>
        <w:rPr>
          <w:rFonts w:cs="Times New Roman" w:ascii="Times New Roman" w:hAnsi="Times New Roman"/>
          <w:sz w:val="28"/>
          <w:szCs w:val="28"/>
        </w:rPr>
        <w:t>4 Тестирование и оценка качества</w:t>
      </w:r>
      <w:bookmarkEnd w:id="16"/>
    </w:p>
    <w:p>
      <w:pPr>
        <w:pStyle w:val="Heading2"/>
        <w:spacing w:lineRule="auto" w:line="360" w:before="240" w:after="240"/>
        <w:ind w:firstLine="709"/>
        <w:rPr>
          <w:rFonts w:ascii="Times New Roman" w:hAnsi="Times New Roman" w:cs="Times New Roman"/>
          <w:sz w:val="28"/>
          <w:szCs w:val="28"/>
        </w:rPr>
      </w:pPr>
      <w:bookmarkStart w:id="17" w:name="_Toc227910141"/>
      <w:r>
        <w:rPr>
          <w:rFonts w:cs="Times New Roman" w:ascii="Times New Roman" w:hAnsi="Times New Roman"/>
          <w:sz w:val="28"/>
          <w:szCs w:val="28"/>
        </w:rPr>
        <w:t>4.1 Изучение работы в системе контроля версий, настройка</w:t>
      </w:r>
      <w:bookmarkEnd w:id="17"/>
    </w:p>
    <w:p>
      <w:pPr>
        <w:pStyle w:val="Normal1"/>
        <w:spacing w:lineRule="auto" w:line="36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 рисунке 15 зафиксирован процесс выполнения интерактивной сессии в консоли управления </w:t>
      </w:r>
      <w:r>
        <w:rPr>
          <w:rFonts w:cs="Times New Roman" w:ascii="Times New Roman" w:hAnsi="Times New Roman"/>
          <w:sz w:val="24"/>
          <w:szCs w:val="24"/>
          <w:lang w:val="en-US"/>
        </w:rPr>
        <w:t>Git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Bash</w:t>
      </w:r>
      <w:r>
        <w:rPr>
          <w:rFonts w:cs="Times New Roman" w:ascii="Times New Roman" w:hAnsi="Times New Roman"/>
          <w:sz w:val="24"/>
          <w:szCs w:val="24"/>
        </w:rPr>
        <w:t xml:space="preserve">. В ходе выполнения команды gh auth login была произведена последовательная настройка параметров удаленного хоста и протокола передачи данных HTTPS. Рисунок демонстрирует этап верификации пользователя через ввод персонального токена доступа (Personal Access Token) с последующим подтверждением прав доступа. Итогом сессии является успешная аутентификация учетной записи asphaltovich в системе. Данный лог подтверждает корректное выполнение конфигурационных действий в среде </w:t>
      </w:r>
      <w:r>
        <w:rPr>
          <w:rFonts w:cs="Times New Roman" w:ascii="Times New Roman" w:hAnsi="Times New Roman"/>
          <w:sz w:val="24"/>
          <w:szCs w:val="24"/>
          <w:lang w:val="en-US"/>
        </w:rPr>
        <w:t>Git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Bash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rmal1"/>
        <w:spacing w:lineRule="auto" w:line="360"/>
        <w:rPr>
          <w:rFonts w:ascii="Times New Roman" w:hAnsi="Times New Roman" w:cs="Times New Roman"/>
          <w:sz w:val="24"/>
          <w:szCs w:val="24"/>
          <w:lang w:val="en-US"/>
        </w:rPr>
      </w:pPr>
      <w:r>
        <w:rPr/>
        <w:drawing>
          <wp:inline distT="0" distB="0" distL="0" distR="0">
            <wp:extent cx="5731510" cy="2040890"/>
            <wp:effectExtent l="0" t="0" r="0" b="0"/>
            <wp:docPr id="14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Рисунок 15 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— </w:t>
      </w:r>
      <w:r>
        <w:rPr>
          <w:rFonts w:cs="Times New Roman" w:ascii="Times New Roman" w:hAnsi="Times New Roman"/>
          <w:sz w:val="24"/>
          <w:szCs w:val="24"/>
        </w:rPr>
        <w:t xml:space="preserve">Процесс выполнения интерактивной сессии в консоли управления </w:t>
      </w:r>
      <w:r>
        <w:rPr>
          <w:rFonts w:cs="Times New Roman" w:ascii="Times New Roman" w:hAnsi="Times New Roman"/>
          <w:sz w:val="24"/>
          <w:szCs w:val="24"/>
          <w:lang w:val="en-US"/>
        </w:rPr>
        <w:t>Git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Bash</w:t>
      </w:r>
    </w:p>
    <w:p>
      <w:pPr>
        <w:pStyle w:val="Normal1"/>
        <w:spacing w:lineRule="auto" w:line="36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Далее создается репозиторий командой </w:t>
      </w:r>
      <w:r>
        <w:rPr>
          <w:rFonts w:cs="Times New Roman" w:ascii="Times New Roman" w:hAnsi="Times New Roman"/>
          <w:sz w:val="24"/>
          <w:szCs w:val="24"/>
          <w:lang w:val="en-US"/>
        </w:rPr>
        <w:t>gh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repo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create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my</w:t>
      </w:r>
      <w:r>
        <w:rPr>
          <w:rFonts w:cs="Times New Roman" w:ascii="Times New Roman" w:hAnsi="Times New Roman"/>
          <w:sz w:val="24"/>
          <w:szCs w:val="24"/>
        </w:rPr>
        <w:t>-</w:t>
      </w:r>
      <w:r>
        <w:rPr>
          <w:rFonts w:cs="Times New Roman" w:ascii="Times New Roman" w:hAnsi="Times New Roman"/>
          <w:sz w:val="24"/>
          <w:szCs w:val="24"/>
          <w:lang w:val="en-US"/>
        </w:rPr>
        <w:t>new</w:t>
      </w:r>
      <w:r>
        <w:rPr>
          <w:rFonts w:cs="Times New Roman" w:ascii="Times New Roman" w:hAnsi="Times New Roman"/>
          <w:sz w:val="24"/>
          <w:szCs w:val="24"/>
        </w:rPr>
        <w:t>-</w:t>
      </w:r>
      <w:r>
        <w:rPr>
          <w:rFonts w:cs="Times New Roman" w:ascii="Times New Roman" w:hAnsi="Times New Roman"/>
          <w:sz w:val="24"/>
          <w:szCs w:val="24"/>
          <w:lang w:val="en-US"/>
        </w:rPr>
        <w:t>repo</w:t>
      </w:r>
      <w:r>
        <w:rPr>
          <w:rFonts w:cs="Times New Roman" w:ascii="Times New Roman" w:hAnsi="Times New Roman"/>
          <w:sz w:val="24"/>
          <w:szCs w:val="24"/>
        </w:rPr>
        <w:t xml:space="preserve"> --</w:t>
      </w:r>
      <w:r>
        <w:rPr>
          <w:rFonts w:cs="Times New Roman" w:ascii="Times New Roman" w:hAnsi="Times New Roman"/>
          <w:sz w:val="24"/>
          <w:szCs w:val="24"/>
          <w:lang w:val="en-US"/>
        </w:rPr>
        <w:t>public</w:t>
      </w:r>
      <w:r>
        <w:rPr>
          <w:rFonts w:cs="Times New Roman" w:ascii="Times New Roman" w:hAnsi="Times New Roman"/>
          <w:sz w:val="24"/>
          <w:szCs w:val="24"/>
        </w:rPr>
        <w:t xml:space="preserve"> --</w:t>
      </w:r>
      <w:r>
        <w:rPr>
          <w:rFonts w:cs="Times New Roman" w:ascii="Times New Roman" w:hAnsi="Times New Roman"/>
          <w:sz w:val="24"/>
          <w:szCs w:val="24"/>
          <w:lang w:val="en-US"/>
        </w:rPr>
        <w:t>description</w:t>
      </w:r>
      <w:r>
        <w:rPr>
          <w:rFonts w:cs="Times New Roman" w:ascii="Times New Roman" w:hAnsi="Times New Roman"/>
          <w:sz w:val="24"/>
          <w:szCs w:val="24"/>
        </w:rPr>
        <w:t xml:space="preserve"> "Это мой новый репозиторий". К сожалению, снимок этой команды утерян бнзвозвратно. На рисунке 16 показан созданный репозиторий.</w:t>
      </w:r>
    </w:p>
    <w:p>
      <w:pPr>
        <w:pStyle w:val="Normal1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5731510" cy="1906270"/>
            <wp:effectExtent l="0" t="0" r="0" b="0"/>
            <wp:docPr id="15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Рисунок 16 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— </w:t>
      </w:r>
      <w:r>
        <w:rPr>
          <w:rFonts w:cs="Times New Roman" w:ascii="Times New Roman" w:hAnsi="Times New Roman"/>
          <w:sz w:val="24"/>
          <w:szCs w:val="24"/>
        </w:rPr>
        <w:t>Созданный репозиторий</w:t>
      </w:r>
    </w:p>
    <w:p>
      <w:pPr>
        <w:pStyle w:val="Normal1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36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 рисунке 17 зафиксирован лог выполнения команд Git в терминале </w:t>
      </w:r>
      <w:r>
        <w:rPr>
          <w:rFonts w:cs="Times New Roman" w:ascii="Times New Roman" w:hAnsi="Times New Roman"/>
          <w:sz w:val="24"/>
          <w:szCs w:val="24"/>
          <w:lang w:val="en-US"/>
        </w:rPr>
        <w:t>Git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Bash</w:t>
      </w:r>
      <w:r>
        <w:rPr>
          <w:rFonts w:cs="Times New Roman" w:ascii="Times New Roman" w:hAnsi="Times New Roman"/>
          <w:sz w:val="24"/>
          <w:szCs w:val="24"/>
        </w:rPr>
        <w:t>. Процесс начинается с инициализации нового репозитория командой git init в директории /</w:t>
      </w:r>
      <w:r>
        <w:rPr>
          <w:rFonts w:cs="Times New Roman" w:ascii="Times New Roman" w:hAnsi="Times New Roman"/>
          <w:sz w:val="24"/>
          <w:szCs w:val="24"/>
          <w:lang w:val="en-US"/>
        </w:rPr>
        <w:t>d</w:t>
      </w:r>
      <w:r>
        <w:rPr>
          <w:rFonts w:cs="Times New Roman" w:ascii="Times New Roman" w:hAnsi="Times New Roman"/>
          <w:sz w:val="24"/>
          <w:szCs w:val="24"/>
        </w:rPr>
        <w:t>/УП. Далее произведено добавление файлов в индекс и создание коммита с сообщением «добавлены файлы», при этом в логе отображается список созданных PNG-изображений. В завершение видна ошибка выполнения команды git push, связанная с тем, что ветка main не соответствует ни одному из референсов в удаленном репозитории. Данный скриншот демонстрирует успешное локальное создание коммита, но неудачную попытку синхронизации с удаленным сервером.</w:t>
      </w:r>
    </w:p>
    <w:p>
      <w:pPr>
        <w:pStyle w:val="Normal1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5731510" cy="4734560"/>
            <wp:effectExtent l="0" t="0" r="0" b="0"/>
            <wp:docPr id="16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Рисунок 17 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— </w:t>
      </w:r>
      <w:r>
        <w:rPr>
          <w:rFonts w:cs="Times New Roman" w:ascii="Times New Roman" w:hAnsi="Times New Roman"/>
          <w:sz w:val="24"/>
          <w:szCs w:val="24"/>
        </w:rPr>
        <w:t xml:space="preserve">лог выполнения команд Git в терминале </w:t>
      </w:r>
      <w:r>
        <w:rPr>
          <w:rFonts w:cs="Times New Roman" w:ascii="Times New Roman" w:hAnsi="Times New Roman"/>
          <w:sz w:val="24"/>
          <w:szCs w:val="24"/>
          <w:lang w:val="en-US"/>
        </w:rPr>
        <w:t>Git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Bash</w:t>
      </w:r>
    </w:p>
    <w:p>
      <w:pPr>
        <w:pStyle w:val="Normal1"/>
        <w:spacing w:lineRule="auto" w:line="36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 рисунке 18 зафиксирован процесс исправления ошибки синхронизации Git в терминале </w:t>
      </w:r>
      <w:r>
        <w:rPr>
          <w:rFonts w:cs="Times New Roman" w:ascii="Times New Roman" w:hAnsi="Times New Roman"/>
          <w:sz w:val="24"/>
          <w:szCs w:val="24"/>
          <w:lang w:val="en-US"/>
        </w:rPr>
        <w:t>Git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Bash</w:t>
      </w:r>
      <w:r>
        <w:rPr>
          <w:rFonts w:cs="Times New Roman" w:ascii="Times New Roman" w:hAnsi="Times New Roman"/>
          <w:sz w:val="24"/>
          <w:szCs w:val="24"/>
        </w:rPr>
        <w:t>. Сначала отображена ошибка failed to push, вызванная несоответствием референса main в локальном и удаленном репозиториях. Для решения проблемы нужно переименовать текущую ветку в main и добавил удаленный репозиторий GitHub с помощью команды git remote add origin. После этого была выполнена успешная команда git push -u origin main, которая отправила объекты в удаленный репозиторий. В завершение лога подтверждено создание новой ветки и установка отслеживания ветки main для origin/main</w:t>
      </w:r>
    </w:p>
    <w:p>
      <w:pPr>
        <w:pStyle w:val="Normal1"/>
        <w:spacing w:lineRule="auto" w:line="360"/>
        <w:jc w:val="center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5302250" cy="3930650"/>
            <wp:effectExtent l="0" t="0" r="0" b="0"/>
            <wp:docPr id="17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Рисунок 18 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— </w:t>
      </w:r>
      <w:r>
        <w:rPr>
          <w:rFonts w:cs="Times New Roman" w:ascii="Times New Roman" w:hAnsi="Times New Roman"/>
          <w:sz w:val="24"/>
          <w:szCs w:val="24"/>
        </w:rPr>
        <w:t xml:space="preserve">Исправление ошибки в терминале </w:t>
      </w:r>
      <w:r>
        <w:rPr>
          <w:rFonts w:cs="Times New Roman" w:ascii="Times New Roman" w:hAnsi="Times New Roman"/>
          <w:sz w:val="24"/>
          <w:szCs w:val="24"/>
          <w:lang w:val="en-US"/>
        </w:rPr>
        <w:t>Git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Bash</w:t>
      </w:r>
    </w:p>
    <w:p>
      <w:pPr>
        <w:pStyle w:val="Normal1"/>
        <w:spacing w:lineRule="auto" w:line="36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 рисунке 19 показаны добавленные файлы в репозиторий</w:t>
      </w:r>
    </w:p>
    <w:p>
      <w:pPr>
        <w:pStyle w:val="Normal1"/>
        <w:spacing w:lineRule="auto" w:line="36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360"/>
        <w:jc w:val="center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5732780" cy="3434715"/>
            <wp:effectExtent l="0" t="0" r="0" b="0"/>
            <wp:docPr id="18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Рисунок 19 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— </w:t>
      </w:r>
      <w:r>
        <w:rPr>
          <w:rFonts w:cs="Times New Roman" w:ascii="Times New Roman" w:hAnsi="Times New Roman"/>
          <w:sz w:val="24"/>
          <w:szCs w:val="24"/>
        </w:rPr>
        <w:t>Добавленные файлы в репозиторий</w:t>
      </w:r>
    </w:p>
    <w:p>
      <w:pPr>
        <w:pStyle w:val="Normal1"/>
        <w:spacing w:lineRule="auto" w: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36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2"/>
        <w:spacing w:lineRule="auto" w:line="360" w:before="240" w:after="240"/>
        <w:ind w:firstLine="709"/>
        <w:rPr>
          <w:rFonts w:ascii="Times New Roman" w:hAnsi="Times New Roman" w:cs="Times New Roman"/>
          <w:sz w:val="28"/>
          <w:szCs w:val="28"/>
        </w:rPr>
      </w:pPr>
      <w:bookmarkStart w:id="18" w:name="_Toc227910142"/>
      <w:r>
        <w:rPr>
          <w:rFonts w:cs="Times New Roman" w:ascii="Times New Roman" w:hAnsi="Times New Roman"/>
          <w:sz w:val="28"/>
          <w:szCs w:val="28"/>
        </w:rPr>
        <w:t>4.2 Разработка тестового сценария</w:t>
      </w:r>
      <w:bookmarkEnd w:id="18"/>
    </w:p>
    <w:tbl>
      <w:tblPr>
        <w:tblStyle w:val="affb"/>
        <w:tblW w:w="92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95"/>
        <w:gridCol w:w="7246"/>
      </w:tblGrid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1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авторизации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Высокий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входа в личный кабинет с валидными данными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Открыть сайт sberbank.ru. Нажать кнопку Войти. Ввести номер телефона. Ввести верный пароль.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 xml:space="preserve">Логин </w:t>
            </w: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en-US" w:eastAsia="zh-CN" w:bidi="hi-IN"/>
              </w:rPr>
              <w:t>gjdfg</w:t>
            </w:r>
          </w:p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 xml:space="preserve">Пароль = </w:t>
            </w: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en-US" w:eastAsia="zh-CN" w:bidi="hi-IN"/>
              </w:rPr>
              <w:t>7djEjb1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Пользователь авторизован, отображается главная страница с балансом карт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</w:tbl>
    <w:p>
      <w:pPr>
        <w:pStyle w:val="Normal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</w:rPr>
      </w:r>
      <w:r>
        <w:br w:type="page"/>
      </w:r>
    </w:p>
    <w:tbl>
      <w:tblPr>
        <w:tblStyle w:val="affb"/>
        <w:tblW w:w="92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95"/>
        <w:gridCol w:w="7246"/>
      </w:tblGrid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pageBreakBefore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2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перевода по номеру телефона (СБП)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Высокий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Перевод средств внутри системы через СБП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Перейти в раздел Платежи. Выбрать Перевод по номеру телефона. Ввести номер получателя. Ввести сумму. Нажать Перевести.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Номер = +79991234567, сумма = 500 руб.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Деньги списаны со счета, отображается чек об успешной операции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3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ввода некорректного пароля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Средний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реакции системы на неверный пароль при входе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Открыть страницу авторизации. Ввести валидный логин. Ввести неверный пароль. Нажать Войти.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Валидный логин, невалидный пароль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Ошибка Неверный логин или пароль, доступ к кабинету закрыт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4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блокировки карты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Высокий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функции мгновенной блокировки карты через личный кабинет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Выбрать нужную карту. Нажать кнопку Заблокировать. Подтвердить действие кодом из СМС.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Номер карты, ввод кода из СМС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 карты меняется на Заблокирована, операции по карте невозможны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</w:tbl>
    <w:p>
      <w:pPr>
        <w:pStyle w:val="Normal1"/>
        <w:spacing w:lineRule="auto" w:line="259" w:before="0" w:after="23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br/>
      </w:r>
    </w:p>
    <w:p>
      <w:pPr>
        <w:pStyle w:val="Normal"/>
        <w:suppressAutoHyphens w:val="tru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uppressAutoHyphens w:val="tru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uppressAutoHyphens w:val="tru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tbl>
      <w:tblPr>
        <w:tblStyle w:val="affb"/>
        <w:tblW w:w="92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95"/>
        <w:gridCol w:w="7246"/>
      </w:tblGrid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5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изменения лимита на операции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Средний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Установка нового суточного лимита на снятие наличных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Перейти в настройки карты. Выбрать пункт Лимиты. Ввести новое значение суммы. Сохранить изменения.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Новый лимит = 50000 руб.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Система подтверждает изменение, новый лимит применяется к карте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6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запроса реквизитов карты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Низкий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возможности просмотра полных реквизитов карты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Выбрать карту. Нажать на кнопку Реквизиты. Проверить отображение БИК и номера счета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Номер карты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Отображаются корректные БИК, номер счета и корр. счет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7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функции перевыпуска карты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Средний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Запуск процесса заказа новой карты взамен утерянной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Выбрать карту. Нажать Перевыпустить. Выбрать способ получения. Подтвердить заявку.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Выбрать тип карты, выбрать способ доставки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Одержимый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Создается заявка на перевыпуск, статус отображается в истории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</w:tbl>
    <w:p>
      <w:pPr>
        <w:pStyle w:val="Normal"/>
        <w:suppressAutoHyphens w:val="tru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uppressAutoHyphens w:val="tru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r>
        <w:br w:type="page"/>
      </w:r>
    </w:p>
    <w:tbl>
      <w:tblPr>
        <w:tblStyle w:val="affb"/>
        <w:tblW w:w="92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95"/>
        <w:gridCol w:w="7246"/>
      </w:tblGrid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pageBreakBefore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8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смены ПИН-кода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Средний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возможности смены ПИН-кода через приложение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Выбрать карту. Нажать Настройки. Выбрать Сменить ПИН. Ввести старый ПИН. Ввести новый ПИН. Подтвердить.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Старый ПИН = 1111, Новый ПИН = 2222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ПИН-код успешно обновлен, старый код не работает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9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уведомлений об операциях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Низкий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прихода СМС/Push после совершения покупки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Совершить покупку в магазине по карте. Проверить наличие уведомления в приложении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Сумма покупки = 100 руб.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Приходит Push-уведомление с суммой и названием магазина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10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ограничения операций в интернете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Средний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Отключение возможности покупок в интернете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Выбрать настройки карты. Найти пункт Покупки в интернете. Выключить переключатель. Сохранить.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 = Выключено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 попытке оплаты в интернете банк отклоняет транзакцию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</w:tbl>
    <w:p>
      <w:pPr>
        <w:pStyle w:val="Normal"/>
        <w:suppressAutoHyphens w:val="tru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59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r>
        <w:br w:type="page"/>
      </w:r>
    </w:p>
    <w:tbl>
      <w:tblPr>
        <w:tblStyle w:val="affb"/>
        <w:tblW w:w="92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95"/>
        <w:gridCol w:w="7246"/>
      </w:tblGrid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pageBreakBefore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11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функции Снятие наличных (инфо)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Низкий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отображения информации о ближайших банкоматах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Нажать на карту. Выбрать Поиск банкоматов. Проверить отображение карты с точками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Геолокация = активна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 карте отображаются ближайшие банкоматы Сбербанка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12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лимита на снятие наличных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Средний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Попытка снятия суммы выше установленного лимита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Выбрать карту. Перейти в настройки лимитов. Установить лимит 1000 руб. Попробовать перевод 2000 руб.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Лимит = 1000, сумма операции = 2000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Система выдает ошибку Превышен лимит операции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13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функции привязки новой карты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Низкий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Добавление новой карты в профиль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Нажать Добавить карту. Ввести номер карты. Ввести срок действия. Ввести CVV. Подтвердить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Номер карты , CVV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Ожимуемый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Карта успешно добавлена и отображается в списке доступных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</w:tbl>
    <w:p>
      <w:pPr>
        <w:pStyle w:val="Normal1"/>
        <w:spacing w:lineRule="auto" w:line="259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uppressAutoHyphens w:val="tru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r>
        <w:br w:type="page"/>
      </w:r>
    </w:p>
    <w:tbl>
      <w:tblPr>
        <w:tblStyle w:val="affb"/>
        <w:tblW w:w="92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95"/>
        <w:gridCol w:w="7246"/>
      </w:tblGrid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pageBreakBefore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14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оплаты мобильной связи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Высокий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Пополнение баланса мобильного телефона через приложение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Перейти в раздел Платежи. Выбрать Мобильная связь. Ввести номер телефона. Ввести сумму. Нажать Оплатить.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Номер = +79001112233, сумма = 500 руб.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Платеж успешно проведен, баланс телефона увеличен, в истории появилась операция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15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оплаты ЖКХ по квитанции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Высокий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Оплата коммунальных услуг путем сканирования QR-кода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Перейти в раздел Платежи. Выбрать Оплата по QR. Навести камеру на квитанцию. Проверить данные. Нажать Оплатить.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QR-код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Данные поставщика и сумма подтянулись корректно, платеж выполнен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16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оплаты штрафов ГИБДД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Средний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поиска и оплаты штрафа по номеру постановления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Выбрать раздел Штрафы. Ввести номер постановления. Ввести дату и номер документа. Нажать Поиск. Нажать Оплатить.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Номер постановления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Система находит штраф, отображает сумму и нажимает кнопку оплаты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17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оплаты интернета и ТВ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Средний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Оплата услуг провайдера связи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Выбрать раздел Интернет и ТВ. Выбрать провайдера. Ввести лицевой счет. Ввести сумму. Нажать Оплатить.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Л/С = 12345678, сумма = 600 руб.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Платеж прошел, статус услуги обновлен в системе провайдера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18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оплаты налогов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Низкий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возможности оплаты налоговых задолженностей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Перейти в раздел Налоги. Выбрать поиск по ИНН. Ввести ИНН. Проверить наличие задолженности. Нажать Оплатить.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 проведение данных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ИНН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Отображаются актуальные налоги к оплате, платеж проходит успешно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19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оплаты услуг связи (Домашний телефон)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Низкий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Пополнение баланса городского телефона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Выбрать раздел Телефония. Ввести номер телефона. Ввести сумму. Подтвердить платеж.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Вторные данные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Номер, Сумма = 300 руб.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Платеж выполнен, средства списаны со счета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20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ошибки при нехватке средств на оплату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Высокий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Попытка совершить платеж на сумму, превышающую баланс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Выбрать любой сервис оплаты. Ввести сумму, превышающую остаток на карте. Нажать Оплатить.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Баланс = 100 руб., сумма платежа = 500 руб.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Система выдает ошибку недостаточно средств на счете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21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оплаты коммунальных услуг (автоплатеж)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Средний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Настройка автоматического списания средств за ЖКХ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Выбрать услугу ЖКХ. Нажать Настроить автоплатеж. Выбрать периодичность. Сохранить.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Периодичность = Раз в месяц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Создан график автоплатежей, в списке активных услуг появился автоплатеж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22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оплаты через СБП (другой банк)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Высокий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Перевод средств по номеру телефона в другой банк через СБП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Выбрать Перевод по СБП. Ввести номер получателя. Выбрать банк получателя. Ввести сумму. Нажать Перевести.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Номер = +79990000000, сумма = 1000 руб.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Деньги успешно ушли в другой банк, отображается квитанция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23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оплаты штрафов (некорректный номер)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Низкий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Поиск штрафа по несуществующему номеру постановления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Выбрать раздел Штрафы. Ввести случайный набор цифр. Нажать Поиск.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Номер постановления = 000000000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Облюдаемый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Система сообщает Информация по вашему запросу не найдена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1995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246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</w:tbl>
    <w:p>
      <w:pPr>
        <w:pStyle w:val="Normal"/>
        <w:suppressAutoHyphens w:val="tru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uppressAutoHyphens w:val="true"/>
        <w:spacing w:lineRule="auto" w:line="240" w:before="0" w:after="0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165725" cy="8863330"/>
            <wp:effectExtent l="0" t="0" r="0" b="0"/>
            <wp:docPr id="19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7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uppressAutoHyphens w:val="true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Style w:val="affb"/>
        <w:tblW w:w="92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63"/>
        <w:gridCol w:w="7178"/>
      </w:tblGrid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34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открытия брокерского счета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Средний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процесса подачи заявки на открытие счета для торговли акциями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Перейти в раздел Инвестиции. Нажать Открыть брокерский счет. Ознакомиться с условиями. Нажать Подтвердить.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Тип счета = Брокерский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Заявка принята, отображается статус обработки в профиле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35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покупки акции (демо-режим)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Высокий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процесса совершения сделки на бирже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Выбрать акцию из списка. Нажать Купить. Ввести количество лотов. Нажать Подтвердить сделку.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Тикер = SBER, Кол-во = 1 лот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Сделка исполнена, акция отображается в портфеле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36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оформления страхового полиса (ЕСЛИ)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Низкий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покупки страхования имущества через приложение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Перейти в раздел Страхование. Выбрать Страхование имущества. Заполнить данные об объекте. Оплатить полис.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Объект = Квартира, Сумма = 500000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Олядаемый результат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Полис сформирован, электронная копия доступна в разделе Документы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37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функции «Копилка»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Средний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настройки автоматического округления трат в накопительный счет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Перейти в раздел Сбережения. Выбрать Копилка. Включить функцию округления. Выбрать шаг округления (например, 10 руб).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 = 10 руб.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 совершении покупки происходит автоматический перевод разницы в Копилку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38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загрузки скана документа (KYC)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Высокий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возможности обновления паспортных данных через фото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Перейти в Профиль. Выбрать Обновить данные. Нажать Сфотографировать паспорт. Сделать четкое фото. Отправить.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Тип документа = Паспорт РФ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Фото загружено, статус проверки «На модерации»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39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отображения курсов валют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Низкий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актуальности котировок валют в приложении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Перейти в раздел Валюта. Сравнить отображаемый курс с официальным курсом ЦБ.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Валюта = USD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Курс соответствует актуальным рыночным данным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40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конвертации валюты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Высокий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Обмен рублей на доллары внутри приложения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Выбрать счет в USD. Нажать Обменять. Выбрать счет в RUB. Ввести сумму. Подтвердить обмен.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Сумма = 100 USD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Обожидаемый результат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 RUB списана эквивалентная сумма, на USD зачислено 100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41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функции «Поделиться чеком»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Низкий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Отправка квитанции об операции через мессенджер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Открыть историю операции. Нажать кнопку Поделиться. Выбрать Telegram. Выбрать контакт.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Операция = Перевод 500 руб.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Сформированный PDF или изображение чека отправлено контакту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42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ошибки при вводе невалидной суммы перевода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Средний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Попытка перевода отрицательной суммы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Выбрать Перевод по номеру. Ввести сумму -100. Нажать Перевести.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Сумма = -100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Кнопка Перевести неактивна или ошибка «Сумма должна быть больше нуля»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43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функции «Справка по кредиту»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Низкий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возможности получения графика платежей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Перейти в раздел Кредиты. Выбрать активный кредит. Нажать График платежей.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Кредит = [активный]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Отображается таблица с датами и суммами будущих платежей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Fактический результат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2063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178" w:type="dxa"/>
            <w:tcBorders/>
          </w:tcPr>
          <w:p>
            <w:pPr>
              <w:pStyle w:val="Normal1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</w:tbl>
    <w:p>
      <w:pPr>
        <w:pStyle w:val="Normal"/>
        <w:suppressAutoHyphens w:val="tru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cs="Times New Roman" w:ascii="Times New Roman" w:hAnsi="Times New Roman"/>
        </w:rPr>
        <w:t xml:space="preserve"> </w:t>
      </w:r>
      <w:r>
        <w:br w:type="page"/>
      </w:r>
    </w:p>
    <w:tbl>
      <w:tblPr>
        <w:tblStyle w:val="affb"/>
        <w:tblW w:w="92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76"/>
        <w:gridCol w:w="7165"/>
      </w:tblGrid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pageBreakBefore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44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интеграции с Госуслугами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Высокий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авторизации/автозаполнения данных через ЕСИА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Нажать Войти через Госуслуги. Выбрать аккаунт ЕСИА. Ввести логин и пароль от Госуслуг. Подтвердить вход.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Ввод валидных логина и пароля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Данные пользователя успешно подтянуты, вход в Сбербанк выполнен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45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работы Push-уведомлений при отсутствии интернета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Средний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задержки и доставки уведомлений при восстановлении сети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Отключить интернет на устройстве. Совершить покупку с другой карты. Включить интернет. Проверить наличие Push.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Состояние сети = Offline -&gt; Online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Push-уведомление приходит сразу после восстановления соединения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46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обработки ошибки API (Timeout)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Средний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поведения приложения при задержке ответа от сервера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Инициировать запрос на получение списка карт. Искусственно задержать ответ сервера.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Включенные данные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Задержка ответа = 30 сек.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Приложение не зависает, отображается сообщение «Ошибка соединения, попробуйте позже»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47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безопасности: Скриншот экрана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Высокий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запрета на создание скриншотов в разделах с конфиденциальной информацией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Открыть экран с полными реквизитами карты. Попытаться сделать скриншот устройства.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Внутренние данные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Экран = Реквизиты карты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Система выдает предупреждение или скриншот сохраняется как черный экран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48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корректности отображения в темной теме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Низкий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читаемости текста и элементов интерфейса при смене темы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Переключить тему оформления в настройках телефона на Темную. Открыть приложение. Проверить контрастность.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Тема = Dark Mode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Все элементы интерфейса (текст, иконки) видны и читаемы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49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валидации номера карты (Luhn Algorithm)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Средний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реакции на ввод несуществующего номера карты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Нажать Добавить карту. Ввести номер, не проходящий проверку по алгоритму Луна.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Номер карты = [невалидный]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Ожимуемый результат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Система подсвечивает поле красным и пишет «Неверный номер карты»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 xml:space="preserve">Статус 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50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работы функции QR-кода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Высокий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Оплата по QR-коду через сканер приложения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Выбрать Оплата по QR. Нажать на иконку сканера. Навести камеру на QR-код чека.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QR-код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Данные продавца и сумма подтянуты автоматически для оплаты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51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нагрузки: одновременные запросы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 xml:space="preserve">Приоритет 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Низкий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стабильности при быстром многократном нажатии на кнопку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Нажать на кнопку «Перевести» 10 раз подряд очень быстро.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2352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Рпрпро                         Нажатие кнопки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результат Система обрабатывает только одну транзакцию, дубли не создаются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52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работы биометрии (FaceID/TouchID)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Высокий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 в приложение с использованием биометрических данных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Включить вход по FaceID в настройках. Выйти из приложения. Попытаться войти через сканирование лица.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Биометрия = Включена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Приложение распознает лицо и предоставляет доступ к аккаунту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53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отображения ошибки при отсутствии связи с сервером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Средний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обработки ошибки 500 (Internal Server Error)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Инициировать запрос к API. На стороне сервера вернуть ошибку 500.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HTTP Status = 500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Пользователю отображается дружелюбное сообщение о технических работах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20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</w:tbl>
    <w:p>
      <w:pPr>
        <w:pStyle w:val="Normal"/>
        <w:suppressAutoHyphens w:val="tru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uppressAutoHyphens w:val="tru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uppressAutoHyphens w:val="tru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affb"/>
        <w:tblW w:w="92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85"/>
        <w:gridCol w:w="7656"/>
      </w:tblGrid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54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смены языка интерфейса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Низкий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корректности перевода интерфейса на английский язык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Перейти в Настройки. Выбрать Язык. Выбрать English. Проверить названия разделов.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Язык = English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Все элементы интерфейса (меню, кнопки, заголовки) отображаются на английском языке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55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удаления контакта из списка избранных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Низкий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возможности управления списком быстрых платежей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Перейти в раздел Переводы. Найти контакт в Избранном. Нажать Удалить. Проверить список.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наличие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Контакт = [существующий в избранном]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Контакт исчезает из списка быстрых платежей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56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работы функции «Поиск по истории»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Средний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фильтрации операций по ключевому слову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Открыть Историю операций. Нажать на иконку поиска. Ввести название магазина (например, "Pyaterochka").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Поисковый запрос = Pyaterochka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 списке остаются только операции, содержащие данное слово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57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обработки пустой корзины/списка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Низкий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отображения экрана, если нет активных предложений или платежей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Перейти в раздел Платежи по QR. Использовать сценарий, где нет сохраненных шаблонов.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Список шаблонов = Пусто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Отображается заглушка «У вас пока нет шаблонов»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58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работы функции «Заказать звонок»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Средний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отправки заявки на обратный звонок оператора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Перейти в раздел Поддержка. Нажать Заказать звонок. Проверить отправку запроса.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Вложные данные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Номер телефона = [текущий номер]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Появляется сообщение «Заявка принята, мы перезвоним»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59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поведения при низком заряде аккумулятора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Низкий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сохранения данных при внезапном выключении приложения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Начать заполнение формы перевода. Искусственно вызвать выключение устройства. Перезагрузить и открыть приложение.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Состояние = Power Off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Приложение открывается на главном экране, транзакция не была отправлена самопроизвольно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60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очистки кэша приложения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Низкий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удаления временных данных через настройки ОС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Зайти в Настройки телефона. Выбрать Приложения. Сбербанк. Очистить кэш. Открыть приложение.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Действие = Clear Cache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Приложение работает корректно, авторизация сохранена (если не очищен Data)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Идентификатор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60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 теста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работы сессии при очистке Cookies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Приоритет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Средний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Проверка принудительного завершения сессии после удаления файлов cookie в браузере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Шаги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Авторизоваться на сайте sberbank.ru. Открыть инструменты разработчика браузера. Перейти в раздел Application. Удалить все Cookies для данного домена. Обновить страницу сайта.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Входные данные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Действие = Удаление Cookies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Ожидаемый результат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Пользователь автоматически разлогинивается, система перенаправляет на страницу входа, доступ к личному кабинету закрыт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Фактический результат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Как ожидалось</w:t>
            </w:r>
          </w:p>
        </w:tc>
      </w:tr>
      <w:tr>
        <w:trPr>
          <w:trHeight w:val="290" w:hRule="atLeast"/>
        </w:trPr>
        <w:tc>
          <w:tcPr>
            <w:tcW w:w="1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Статус</w:t>
            </w:r>
          </w:p>
        </w:tc>
        <w:tc>
          <w:tcPr>
            <w:tcW w:w="7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Пройден успешно</w:t>
            </w:r>
          </w:p>
        </w:tc>
      </w:tr>
    </w:tbl>
    <w:p>
      <w:pPr>
        <w:pStyle w:val="Normal"/>
        <w:suppressAutoHyphens w:val="tru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uppressAutoHyphens w:val="tru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2"/>
        <w:spacing w:lineRule="auto" w:line="360" w:before="240" w:after="240"/>
        <w:ind w:firstLine="709"/>
        <w:rPr>
          <w:rFonts w:ascii="Times New Roman" w:hAnsi="Times New Roman" w:cs="Times New Roman"/>
          <w:sz w:val="28"/>
          <w:szCs w:val="28"/>
        </w:rPr>
      </w:pPr>
      <w:bookmarkStart w:id="19" w:name="_Toc227910143"/>
      <w:r>
        <w:rPr>
          <w:rFonts w:cs="Times New Roman" w:ascii="Times New Roman" w:hAnsi="Times New Roman"/>
          <w:sz w:val="28"/>
          <w:szCs w:val="28"/>
        </w:rPr>
        <w:t>4.3 Разработка тестовых пакетов</w:t>
      </w:r>
      <w:bookmarkEnd w:id="19"/>
    </w:p>
    <w:p>
      <w:pPr>
        <w:pStyle w:val="Normal"/>
        <w:spacing w:lineRule="auto" w:line="36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Авторизация и доступ к личному кабинету</w:t>
      </w:r>
    </w:p>
    <w:p>
      <w:pPr>
        <w:pStyle w:val="ListParagraph"/>
        <w:numPr>
          <w:ilvl w:val="0"/>
          <w:numId w:val="8"/>
        </w:numPr>
        <w:spacing w:lineRule="auto" w:line="360"/>
        <w:ind w:firstLine="397"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Открыть страницу входа (sberbank.ru).</w:t>
      </w:r>
    </w:p>
    <w:p>
      <w:pPr>
        <w:pStyle w:val="ListParagraph"/>
        <w:numPr>
          <w:ilvl w:val="0"/>
          <w:numId w:val="8"/>
        </w:numPr>
        <w:spacing w:lineRule="auto" w:line="360"/>
        <w:ind w:firstLine="397"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Ввести валидный логин (номер телефона или логин). / Ввести верный пароль или код из СМС/Push.</w:t>
      </w:r>
    </w:p>
    <w:p>
      <w:pPr>
        <w:pStyle w:val="ListParagraph"/>
        <w:numPr>
          <w:ilvl w:val="0"/>
          <w:numId w:val="8"/>
        </w:numPr>
        <w:spacing w:lineRule="auto" w:line="360"/>
        <w:ind w:firstLine="397"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Нажать кнопку «Войти».</w:t>
      </w:r>
    </w:p>
    <w:p>
      <w:pPr>
        <w:pStyle w:val="ListParagraph"/>
        <w:numPr>
          <w:ilvl w:val="0"/>
          <w:numId w:val="8"/>
        </w:numPr>
        <w:spacing w:lineRule="auto" w:line="360"/>
        <w:ind w:firstLine="397"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Проверить, что пользователь успешно перенаправлен на главную страницу личного кабинета.</w:t>
      </w:r>
    </w:p>
    <w:p>
      <w:pPr>
        <w:pStyle w:val="ListParagraph"/>
        <w:numPr>
          <w:ilvl w:val="0"/>
          <w:numId w:val="8"/>
        </w:numPr>
        <w:spacing w:lineRule="auto" w:line="360"/>
        <w:ind w:firstLine="397"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Проверить, что отображается актуальный баланс основных счетов и карт.</w:t>
      </w:r>
    </w:p>
    <w:p>
      <w:pPr>
        <w:pStyle w:val="ListParagraph"/>
        <w:numPr>
          <w:ilvl w:val="0"/>
          <w:numId w:val="8"/>
        </w:numPr>
        <w:spacing w:lineRule="auto" w:line="360"/>
        <w:ind w:firstLine="397"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Негативный сценарий: Проверить появление ошибки при вводе неверного пароля.</w:t>
      </w:r>
    </w:p>
    <w:p>
      <w:pPr>
        <w:pStyle w:val="Normal"/>
        <w:spacing w:lineRule="auto" w:line="360"/>
        <w:ind w:firstLine="397"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Проведение денежных переводов (СБП и между счетами)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Перейти в раздел «Переводы» или «Платежи».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Выбрать тип перевода (например, по номеру телефона через СБП).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Ввести номер получателя и сумму перевода.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Нажать кнопку «Перевести» или «Продолжить».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Проверить корректность отображения данных получателя перед подтверждением.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Подтвердить операцию кодом из СМС/Push.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Проверить, что в истории операций появилась новая запись с корректным статусом «Выполнено».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Проверить, что сумма на исходном счете уменьшилась на указанную сумму.</w:t>
      </w:r>
    </w:p>
    <w:p>
      <w:pPr>
        <w:pStyle w:val="Normal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 Управление банковскими продуктами (Карты и Счета)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Открыть раздел «Мои карты» или «Счета».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Выбрать конкретную карту из списка.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Выполнить действие (например, «Заблокировать карту» или «Изменить лимит»).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Ввести необходимые данные для подтверждения действия.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Нажать кнопку «Сохранить» или «Подтвердить».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Проверить, что статус карты/счета обновился в интерфейсе (например, статус стал «Заблокирована»).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Проверить, что изменения отразились в истории действий пользователя.</w:t>
      </w:r>
    </w:p>
    <w:p>
      <w:pPr>
        <w:pStyle w:val="Normal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Оплата услуг и коммунальных платежей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Перейти в раздел «Платежи» -&gt; «ЖКХ» или «Мобильная связь».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Выбрать поставщика услуг или отсканировать QR-код (через веб-камеру).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Ввести реквизиты платежа (лицевой счет, номер договора).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Проверить, что система подтянула актуальную задолженность и ФИО владельца.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Ввести сумму платежа.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Нажать кнопку «Оплатить».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Проверить появление электронного чека (квитанции) в разделе «История платежей».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Проверить, что статус платежа в системе провайдера (виртуально) соответствует выполненному. </w:t>
      </w:r>
    </w:p>
    <w:p>
      <w:pPr>
        <w:pStyle w:val="Normal"/>
        <w:spacing w:lineRule="auto" w:line="36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 Работа с документами и выписками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Открыть раздел «Счета и вклады».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Выбрать нужный счет или карту.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Нажать на кнопку «Справки и выписки».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Выбрать период (например, «Прошлый месяц»).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Нажать кнопку «Скачать в PDF».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Проверить, что файл успешно загрузился на компьютер.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Проверить корректность данных внутри скачанного PDF-файла (ФИО, реквизиты, суммы).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Проверить, что формат документа соответствует заявленному (PDF/XLS).</w:t>
      </w:r>
    </w:p>
    <w:p>
      <w:pPr>
        <w:pStyle w:val="Normal"/>
        <w:spacing w:lineRule="auto" w:line="36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 Управление лимитами и безопасностью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Перейти в раздел «Настройки» или «Безопасность».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Выбрать пункт «Лимиты по картам».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Изменить значение суточного лимита на снятие наличных.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Нажать кнопку «Сохранить».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Проверить, что система запросила подтверждение (СМС/Push).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Проверить, что после подтверждения новый лимит отображается в интерфейсе.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Проверить, что при попытке совершить перевод сверх нового лимита, система выдает ошибку «Превышен лимит».</w:t>
      </w:r>
    </w:p>
    <w:p>
      <w:pPr>
        <w:pStyle w:val="Normal"/>
        <w:spacing w:lineRule="auto" w:line="36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7. Работа с кредитным модулем (Заявки)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Перейти в раздел «Кредиты».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Выбрать тип кредита (например, «Потребительский»).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Использовать онлайн-калькулятор: выбрать сумму и срок кредита.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Проверить, что ежемесячный платеж пересчитывается динамически при изменении ползунков.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Нажать кнопку «Оформить заявку».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Заполнить необходимые поля анкеты (доход, занятость).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Проверить, что после отправки заявка отображается в разделе «Мои заявки» со статусом «На рассмотрении».</w:t>
      </w:r>
    </w:p>
    <w:p>
      <w:pPr>
        <w:pStyle w:val="Normal"/>
        <w:spacing w:lineRule="auto" w:line="36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8. Поиск и навигация по сайту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Открыть главную страницу сайта.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Использовать строку поиска (поиск по услугам или продуктам).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Ввести запрос (например, «Вклад»).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Проверить, что поисковая выдача содержит релевантные ссылки на страницы вкладов.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Проверить работу «хлебных крошек» (навигационной цепочки) при переходе вглубь разделов.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Проверить, что все ссылки в «подвале» (footer) сайта ведут на соответствующие юридические документы или разделы поддержки.</w:t>
      </w:r>
    </w:p>
    <w:p>
      <w:pPr>
        <w:pStyle w:val="Normal"/>
        <w:spacing w:lineRule="auto" w:line="36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9. Работа с уведомлениями и сообщениями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Открыть раздел «Сообщения» или «Уведомления».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Проверить наличие непрочитанных системных сообщений от банка.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Проверить, что при клике на уведомление пользователь перенаправляется на соответствующую страницу (например, на страницу конкретного платежа).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Проверить возможность прочтения сообщения.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Проверить, что после прочтения статус сообщения меняется с «Непрочитано» на «Прочитано».</w:t>
      </w:r>
    </w:p>
    <w:p>
      <w:pPr>
        <w:pStyle w:val="Normal"/>
        <w:spacing w:lineRule="auto" w:line="36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10. Проверка отказоустойчивости форм (Валидация)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Открыть форму любого платежа или перевода.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Ввести в поле «Сумма» недопустимые символы (буквы, спецсимволы).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Проверить, что система блокирует ввод или выдает ошибку «Некорректный формат».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Ввести в поле «Номер телефона» слишком короткое или слишком длинное значение.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Проверить, что кнопка «Продолжить» становится неактивной (disabled) при наличии ошибок в обязательных полях.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Оставить обязательное поле (например, «Счет списания») пустым и попытаться отправить форму.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Проверить появление сообщения об ошибке под пустым полем.</w:t>
      </w:r>
    </w:p>
    <w:p>
      <w:pPr>
        <w:pStyle w:val="Normal"/>
        <w:suppressAutoHyphens w:val="true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Heading1"/>
        <w:spacing w:lineRule="auto" w:line="360" w:before="0" w:after="240"/>
        <w:jc w:val="center"/>
        <w:rPr>
          <w:rFonts w:ascii="Times New Roman" w:hAnsi="Times New Roman" w:cs="Times New Roman"/>
          <w:sz w:val="28"/>
          <w:szCs w:val="28"/>
        </w:rPr>
      </w:pPr>
      <w:bookmarkStart w:id="20" w:name="_Toc227910144"/>
      <w:r>
        <w:rPr>
          <w:rFonts w:cs="Times New Roman" w:ascii="Times New Roman" w:hAnsi="Times New Roman"/>
          <w:sz w:val="28"/>
          <w:szCs w:val="28"/>
        </w:rPr>
        <w:t>ЗАКЛЮЧЕНИЕ</w:t>
      </w:r>
      <w:bookmarkEnd w:id="20"/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рамках проделанной работы была выполнена разработка модульной информационной системы для автоматизации процессов, связанных с управлением финансовыми операциями и взаимодействием с клиентами банка. Основной целью проекта являлось создание безопасного, удобного и функционального приложения, которое обеспечит эффективное выполнение задач как для сотрудников банка, так и для его клиентов.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ходе выполнения проекта были достигнуты следующие результаты: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Проведен анализ предметной области: изучены аналогичные решения на рынке, выявлены их сильные и слабые стороны, что позволило сформировать требования к функционалу системы.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Спроектирована архитектура системы: разработаны ER-диаграммы, диаграммы классов, последовательностей и активности, что обеспечило структурированное представление данных и логики взаимодействия компонентов.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Создан прототип интерфейса: разработан макет пользовательского интерфейса в Figma, учитывающий принципы минимализма, удобства и адаптивности.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Выполнено тестирование: проведены функциональные, нагрузочные и интеграционные тесты, которые подтвердили стабильность работы системы и соответствие заявленным требованиям.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Разработаны тестовые сценарии и пакеты: обеспечено покрытие всех ключевых функций системы, включая авторизацию, переводы, управление картами, оплату услуг и безопасность.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Реализованы меры безопасности: внедрены механизмы шифрования, двухфакторной аутентификации и разграничения прав доступа, что гарантирует защиту данных пользователей.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Подготовлены рекомендации по сопровождению: определены регламенты технической поддержки, обновлений и реагирования на инциденты.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Таким образом, поставленная цель была достигнута, а все задачи, обозначенные в начале работы, успешно решены. Разработанный модуль информационной системы обладает высокой функциональностью, отвечает современным требованиям безопасности и удобства, а также предоставляет широкие возможности для дальнейшего развития.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Перспективы развития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Расширение функционала: добавление новых возможностей, таких как интеграция с инвестиционными платформами, поддержка криптовалютных операций и автоматизация отчетности.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Улучшение пользовательского опыта: внедрение искусственного интеллекта для персонализации интерфейса и рекомендаций.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Масштабирование системы: адаптация приложения для международных рынков, включая поддержку локализации и мультивалютных операций.</w:t>
      </w:r>
    </w:p>
    <w:p>
      <w:pPr>
        <w:pStyle w:val="ListParagraph"/>
        <w:numPr>
          <w:ilvl w:val="0"/>
          <w:numId w:val="9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Углубление аналитики: разработка модулей для анализа поведения пользователей и прогнозирования финансовых рисков.</w:t>
      </w:r>
    </w:p>
    <w:p>
      <w:pPr>
        <w:pStyle w:val="Normal"/>
        <w:suppressAutoHyphens w:val="true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Heading1"/>
        <w:spacing w:lineRule="auto" w:line="360" w:before="0" w:after="240"/>
        <w:jc w:val="center"/>
        <w:rPr>
          <w:rFonts w:ascii="Times New Roman" w:hAnsi="Times New Roman" w:cs="Times New Roman"/>
          <w:sz w:val="28"/>
          <w:szCs w:val="28"/>
        </w:rPr>
      </w:pPr>
      <w:bookmarkStart w:id="21" w:name="_Toc227910145"/>
      <w:r>
        <w:rPr>
          <w:rFonts w:cs="Times New Roman" w:ascii="Times New Roman" w:hAnsi="Times New Roman"/>
          <w:sz w:val="28"/>
          <w:szCs w:val="28"/>
        </w:rPr>
        <w:t>Список использованных источников</w:t>
      </w:r>
      <w:bookmarkEnd w:id="21"/>
    </w:p>
    <w:p>
      <w:pPr>
        <w:pStyle w:val="ListParagraph"/>
        <w:numPr>
          <w:ilvl w:val="0"/>
          <w:numId w:val="11"/>
        </w:numPr>
        <w:spacing w:lineRule="auto" w:line="360"/>
        <w:ind w:hanging="397" w:left="153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DK Wiki. Сбербанк России. Банки. [Электронный ресурс]. </w:t>
      </w:r>
      <w:r>
        <w:rPr>
          <w:rFonts w:cs="Times New Roman" w:ascii="Times New Roman" w:hAnsi="Times New Roman"/>
          <w:sz w:val="24"/>
          <w:szCs w:val="24"/>
          <w:lang w:val="en-US"/>
        </w:rPr>
        <w:t>URL</w:t>
      </w:r>
      <w:r>
        <w:rPr>
          <w:rFonts w:cs="Times New Roman" w:ascii="Times New Roman" w:hAnsi="Times New Roman"/>
          <w:sz w:val="24"/>
          <w:szCs w:val="24"/>
        </w:rPr>
        <w:t xml:space="preserve">: </w:t>
      </w:r>
      <w:hyperlink r:id="rId32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https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://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www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.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dk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.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ru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/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all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/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wiki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/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sberbanka</w:t>
        </w:r>
      </w:hyperlink>
    </w:p>
    <w:p>
      <w:pPr>
        <w:pStyle w:val="Normal1"/>
        <w:numPr>
          <w:ilvl w:val="0"/>
          <w:numId w:val="11"/>
        </w:numPr>
        <w:spacing w:lineRule="auto" w:line="360" w:before="0" w:after="160"/>
        <w:ind w:hanging="397" w:left="1531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дата обращения (20.04.2025) </w:t>
      </w:r>
    </w:p>
    <w:p>
      <w:pPr>
        <w:pStyle w:val="Normal1"/>
        <w:numPr>
          <w:ilvl w:val="0"/>
          <w:numId w:val="11"/>
        </w:numPr>
        <w:spacing w:lineRule="auto" w:line="360" w:before="0" w:after="160"/>
        <w:ind w:hanging="397" w:left="153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Яндекс Практикум. Сервис Draw.io: за что его любят и как им пользоваться. Анализ данных [Электронный ресурс]. </w:t>
      </w:r>
      <w:r>
        <w:rPr>
          <w:rFonts w:cs="Times New Roman" w:ascii="Times New Roman" w:hAnsi="Times New Roman"/>
          <w:sz w:val="24"/>
          <w:szCs w:val="24"/>
          <w:lang w:val="en-US"/>
        </w:rPr>
        <w:t>URL</w:t>
      </w:r>
      <w:r>
        <w:rPr>
          <w:rFonts w:cs="Times New Roman" w:ascii="Times New Roman" w:hAnsi="Times New Roman"/>
          <w:sz w:val="24"/>
          <w:szCs w:val="24"/>
        </w:rPr>
        <w:t xml:space="preserve">: </w:t>
      </w:r>
      <w:hyperlink r:id="rId33"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val="en-US"/>
          </w:rPr>
          <w:t>https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://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val="en-US"/>
          </w:rPr>
          <w:t>practicum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.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val="en-US"/>
          </w:rPr>
          <w:t>yandex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.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val="en-US"/>
          </w:rPr>
          <w:t>ru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/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val="en-US"/>
          </w:rPr>
          <w:t>blog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/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val="en-US"/>
          </w:rPr>
          <w:t>vozmozhnosti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-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val="en-US"/>
          </w:rPr>
          <w:t>servisa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-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val="en-US"/>
          </w:rPr>
          <w:t>drawio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/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дата обращения (20.04.2025) </w:t>
      </w:r>
    </w:p>
    <w:p>
      <w:pPr>
        <w:pStyle w:val="Normal1"/>
        <w:numPr>
          <w:ilvl w:val="0"/>
          <w:numId w:val="11"/>
        </w:numPr>
        <w:spacing w:lineRule="auto" w:line="360" w:before="0" w:after="160"/>
        <w:ind w:hanging="397" w:left="153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Сравни.ру. Сравни.ру. Альфа-Банк [Электронный ресурс]. </w:t>
      </w:r>
      <w:r>
        <w:rPr>
          <w:rFonts w:cs="Times New Roman" w:ascii="Times New Roman" w:hAnsi="Times New Roman"/>
          <w:sz w:val="24"/>
          <w:szCs w:val="24"/>
          <w:lang w:val="en-US"/>
        </w:rPr>
        <w:t>URL</w:t>
      </w:r>
      <w:r>
        <w:rPr>
          <w:rFonts w:cs="Times New Roman" w:ascii="Times New Roman" w:hAnsi="Times New Roman"/>
          <w:sz w:val="24"/>
          <w:szCs w:val="24"/>
        </w:rPr>
        <w:t xml:space="preserve">: </w:t>
      </w:r>
      <w:hyperlink r:id="rId34"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val="en-US"/>
          </w:rPr>
          <w:t>https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://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val="en-US"/>
          </w:rPr>
          <w:t>www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.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val="en-US"/>
          </w:rPr>
          <w:t>sravni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.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val="en-US"/>
          </w:rPr>
          <w:t>ru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/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val="en-US"/>
          </w:rPr>
          <w:t>bank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/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val="en-US"/>
          </w:rPr>
          <w:t>alfa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-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val="en-US"/>
          </w:rPr>
          <w:t>bank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/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 xml:space="preserve"> дата обращения (20.04.2025)</w:t>
      </w:r>
    </w:p>
    <w:p>
      <w:pPr>
        <w:pStyle w:val="Normal1"/>
        <w:numPr>
          <w:ilvl w:val="0"/>
          <w:numId w:val="11"/>
        </w:numPr>
        <w:spacing w:lineRule="auto" w:line="360" w:before="0" w:after="160"/>
        <w:ind w:hanging="397" w:left="153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Финансы Mail.ru. Кристина Семенчук. Компания «Альфа-Банк»: прогноз аналитиков на 2025 год. Финансы Mail.ru. Альфа-Банк [Электронный ресурс]. URL: </w:t>
      </w:r>
      <w:r>
        <w:fldChar w:fldCharType="begin"/>
      </w:r>
      <w:r>
        <w:rPr>
          <w:rStyle w:val="Hyperlink"/>
          <w:sz w:val="24"/>
          <w:szCs w:val="24"/>
          <w:rFonts w:eastAsia="Times New Roman" w:cs="Times New Roman" w:ascii="Times New Roman" w:hAnsi="Times New Roman"/>
          <w:lang w:val="en-US"/>
        </w:rPr>
        <w:instrText xml:space="preserve"> HYPERLINK "https://finance.mail.ru/card/alfa-bank-914/" \l "card-82301"</w:instrText>
      </w:r>
      <w:r>
        <w:rPr>
          <w:rStyle w:val="Hyperlink"/>
          <w:sz w:val="24"/>
          <w:szCs w:val="24"/>
          <w:rFonts w:eastAsia="Times New Roman" w:cs="Times New Roman" w:ascii="Times New Roman" w:hAnsi="Times New Roman"/>
          <w:lang w:val="en-US"/>
        </w:rPr>
        <w:fldChar w:fldCharType="separate"/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t>https</w:t>
      </w:r>
      <w:r>
        <w:rPr>
          <w:rStyle w:val="Hyperlink"/>
          <w:sz w:val="24"/>
          <w:szCs w:val="24"/>
          <w:rFonts w:eastAsia="Times New Roman" w:cs="Times New Roman" w:ascii="Times New Roman" w:hAnsi="Times New Roman"/>
          <w:lang w:val="en-US"/>
        </w:rPr>
        <w:fldChar w:fldCharType="end"/>
      </w:r>
      <w:r>
        <w:rPr>
          <w:rStyle w:val="Hyperlink"/>
          <w:rFonts w:eastAsia="Times New Roman" w:cs="Times New Roman" w:ascii="Times New Roman" w:hAnsi="Times New Roman"/>
          <w:sz w:val="24"/>
          <w:szCs w:val="24"/>
        </w:rPr>
        <w:t>://</w:t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t>finance</w:t>
      </w:r>
      <w:r>
        <w:rPr>
          <w:rStyle w:val="Hyperlink"/>
          <w:rFonts w:eastAsia="Times New Roman" w:cs="Times New Roman" w:ascii="Times New Roman" w:hAnsi="Times New Roman"/>
          <w:sz w:val="24"/>
          <w:szCs w:val="24"/>
        </w:rPr>
        <w:t>.</w:t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t>mail</w:t>
      </w:r>
      <w:r>
        <w:rPr>
          <w:rStyle w:val="Hyperlink"/>
          <w:rFonts w:eastAsia="Times New Roman" w:cs="Times New Roman" w:ascii="Times New Roman" w:hAnsi="Times New Roman"/>
          <w:sz w:val="24"/>
          <w:szCs w:val="24"/>
        </w:rPr>
        <w:t>.</w:t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t>ru</w:t>
      </w:r>
      <w:r>
        <w:rPr>
          <w:rStyle w:val="Hyperlink"/>
          <w:rFonts w:eastAsia="Times New Roman" w:cs="Times New Roman" w:ascii="Times New Roman" w:hAnsi="Times New Roman"/>
          <w:sz w:val="24"/>
          <w:szCs w:val="24"/>
        </w:rPr>
        <w:t>/</w:t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t>card</w:t>
      </w:r>
      <w:r>
        <w:rPr>
          <w:rStyle w:val="Hyperlink"/>
          <w:rFonts w:eastAsia="Times New Roman" w:cs="Times New Roman" w:ascii="Times New Roman" w:hAnsi="Times New Roman"/>
          <w:sz w:val="24"/>
          <w:szCs w:val="24"/>
        </w:rPr>
        <w:t>/</w:t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t>alfa</w:t>
      </w:r>
      <w:r>
        <w:rPr>
          <w:rStyle w:val="Hyperlink"/>
          <w:rFonts w:eastAsia="Times New Roman" w:cs="Times New Roman" w:ascii="Times New Roman" w:hAnsi="Times New Roman"/>
          <w:sz w:val="24"/>
          <w:szCs w:val="24"/>
        </w:rPr>
        <w:t>-</w:t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t>bank</w:t>
      </w:r>
      <w:r>
        <w:rPr>
          <w:rStyle w:val="Hyperlink"/>
          <w:rFonts w:eastAsia="Times New Roman" w:cs="Times New Roman" w:ascii="Times New Roman" w:hAnsi="Times New Roman"/>
          <w:sz w:val="24"/>
          <w:szCs w:val="24"/>
        </w:rPr>
        <w:t>-914/#</w:t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t>card</w:t>
      </w:r>
      <w:r>
        <w:rPr>
          <w:rStyle w:val="Hyperlink"/>
          <w:rFonts w:eastAsia="Times New Roman" w:cs="Times New Roman" w:ascii="Times New Roman" w:hAnsi="Times New Roman"/>
          <w:sz w:val="24"/>
          <w:szCs w:val="24"/>
        </w:rPr>
        <w:t>-82301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дата обращения (20.04.2025)</w:t>
      </w:r>
    </w:p>
    <w:p>
      <w:pPr>
        <w:pStyle w:val="Normal1"/>
        <w:numPr>
          <w:ilvl w:val="0"/>
          <w:numId w:val="11"/>
        </w:numPr>
        <w:spacing w:lineRule="auto" w:line="360" w:before="0" w:after="160"/>
        <w:ind w:hanging="397" w:left="153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Quasa. Вячеслав. Василенок. Всё о банке Тинькофф: история, виды предоставляемых услуг и отзывы клиентов. Финансы [Электронный ресурс]. URL: </w:t>
      </w:r>
      <w:hyperlink r:id="rId35" w:tgtFrame="https://quasa.io/ru/media/vse-o-banke-tinkoff-istoriya-vidy-predostavlyaemyh-uslug-i-otzyvy-klientov"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val="en-US"/>
          </w:rPr>
          <w:t>https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://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val="en-US"/>
          </w:rPr>
          <w:t>quasa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.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val="en-US"/>
          </w:rPr>
          <w:t>io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/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val="en-US"/>
          </w:rPr>
          <w:t>ru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/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val="en-US"/>
          </w:rPr>
          <w:t>media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/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val="en-US"/>
          </w:rPr>
          <w:t>vse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-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val="en-US"/>
          </w:rPr>
          <w:t>o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-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val="en-US"/>
          </w:rPr>
          <w:t>banke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-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val="en-US"/>
          </w:rPr>
          <w:t>tinkoff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-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val="en-US"/>
          </w:rPr>
          <w:t>istoriya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-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val="en-US"/>
          </w:rPr>
          <w:t>vidy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-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val="en-US"/>
          </w:rPr>
          <w:t>predostavlyaemyh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-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val="en-US"/>
          </w:rPr>
          <w:t>uslug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-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val="en-US"/>
          </w:rPr>
          <w:t>i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-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val="en-US"/>
          </w:rPr>
          <w:t>otzyvy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-</w:t>
        </w:r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val="en-US"/>
          </w:rPr>
          <w:t>klientov</w:t>
        </w:r>
      </w:hyperlink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дата обращения (20.04.2025)</w:t>
      </w:r>
    </w:p>
    <w:p>
      <w:pPr>
        <w:pStyle w:val="Normal1"/>
        <w:numPr>
          <w:ilvl w:val="0"/>
          <w:numId w:val="11"/>
        </w:numPr>
        <w:spacing w:lineRule="auto" w:line="360" w:before="0" w:after="160"/>
        <w:ind w:hanging="397" w:left="153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</w:rPr>
        <w:t xml:space="preserve">ВТБ. ВТБ. О банке [Электронный ресурс]. </w:t>
      </w:r>
      <w:hyperlink r:id="rId36">
        <w:r>
          <w:rPr>
            <w:rFonts w:cs="Times New Roman" w:ascii="Times New Roman" w:hAnsi="Times New Roman"/>
            <w:sz w:val="24"/>
            <w:szCs w:val="24"/>
            <w:lang w:val="en-US"/>
          </w:rPr>
          <w:t xml:space="preserve">URL: </w:t>
        </w:r>
      </w:hyperlink>
    </w:p>
    <w:p>
      <w:pPr>
        <w:pStyle w:val="Normal1"/>
        <w:numPr>
          <w:ilvl w:val="0"/>
          <w:numId w:val="11"/>
        </w:numPr>
        <w:spacing w:lineRule="auto" w:line="360" w:before="0" w:after="160"/>
        <w:ind w:hanging="397" w:left="1531"/>
        <w:rPr>
          <w:rStyle w:val="Hyperlink"/>
          <w:rFonts w:ascii="Times New Roman" w:hAnsi="Times New Roman" w:cs="Times New Roman"/>
          <w:sz w:val="24"/>
          <w:szCs w:val="24"/>
          <w:lang w:val="en-US"/>
        </w:rPr>
      </w:pPr>
      <w:hyperlink r:id="rId37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 xml:space="preserve"> </w:t>
        </w:r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https://www.vtb.ru/about/bank/</w:t>
        </w:r>
      </w:hyperlink>
    </w:p>
    <w:p>
      <w:pPr>
        <w:pStyle w:val="Normal1"/>
        <w:numPr>
          <w:ilvl w:val="0"/>
          <w:numId w:val="11"/>
        </w:numPr>
        <w:spacing w:lineRule="auto" w:line="360" w:before="0" w:after="160"/>
        <w:ind w:hanging="397" w:left="1531"/>
        <w:rPr>
          <w:rFonts w:ascii="Times New Roman" w:hAnsi="Times New Roman" w:cs="Times New Roman"/>
          <w:sz w:val="24"/>
          <w:szCs w:val="24"/>
        </w:rPr>
      </w:pPr>
      <w:hyperlink r:id="rId38">
        <w:r>
          <w:rPr>
            <w:rFonts w:cs="Times New Roman" w:ascii="Times New Roman" w:hAnsi="Times New Roman"/>
            <w:sz w:val="24"/>
            <w:szCs w:val="24"/>
          </w:rPr>
          <w:t>дата обращения: (22.05.2024)</w:t>
        </w:r>
      </w:hyperlink>
    </w:p>
    <w:p>
      <w:pPr>
        <w:pStyle w:val="Normal1"/>
        <w:numPr>
          <w:ilvl w:val="0"/>
          <w:numId w:val="11"/>
        </w:numPr>
        <w:spacing w:lineRule="auto" w:line="360" w:before="0" w:after="160"/>
        <w:ind w:hanging="397" w:left="153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Финансы Mail.ru. Александра Овсяник. Банк ВТБ: как купить акции и что будет с ними в 2025 году.Финансы Mail.ru.Банк ВТБ </w:t>
      </w:r>
      <w:r>
        <w:fldChar w:fldCharType="begin"/>
      </w:r>
      <w:r>
        <w:rPr>
          <w:rStyle w:val="Hyperlink"/>
          <w:sz w:val="24"/>
          <w:szCs w:val="24"/>
          <w:rFonts w:eastAsia="Times New Roman" w:cs="Times New Roman" w:ascii="Times New Roman" w:hAnsi="Times New Roman"/>
          <w:lang w:val="en-US"/>
        </w:rPr>
        <w:instrText xml:space="preserve"> HYPERLINK "https://finance.mail.ru/card/bank-vtb-893/" \l "card-82363"</w:instrText>
      </w:r>
      <w:r>
        <w:rPr>
          <w:rStyle w:val="Hyperlink"/>
          <w:sz w:val="24"/>
          <w:szCs w:val="24"/>
          <w:rFonts w:eastAsia="Times New Roman" w:cs="Times New Roman" w:ascii="Times New Roman" w:hAnsi="Times New Roman"/>
          <w:lang w:val="en-US"/>
        </w:rPr>
        <w:fldChar w:fldCharType="separate"/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t>https</w:t>
      </w:r>
      <w:r>
        <w:rPr>
          <w:rStyle w:val="Hyperlink"/>
          <w:sz w:val="24"/>
          <w:szCs w:val="24"/>
          <w:rFonts w:eastAsia="Times New Roman" w:cs="Times New Roman" w:ascii="Times New Roman" w:hAnsi="Times New Roman"/>
          <w:lang w:val="en-US"/>
        </w:rPr>
        <w:fldChar w:fldCharType="end"/>
      </w:r>
      <w:r>
        <w:rPr>
          <w:rStyle w:val="Hyperlink"/>
          <w:rFonts w:eastAsia="Times New Roman" w:cs="Times New Roman" w:ascii="Times New Roman" w:hAnsi="Times New Roman"/>
          <w:sz w:val="24"/>
          <w:szCs w:val="24"/>
        </w:rPr>
        <w:t>://</w:t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t>finance</w:t>
      </w:r>
      <w:r>
        <w:rPr>
          <w:rStyle w:val="Hyperlink"/>
          <w:rFonts w:eastAsia="Times New Roman" w:cs="Times New Roman" w:ascii="Times New Roman" w:hAnsi="Times New Roman"/>
          <w:sz w:val="24"/>
          <w:szCs w:val="24"/>
        </w:rPr>
        <w:t>.</w:t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t>mail</w:t>
      </w:r>
      <w:r>
        <w:rPr>
          <w:rStyle w:val="Hyperlink"/>
          <w:rFonts w:eastAsia="Times New Roman" w:cs="Times New Roman" w:ascii="Times New Roman" w:hAnsi="Times New Roman"/>
          <w:sz w:val="24"/>
          <w:szCs w:val="24"/>
        </w:rPr>
        <w:t>.</w:t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t>ru</w:t>
      </w:r>
      <w:r>
        <w:rPr>
          <w:rStyle w:val="Hyperlink"/>
          <w:rFonts w:eastAsia="Times New Roman" w:cs="Times New Roman" w:ascii="Times New Roman" w:hAnsi="Times New Roman"/>
          <w:sz w:val="24"/>
          <w:szCs w:val="24"/>
        </w:rPr>
        <w:t>/</w:t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t>card</w:t>
      </w:r>
      <w:r>
        <w:rPr>
          <w:rStyle w:val="Hyperlink"/>
          <w:rFonts w:eastAsia="Times New Roman" w:cs="Times New Roman" w:ascii="Times New Roman" w:hAnsi="Times New Roman"/>
          <w:sz w:val="24"/>
          <w:szCs w:val="24"/>
        </w:rPr>
        <w:t>/</w:t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t>bank</w:t>
      </w:r>
      <w:r>
        <w:rPr>
          <w:rStyle w:val="Hyperlink"/>
          <w:rFonts w:eastAsia="Times New Roman" w:cs="Times New Roman" w:ascii="Times New Roman" w:hAnsi="Times New Roman"/>
          <w:sz w:val="24"/>
          <w:szCs w:val="24"/>
        </w:rPr>
        <w:t>-</w:t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t>vtb</w:t>
      </w:r>
      <w:r>
        <w:rPr>
          <w:rStyle w:val="Hyperlink"/>
          <w:rFonts w:eastAsia="Times New Roman" w:cs="Times New Roman" w:ascii="Times New Roman" w:hAnsi="Times New Roman"/>
          <w:sz w:val="24"/>
          <w:szCs w:val="24"/>
        </w:rPr>
        <w:t>-893/#</w:t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t>card</w:t>
      </w:r>
      <w:r>
        <w:rPr>
          <w:rStyle w:val="Hyperlink"/>
          <w:rFonts w:eastAsia="Times New Roman" w:cs="Times New Roman" w:ascii="Times New Roman" w:hAnsi="Times New Roman"/>
          <w:sz w:val="24"/>
          <w:szCs w:val="24"/>
        </w:rPr>
        <w:t>-82363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дата обращения: (22.05.2024)</w:t>
      </w:r>
    </w:p>
    <w:p>
      <w:pPr>
        <w:pStyle w:val="Normal1"/>
        <w:spacing w:lineRule="auto" w:line="259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uppressAutoHyphens w:val="true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Heading1"/>
        <w:spacing w:lineRule="auto" w:line="360" w:before="0" w:after="240"/>
        <w:jc w:val="center"/>
        <w:rPr>
          <w:rFonts w:ascii="Times New Roman" w:hAnsi="Times New Roman" w:cs="Times New Roman"/>
          <w:sz w:val="28"/>
          <w:szCs w:val="28"/>
        </w:rPr>
      </w:pPr>
      <w:bookmarkStart w:id="22" w:name="_Toc227910146"/>
      <w:r>
        <w:rPr>
          <w:rFonts w:cs="Times New Roman" w:ascii="Times New Roman" w:hAnsi="Times New Roman"/>
          <w:sz w:val="28"/>
          <w:szCs w:val="28"/>
        </w:rPr>
        <w:t>Глоссарий</w:t>
      </w:r>
      <w:bookmarkEnd w:id="22"/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API — интерфейс программирования приложений, позволяющий взаимодействовать с внешними системами.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ER-диаграмма — диаграмма сущностей и связей, отображающая структуру данных.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Интеграция — процесс объединения различных систем для совместной работы.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Кэш — временное хранилище данных для ускорения доступа.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PCI DSS — стандарт безопасности данных платежных карт.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Push-уведомление — сообщение, отправляемое приложением на устройство пользователя.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TLS — протокол для обеспечения безопасности передачи данных.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UI (User Interface) — пользовательский интерфейс, визуальная часть приложения.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UX (User Experience) — пользовательский опыт, качество взаимодействия с приложением.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Шаблон платежа — сохраненный набор реквизитов для быстрого проведения операций.</w:t>
      </w:r>
    </w:p>
    <w:p>
      <w:pPr>
        <w:pStyle w:val="Normal"/>
        <w:suppressAutoHyphens w:val="true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Heading1"/>
        <w:spacing w:lineRule="auto" w:line="360" w:before="0"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23" w:name="_Toc227910147"/>
      <w:r>
        <w:rPr>
          <w:rFonts w:cs="Times New Roman" w:ascii="Times New Roman" w:hAnsi="Times New Roman"/>
          <w:sz w:val="28"/>
          <w:szCs w:val="28"/>
        </w:rPr>
        <w:t>Список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аббревиатур</w:t>
      </w:r>
      <w:bookmarkEnd w:id="23"/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API — Application Programming Interface.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ER — Entity-Relationship.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UI — User Interface.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UX — User Experience.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TLS — Transport Layer Security.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PCI DSS — Payment Card Industry Data Security Standard.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KYC — Know Your Customer.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2FA — Two-Factor Authentication.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SMS — Short Message Service.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</w:rPr>
        <w:t>СБП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— </w:t>
      </w:r>
      <w:r>
        <w:rPr>
          <w:rFonts w:cs="Times New Roman" w:ascii="Times New Roman" w:hAnsi="Times New Roman"/>
          <w:sz w:val="24"/>
          <w:szCs w:val="24"/>
        </w:rPr>
        <w:t>Система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Быстрых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Платежей</w:t>
      </w:r>
      <w:r>
        <w:rPr>
          <w:rFonts w:cs="Times New Roman" w:ascii="Times New Roman" w:hAnsi="Times New Roman"/>
          <w:sz w:val="24"/>
          <w:szCs w:val="24"/>
          <w:lang w:val="en-US"/>
        </w:rPr>
        <w:t>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  <w:r>
        <w:br w:type="page"/>
      </w:r>
    </w:p>
    <w:p>
      <w:pPr>
        <w:pStyle w:val="Normal"/>
        <w:suppressAutoHyphens w:val="true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uppressAutoHyphens w:val="true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Heading1"/>
        <w:spacing w:lineRule="auto" w:line="360" w:before="240" w:after="240"/>
        <w:jc w:val="center"/>
        <w:rPr>
          <w:rFonts w:ascii="Times New Roman" w:hAnsi="Times New Roman" w:cs="Times New Roman"/>
          <w:sz w:val="28"/>
          <w:szCs w:val="28"/>
        </w:rPr>
      </w:pPr>
      <w:bookmarkStart w:id="24" w:name="_Toc227910148"/>
      <w:r>
        <w:rPr>
          <w:rFonts w:cs="Times New Roman" w:ascii="Times New Roman" w:hAnsi="Times New Roman"/>
          <w:sz w:val="28"/>
          <w:szCs w:val="28"/>
        </w:rPr>
        <w:t>Приложение А. Техническое задание</w:t>
      </w:r>
      <w:bookmarkEnd w:id="24"/>
    </w:p>
    <w:p>
      <w:pPr>
        <w:pStyle w:val="Normal1"/>
        <w:numPr>
          <w:ilvl w:val="0"/>
          <w:numId w:val="1"/>
        </w:numPr>
        <w:tabs>
          <w:tab w:val="clear" w:pos="720"/>
        </w:tabs>
        <w:spacing w:lineRule="auto" w:line="360"/>
        <w:ind w:hanging="397" w:left="1531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Термины и определения</w:t>
      </w:r>
    </w:p>
    <w:tbl>
      <w:tblPr>
        <w:tblStyle w:val="TableNormal"/>
        <w:tblW w:w="8880" w:type="dxa"/>
        <w:jc w:val="left"/>
        <w:tblInd w:w="23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705"/>
        <w:gridCol w:w="2141"/>
        <w:gridCol w:w="6034"/>
      </w:tblGrid>
      <w:tr>
        <w:trPr/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2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№</w:t>
            </w:r>
          </w:p>
          <w:p>
            <w:pPr>
              <w:pStyle w:val="Normal2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</w:r>
          </w:p>
        </w:tc>
        <w:tc>
          <w:tcPr>
            <w:tcW w:w="2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2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Название</w:t>
            </w:r>
          </w:p>
        </w:tc>
        <w:tc>
          <w:tcPr>
            <w:tcW w:w="6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2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Описание</w:t>
            </w:r>
          </w:p>
        </w:tc>
      </w:tr>
      <w:tr>
        <w:trPr/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2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1</w:t>
            </w:r>
          </w:p>
        </w:tc>
        <w:tc>
          <w:tcPr>
            <w:tcW w:w="2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2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ПО (Программное</w:t>
            </w:r>
          </w:p>
          <w:p>
            <w:pPr>
              <w:pStyle w:val="Normal2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обеспечение)</w:t>
            </w:r>
          </w:p>
        </w:tc>
        <w:tc>
          <w:tcPr>
            <w:tcW w:w="6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2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Совокупность программных и</w:t>
            </w:r>
          </w:p>
          <w:p>
            <w:pPr>
              <w:pStyle w:val="Normal2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документальных средств для создания и</w:t>
            </w:r>
          </w:p>
          <w:p>
            <w:pPr>
              <w:pStyle w:val="Normal2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эксплуатации систем обработки данных</w:t>
            </w:r>
          </w:p>
          <w:p>
            <w:pPr>
              <w:pStyle w:val="Normal2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rial" w:cs="Times New Roman" w:ascii="Times New Roman" w:hAnsi="Times New Roman"/>
                <w:kern w:val="0"/>
                <w:sz w:val="24"/>
                <w:szCs w:val="24"/>
                <w:lang w:val="ru-RU" w:eastAsia="zh-CN" w:bidi="hi-IN"/>
              </w:rPr>
              <w:t>средствами вычислительной техники.</w:t>
            </w:r>
          </w:p>
        </w:tc>
      </w:tr>
    </w:tbl>
    <w:p>
      <w:pPr>
        <w:pStyle w:val="Normal1"/>
        <w:numPr>
          <w:ilvl w:val="0"/>
          <w:numId w:val="1"/>
        </w:numPr>
        <w:tabs>
          <w:tab w:val="clear" w:pos="720"/>
        </w:tabs>
        <w:spacing w:lineRule="auto" w:line="360"/>
        <w:ind w:hanging="397" w:left="153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Введение</w:t>
      </w:r>
    </w:p>
    <w:p>
      <w:pPr>
        <w:pStyle w:val="Normal1"/>
        <w:spacing w:lineRule="auto" w:line="259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Разработка банковского приложения предназначена для внутреннего использования (банковским персоналом) и внешнего — для клиентов банка. Приложение должно обеспечивать безопасное и удобное проведение финансовых операций, а также интеграцию с внутренними системами банка. </w:t>
      </w:r>
    </w:p>
    <w:p>
      <w:pPr>
        <w:pStyle w:val="Normal1"/>
        <w:numPr>
          <w:ilvl w:val="0"/>
          <w:numId w:val="1"/>
        </w:numPr>
        <w:tabs>
          <w:tab w:val="clear" w:pos="720"/>
        </w:tabs>
        <w:spacing w:lineRule="auto" w:line="360"/>
        <w:ind w:hanging="397" w:left="153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Требования к функционалу</w:t>
      </w:r>
    </w:p>
    <w:p>
      <w:pPr>
        <w:pStyle w:val="Normal1"/>
        <w:numPr>
          <w:ilvl w:val="0"/>
          <w:numId w:val="2"/>
        </w:numPr>
        <w:tabs>
          <w:tab w:val="clear" w:pos="720"/>
        </w:tabs>
        <w:spacing w:lineRule="auto" w:line="360"/>
        <w:ind w:hanging="397" w:left="153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Возможность входа в приложение с использованием двухфакторной аутентификации.</w:t>
      </w:r>
    </w:p>
    <w:p>
      <w:pPr>
        <w:pStyle w:val="Normal1"/>
        <w:numPr>
          <w:ilvl w:val="0"/>
          <w:numId w:val="2"/>
        </w:numPr>
        <w:tabs>
          <w:tab w:val="clear" w:pos="720"/>
        </w:tabs>
        <w:spacing w:lineRule="auto" w:line="360"/>
        <w:ind w:hanging="397" w:left="153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Просмотр баланса и истории операций.</w:t>
      </w:r>
    </w:p>
    <w:p>
      <w:pPr>
        <w:pStyle w:val="Normal1"/>
        <w:numPr>
          <w:ilvl w:val="0"/>
          <w:numId w:val="2"/>
        </w:numPr>
        <w:tabs>
          <w:tab w:val="clear" w:pos="720"/>
        </w:tabs>
        <w:spacing w:lineRule="auto" w:line="360"/>
        <w:ind w:hanging="397" w:left="153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Проведение денежных переводов между счетами и внешним получателям.</w:t>
      </w:r>
    </w:p>
    <w:p>
      <w:pPr>
        <w:pStyle w:val="Normal1"/>
        <w:numPr>
          <w:ilvl w:val="0"/>
          <w:numId w:val="2"/>
        </w:numPr>
        <w:tabs>
          <w:tab w:val="clear" w:pos="720"/>
        </w:tabs>
        <w:spacing w:lineRule="auto" w:line="360"/>
        <w:ind w:hanging="397" w:left="153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Создание и использование шаблонов для частых переводов:  еквизиты сторон, шаблоны платежей.</w:t>
      </w:r>
    </w:p>
    <w:p>
      <w:pPr>
        <w:pStyle w:val="Normal1"/>
        <w:numPr>
          <w:ilvl w:val="0"/>
          <w:numId w:val="2"/>
        </w:numPr>
        <w:tabs>
          <w:tab w:val="clear" w:pos="720"/>
        </w:tabs>
        <w:spacing w:lineRule="auto" w:line="360"/>
        <w:ind w:hanging="397" w:left="153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Настройка уведомлений (push, SMS, email) о событиях: транзакциях, статусах счетов, акциях.</w:t>
      </w:r>
    </w:p>
    <w:p>
      <w:pPr>
        <w:pStyle w:val="Normal1"/>
        <w:numPr>
          <w:ilvl w:val="0"/>
          <w:numId w:val="2"/>
        </w:numPr>
        <w:tabs>
          <w:tab w:val="clear" w:pos="720"/>
        </w:tabs>
        <w:spacing w:lineRule="auto" w:line="360"/>
        <w:ind w:hanging="397" w:left="153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Управление картами: блокировка, разблокировка, установка лимитов, смена ПИН-кода.</w:t>
      </w:r>
    </w:p>
    <w:p>
      <w:pPr>
        <w:pStyle w:val="Normal1"/>
        <w:numPr>
          <w:ilvl w:val="0"/>
          <w:numId w:val="2"/>
        </w:numPr>
        <w:tabs>
          <w:tab w:val="clear" w:pos="720"/>
        </w:tabs>
        <w:spacing w:lineRule="auto" w:line="360"/>
        <w:ind w:hanging="397" w:left="153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Ведение личных данных и настроек пользователя.</w:t>
      </w:r>
    </w:p>
    <w:p>
      <w:pPr>
        <w:pStyle w:val="Normal1"/>
        <w:numPr>
          <w:ilvl w:val="0"/>
          <w:numId w:val="2"/>
        </w:numPr>
        <w:tabs>
          <w:tab w:val="clear" w:pos="720"/>
        </w:tabs>
        <w:spacing w:lineRule="auto" w:line="360"/>
        <w:ind w:hanging="397" w:left="153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Интеграция с системой поддержки и чат-ботом.</w:t>
      </w:r>
    </w:p>
    <w:p>
      <w:pPr>
        <w:pStyle w:val="Normal1"/>
        <w:numPr>
          <w:ilvl w:val="0"/>
          <w:numId w:val="2"/>
        </w:numPr>
        <w:tabs>
          <w:tab w:val="clear" w:pos="720"/>
        </w:tabs>
        <w:spacing w:lineRule="auto" w:line="360"/>
        <w:ind w:hanging="397" w:left="153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Обеспечение безопасности данных и транзакций: шифрование, разграничение прав доступа.</w:t>
      </w:r>
    </w:p>
    <w:p>
      <w:pPr>
        <w:pStyle w:val="Normal1"/>
        <w:numPr>
          <w:ilvl w:val="0"/>
          <w:numId w:val="2"/>
        </w:numPr>
        <w:tabs>
          <w:tab w:val="clear" w:pos="720"/>
        </w:tabs>
        <w:spacing w:lineRule="auto" w:line="360"/>
        <w:ind w:hanging="397" w:left="153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Поддержка работы на различных устройствах :адаптивный дизайн, мобильные и десктопные версии.</w:t>
      </w:r>
    </w:p>
    <w:p>
      <w:pPr>
        <w:pStyle w:val="Normal1"/>
        <w:numPr>
          <w:ilvl w:val="0"/>
          <w:numId w:val="1"/>
        </w:numPr>
        <w:tabs>
          <w:tab w:val="clear" w:pos="720"/>
        </w:tabs>
        <w:spacing w:lineRule="auto" w:line="360"/>
        <w:ind w:hanging="397" w:left="153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Дизайн и пользовательский интерфейс</w:t>
      </w:r>
    </w:p>
    <w:p>
      <w:pPr>
        <w:pStyle w:val="Normal1"/>
        <w:numPr>
          <w:ilvl w:val="0"/>
          <w:numId w:val="2"/>
        </w:numPr>
        <w:tabs>
          <w:tab w:val="clear" w:pos="720"/>
        </w:tabs>
        <w:spacing w:lineRule="auto" w:line="360"/>
        <w:ind w:hanging="397" w:left="153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Адаптивный дизайн: интерфейс приложения должен автоматически подстраиваться под различные типы устройств — смартфоны, планшеты, настольные компьютеры — обеспечивая удобство и функциональность независимо от размера экрана.</w:t>
      </w:r>
    </w:p>
    <w:p>
      <w:pPr>
        <w:pStyle w:val="Normal1"/>
        <w:numPr>
          <w:ilvl w:val="0"/>
          <w:numId w:val="2"/>
        </w:numPr>
        <w:tabs>
          <w:tab w:val="clear" w:pos="720"/>
        </w:tabs>
        <w:spacing w:lineRule="auto" w:line="360"/>
        <w:ind w:hanging="397" w:left="153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Использование современных UI-библиотек: рекомендуется применять материалы и компоненты Material-UI или аналогичные, что позволит создать визуально привлекательный и согласованный внешний вид, а также ускорить процесс разработки.</w:t>
      </w:r>
    </w:p>
    <w:p>
      <w:pPr>
        <w:pStyle w:val="Normal1"/>
        <w:numPr>
          <w:ilvl w:val="0"/>
          <w:numId w:val="2"/>
        </w:numPr>
        <w:tabs>
          <w:tab w:val="clear" w:pos="720"/>
        </w:tabs>
        <w:spacing w:lineRule="auto" w:line="360"/>
        <w:ind w:hanging="397" w:left="153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Цветовая палитра и стиль: дизайн должен соответствовать корпоративному стилю банка, использовать фирменные цвета и шрифты, обеспечивая узнаваемость и профессиональный внешний вид.</w:t>
      </w:r>
    </w:p>
    <w:p>
      <w:pPr>
        <w:pStyle w:val="Normal1"/>
        <w:numPr>
          <w:ilvl w:val="0"/>
          <w:numId w:val="2"/>
        </w:numPr>
        <w:tabs>
          <w:tab w:val="clear" w:pos="720"/>
        </w:tabs>
        <w:spacing w:lineRule="auto" w:line="360"/>
        <w:ind w:hanging="397" w:left="153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Интуитивная навигация: структура интерфейса должна быть понятной для пользователей, с логичным расположением элементов, минимальным количеством необходимых действий для выполнения наиболее часто используемых операций.</w:t>
      </w:r>
    </w:p>
    <w:p>
      <w:pPr>
        <w:pStyle w:val="Normal1"/>
        <w:numPr>
          <w:ilvl w:val="0"/>
          <w:numId w:val="2"/>
        </w:numPr>
        <w:tabs>
          <w:tab w:val="clear" w:pos="720"/>
        </w:tabs>
        <w:spacing w:lineRule="auto" w:line="360"/>
        <w:ind w:hanging="397" w:left="153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Минимализм и удобство: интерфейс должен избегать перегруженности информацией, делая акцент на важнейших функциях, чтобы пользователи могли быстро и без ошибок выполнять свои задачи.</w:t>
      </w:r>
    </w:p>
    <w:p>
      <w:pPr>
        <w:pStyle w:val="Normal1"/>
        <w:numPr>
          <w:ilvl w:val="0"/>
          <w:numId w:val="2"/>
        </w:numPr>
        <w:tabs>
          <w:tab w:val="clear" w:pos="720"/>
        </w:tabs>
        <w:spacing w:lineRule="auto" w:line="360"/>
        <w:ind w:hanging="397" w:left="153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Консистентность: все элементы интерфейса должны иметь единый стиль и поведение, что повышает доверие и комфорт при использовании приложения.</w:t>
      </w:r>
    </w:p>
    <w:p>
      <w:pPr>
        <w:pStyle w:val="Normal1"/>
        <w:numPr>
          <w:ilvl w:val="0"/>
          <w:numId w:val="1"/>
        </w:numPr>
        <w:tabs>
          <w:tab w:val="clear" w:pos="720"/>
        </w:tabs>
        <w:spacing w:lineRule="auto" w:line="360"/>
        <w:ind w:hanging="397" w:left="153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Контент</w:t>
      </w:r>
    </w:p>
    <w:p>
      <w:pPr>
        <w:pStyle w:val="Normal1"/>
        <w:spacing w:lineRule="auto" w:line="259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Типы контента:</w:t>
      </w:r>
    </w:p>
    <w:p>
      <w:pPr>
        <w:pStyle w:val="Normal1"/>
        <w:numPr>
          <w:ilvl w:val="0"/>
          <w:numId w:val="2"/>
        </w:numPr>
        <w:tabs>
          <w:tab w:val="clear" w:pos="720"/>
        </w:tabs>
        <w:spacing w:lineRule="auto" w:line="360"/>
        <w:ind w:hanging="397" w:left="153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Текстовые материалы: инструкции, подсказки, уведомления, условия обслуживания, ответы на часто задаваемые вопросы (FAQ), новости банка.</w:t>
      </w:r>
    </w:p>
    <w:p>
      <w:pPr>
        <w:pStyle w:val="Normal1"/>
        <w:numPr>
          <w:ilvl w:val="0"/>
          <w:numId w:val="2"/>
        </w:numPr>
        <w:tabs>
          <w:tab w:val="clear" w:pos="720"/>
        </w:tabs>
        <w:spacing w:lineRule="auto" w:line="360"/>
        <w:ind w:hanging="397" w:left="153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Изображения: графики, иконки, скриншоты, подтверждающие документы, изображения для верификации пользователей.</w:t>
      </w:r>
    </w:p>
    <w:p>
      <w:pPr>
        <w:pStyle w:val="Normal1"/>
        <w:numPr>
          <w:ilvl w:val="0"/>
          <w:numId w:val="2"/>
        </w:numPr>
        <w:tabs>
          <w:tab w:val="clear" w:pos="720"/>
        </w:tabs>
        <w:spacing w:lineRule="auto" w:line="360"/>
        <w:ind w:hanging="397" w:left="153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Видео: обучающие ролики, инструкции по использованию функций приложения, презентации новых услуг.</w:t>
      </w:r>
    </w:p>
    <w:p>
      <w:pPr>
        <w:pStyle w:val="Normal1"/>
        <w:numPr>
          <w:ilvl w:val="0"/>
          <w:numId w:val="2"/>
        </w:numPr>
        <w:tabs>
          <w:tab w:val="clear" w:pos="720"/>
        </w:tabs>
        <w:spacing w:lineRule="auto" w:line="360"/>
        <w:ind w:hanging="397" w:left="153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1"/>
        <w:numPr>
          <w:ilvl w:val="0"/>
          <w:numId w:val="2"/>
        </w:numPr>
        <w:tabs>
          <w:tab w:val="clear" w:pos="720"/>
        </w:tabs>
        <w:spacing w:lineRule="auto" w:line="360" w:before="0" w:after="0"/>
        <w:ind w:hanging="397" w:left="153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Требования к SEO и метаданным</w:t>
      </w:r>
    </w:p>
    <w:p>
      <w:pPr>
        <w:pStyle w:val="Normal1"/>
        <w:numPr>
          <w:ilvl w:val="0"/>
          <w:numId w:val="2"/>
        </w:numPr>
        <w:tabs>
          <w:tab w:val="clear" w:pos="720"/>
        </w:tabs>
        <w:spacing w:lineRule="auto" w:line="360"/>
        <w:ind w:hanging="397" w:left="153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Для публичных разделов сайта (например, корпоративного сайта или раздела новостей) необходимо обеспечивать оптимизацию для поисковых систем: мета-теги, ключевые слова, описание страниц.</w:t>
      </w:r>
    </w:p>
    <w:p>
      <w:pPr>
        <w:pStyle w:val="Normal1"/>
        <w:numPr>
          <w:ilvl w:val="0"/>
          <w:numId w:val="2"/>
        </w:numPr>
        <w:tabs>
          <w:tab w:val="clear" w:pos="720"/>
        </w:tabs>
        <w:spacing w:lineRule="auto" w:line="360"/>
        <w:ind w:hanging="397" w:left="153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Внутренний контент внутри приложения не требует SEO-оптимизации, однако важно соблюдать стандарты правильного оформления текста, читаемости и структуры.</w:t>
      </w:r>
    </w:p>
    <w:p>
      <w:pPr>
        <w:pStyle w:val="Normal1"/>
        <w:spacing w:lineRule="auto" w:line="259" w:before="0" w:after="16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Кто предоставляет контент</w:t>
      </w:r>
    </w:p>
    <w:p>
      <w:pPr>
        <w:pStyle w:val="Normal1"/>
        <w:numPr>
          <w:ilvl w:val="0"/>
          <w:numId w:val="2"/>
        </w:numPr>
        <w:tabs>
          <w:tab w:val="clear" w:pos="720"/>
        </w:tabs>
        <w:spacing w:lineRule="auto" w:line="360"/>
        <w:ind w:hanging="397" w:left="153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Внутренние службы: маркетинг, клиентский сервис, юридический отдел — предоставляют основные тексты, инструкции, новости и рекламные материалы.</w:t>
      </w:r>
    </w:p>
    <w:p>
      <w:pPr>
        <w:pStyle w:val="Normal1"/>
        <w:numPr>
          <w:ilvl w:val="0"/>
          <w:numId w:val="2"/>
        </w:numPr>
        <w:tabs>
          <w:tab w:val="clear" w:pos="720"/>
        </w:tabs>
        <w:spacing w:lineRule="auto" w:line="360"/>
        <w:ind w:hanging="397" w:left="153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Внешние подрядчики: поставщики контента, агентства, сторонние разработчики — могут участвовать в создании видеоматериалов, графики или переводов.</w:t>
      </w:r>
    </w:p>
    <w:p>
      <w:pPr>
        <w:pStyle w:val="Normal1"/>
        <w:numPr>
          <w:ilvl w:val="0"/>
          <w:numId w:val="2"/>
        </w:numPr>
        <w:tabs>
          <w:tab w:val="clear" w:pos="720"/>
        </w:tabs>
        <w:spacing w:lineRule="auto" w:line="360"/>
        <w:ind w:hanging="397" w:left="153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Автоматические источники: обновляемые данные о курсах валют, новости из внешних информационных систем, статистика.</w:t>
      </w:r>
    </w:p>
    <w:p>
      <w:pPr>
        <w:pStyle w:val="Normal1"/>
        <w:spacing w:lineRule="auto" w:line="259" w:before="0" w:after="16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Особенности контента</w:t>
      </w:r>
    </w:p>
    <w:p>
      <w:pPr>
        <w:pStyle w:val="Normal1"/>
        <w:numPr>
          <w:ilvl w:val="0"/>
          <w:numId w:val="2"/>
        </w:numPr>
        <w:tabs>
          <w:tab w:val="clear" w:pos="720"/>
        </w:tabs>
        <w:spacing w:lineRule="auto" w:line="360"/>
        <w:ind w:hanging="397" w:left="153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Обновляемость: контент должен регулярно обновляться, чтобы предоставлять актуальную информацию о курсах, акциях, изменениях условий.</w:t>
      </w:r>
    </w:p>
    <w:p>
      <w:pPr>
        <w:pStyle w:val="Normal1"/>
        <w:numPr>
          <w:ilvl w:val="0"/>
          <w:numId w:val="2"/>
        </w:numPr>
        <w:tabs>
          <w:tab w:val="clear" w:pos="720"/>
        </w:tabs>
        <w:spacing w:lineRule="auto" w:line="360"/>
        <w:ind w:hanging="397" w:left="153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Безопасность: вся чувствительная информация, такая как реквизиты или персональные данные, должна быть защищена, а контент, связанный с безопасностью и конфиденциальностью, — четко сформулирован и проверен.</w:t>
      </w:r>
    </w:p>
    <w:p>
      <w:pPr>
        <w:pStyle w:val="Normal1"/>
        <w:numPr>
          <w:ilvl w:val="0"/>
          <w:numId w:val="2"/>
        </w:numPr>
        <w:tabs>
          <w:tab w:val="clear" w:pos="720"/>
        </w:tabs>
        <w:spacing w:lineRule="auto" w:line="360"/>
        <w:ind w:hanging="397" w:left="153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Локализация: при необходимости приложение должно поддерживать мультиязычность, предоставляя контент на разных языках в зависимости от региона пользователя.</w:t>
      </w:r>
    </w:p>
    <w:p>
      <w:pPr>
        <w:pStyle w:val="Normal1"/>
        <w:numPr>
          <w:ilvl w:val="0"/>
          <w:numId w:val="1"/>
        </w:numPr>
        <w:tabs>
          <w:tab w:val="clear" w:pos="720"/>
        </w:tabs>
        <w:spacing w:lineRule="auto" w:line="360"/>
        <w:ind w:hanging="397" w:left="153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Технические требования</w:t>
      </w:r>
    </w:p>
    <w:p>
      <w:pPr>
        <w:pStyle w:val="Normal1"/>
        <w:numPr>
          <w:ilvl w:val="0"/>
          <w:numId w:val="2"/>
        </w:numPr>
        <w:tabs>
          <w:tab w:val="clear" w:pos="720"/>
        </w:tabs>
        <w:spacing w:lineRule="auto" w:line="360"/>
        <w:ind w:hanging="397" w:left="153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Платформа разработки: мобильные ОС (Android, iOS), веб (React, Angular).</w:t>
      </w:r>
    </w:p>
    <w:p>
      <w:pPr>
        <w:pStyle w:val="Normal1"/>
        <w:numPr>
          <w:ilvl w:val="0"/>
          <w:numId w:val="2"/>
        </w:numPr>
        <w:tabs>
          <w:tab w:val="clear" w:pos="720"/>
        </w:tabs>
        <w:spacing w:lineRule="auto" w:line="360"/>
        <w:ind w:hanging="397" w:left="153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Серверная часть — на базе облачных решений или собственных дата-центров банка.</w:t>
      </w:r>
    </w:p>
    <w:p>
      <w:pPr>
        <w:pStyle w:val="Normal1"/>
        <w:numPr>
          <w:ilvl w:val="0"/>
          <w:numId w:val="2"/>
        </w:numPr>
        <w:tabs>
          <w:tab w:val="clear" w:pos="720"/>
        </w:tabs>
        <w:spacing w:lineRule="auto" w:line="360"/>
        <w:ind w:hanging="397" w:left="153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Хостинг — защищенные серверы с учетом требований PCI DSS, GDPR.</w:t>
      </w:r>
    </w:p>
    <w:p>
      <w:pPr>
        <w:pStyle w:val="Normal1"/>
        <w:numPr>
          <w:ilvl w:val="0"/>
          <w:numId w:val="2"/>
        </w:numPr>
        <w:tabs>
          <w:tab w:val="clear" w:pos="720"/>
        </w:tabs>
        <w:spacing w:lineRule="auto" w:line="360"/>
        <w:ind w:hanging="397" w:left="153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Совместимость с актуальными версиями популярных браузеров и мобильных устройств.</w:t>
      </w:r>
    </w:p>
    <w:p>
      <w:pPr>
        <w:pStyle w:val="Normal1"/>
        <w:numPr>
          <w:ilvl w:val="0"/>
          <w:numId w:val="1"/>
        </w:numPr>
        <w:tabs>
          <w:tab w:val="clear" w:pos="720"/>
        </w:tabs>
        <w:spacing w:lineRule="auto" w:line="360"/>
        <w:ind w:hanging="397" w:left="153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Структура сайта / приложения</w:t>
      </w:r>
    </w:p>
    <w:p>
      <w:pPr>
        <w:pStyle w:val="Normal1"/>
        <w:numPr>
          <w:ilvl w:val="0"/>
          <w:numId w:val="3"/>
        </w:numPr>
        <w:spacing w:lineRule="auto" w:line="259" w:before="0" w:after="1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Основные разделы: Личный кабинет, Переводы, Карты, Настройки, Поддержка, Новости.</w:t>
      </w:r>
    </w:p>
    <w:p>
      <w:pPr>
        <w:pStyle w:val="Normal1"/>
        <w:numPr>
          <w:ilvl w:val="0"/>
          <w:numId w:val="3"/>
        </w:numPr>
        <w:spacing w:lineRule="auto" w:line="259" w:before="0" w:after="1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Навигация — меню, быстрые ссылки, поисковый функционал.</w:t>
      </w:r>
    </w:p>
    <w:p>
      <w:pPr>
        <w:pStyle w:val="Normal1"/>
        <w:numPr>
          <w:ilvl w:val="0"/>
          <w:numId w:val="3"/>
        </w:numPr>
        <w:spacing w:lineRule="auto" w:line="259" w:before="0" w:after="1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Пользовательский путь — вход в систему, выполнение операций, выход.</w:t>
      </w:r>
    </w:p>
    <w:p>
      <w:pPr>
        <w:pStyle w:val="Normal1"/>
        <w:numPr>
          <w:ilvl w:val="0"/>
          <w:numId w:val="1"/>
        </w:numPr>
        <w:tabs>
          <w:tab w:val="clear" w:pos="720"/>
        </w:tabs>
        <w:spacing w:lineRule="auto" w:line="360"/>
        <w:ind w:hanging="397" w:left="153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Тестирование</w:t>
      </w:r>
    </w:p>
    <w:p>
      <w:pPr>
        <w:pStyle w:val="Normal1"/>
        <w:numPr>
          <w:ilvl w:val="0"/>
          <w:numId w:val="4"/>
        </w:numPr>
        <w:spacing w:lineRule="auto" w:line="259" w:before="0" w:after="1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План тестирования: функциональное, нагрузочное, безопасность, юзабилиити.</w:t>
      </w:r>
    </w:p>
    <w:p>
      <w:pPr>
        <w:pStyle w:val="Normal1"/>
        <w:numPr>
          <w:ilvl w:val="0"/>
          <w:numId w:val="4"/>
        </w:numPr>
        <w:spacing w:lineRule="auto" w:line="259" w:before="0" w:after="1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Виды тестирования: модульное, интеграционное, системное, приемочное.</w:t>
      </w:r>
    </w:p>
    <w:p>
      <w:pPr>
        <w:pStyle w:val="Normal1"/>
        <w:numPr>
          <w:ilvl w:val="0"/>
          <w:numId w:val="4"/>
        </w:numPr>
        <w:spacing w:lineRule="auto" w:line="259" w:before="0" w:after="1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Условия приемки: соответствие требованиям, отсутствие критических ошибок, стабильная работа под нагрузкой.</w:t>
      </w:r>
    </w:p>
    <w:p>
      <w:pPr>
        <w:pStyle w:val="Normal1"/>
        <w:numPr>
          <w:ilvl w:val="0"/>
          <w:numId w:val="1"/>
        </w:numPr>
        <w:tabs>
          <w:tab w:val="clear" w:pos="720"/>
        </w:tabs>
        <w:spacing w:lineRule="auto" w:line="360"/>
        <w:ind w:hanging="397" w:left="153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Требования к надёжности</w:t>
      </w:r>
    </w:p>
    <w:p>
      <w:pPr>
        <w:pStyle w:val="Normal1"/>
        <w:numPr>
          <w:ilvl w:val="0"/>
          <w:numId w:val="4"/>
        </w:numPr>
        <w:spacing w:lineRule="auto" w:line="259" w:before="0" w:after="1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Использование протоколов безопасности: TLS, 2FA, биометрия.</w:t>
      </w:r>
    </w:p>
    <w:p>
      <w:pPr>
        <w:pStyle w:val="Normal1"/>
        <w:numPr>
          <w:ilvl w:val="0"/>
          <w:numId w:val="4"/>
        </w:numPr>
        <w:spacing w:lineRule="auto" w:line="259" w:before="0" w:after="1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Шифрование данных на клиенте и сервере.</w:t>
      </w:r>
    </w:p>
    <w:p>
      <w:pPr>
        <w:pStyle w:val="Normal1"/>
        <w:numPr>
          <w:ilvl w:val="0"/>
          <w:numId w:val="4"/>
        </w:numPr>
        <w:spacing w:lineRule="auto" w:line="259" w:before="0" w:after="1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Разграничение прав доступа по ролям.</w:t>
      </w:r>
    </w:p>
    <w:p>
      <w:pPr>
        <w:pStyle w:val="Normal1"/>
        <w:numPr>
          <w:ilvl w:val="0"/>
          <w:numId w:val="4"/>
        </w:numPr>
        <w:spacing w:lineRule="auto" w:line="259" w:before="0" w:after="1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Мониторинг системы, автоматические уведомления о сбоях.</w:t>
      </w:r>
    </w:p>
    <w:p>
      <w:pPr>
        <w:pStyle w:val="Normal1"/>
        <w:numPr>
          <w:ilvl w:val="0"/>
          <w:numId w:val="4"/>
        </w:numPr>
        <w:spacing w:lineRule="auto" w:line="259" w:before="0" w:after="1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Время восстановления после сбоев — не более 2 часов.</w:t>
      </w:r>
    </w:p>
    <w:p>
      <w:pPr>
        <w:pStyle w:val="Normal1"/>
        <w:numPr>
          <w:ilvl w:val="0"/>
          <w:numId w:val="1"/>
        </w:numPr>
        <w:tabs>
          <w:tab w:val="clear" w:pos="720"/>
        </w:tabs>
        <w:spacing w:lineRule="auto" w:line="360"/>
        <w:ind w:hanging="397" w:left="153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Поддержка и сопровождение</w:t>
      </w:r>
    </w:p>
    <w:p>
      <w:pPr>
        <w:pStyle w:val="Normal1"/>
        <w:numPr>
          <w:ilvl w:val="0"/>
          <w:numId w:val="5"/>
        </w:numPr>
        <w:spacing w:lineRule="auto" w:line="259" w:before="0" w:after="160"/>
        <w:ind w:hanging="340" w:left="147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Техническая поддержка — 24/7, через чат, телефон и email.</w:t>
      </w:r>
    </w:p>
    <w:p>
      <w:pPr>
        <w:pStyle w:val="Normal1"/>
        <w:numPr>
          <w:ilvl w:val="0"/>
          <w:numId w:val="5"/>
        </w:numPr>
        <w:spacing w:lineRule="auto" w:line="259" w:before="0" w:after="160"/>
        <w:ind w:hanging="340" w:left="147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Обновления и доработки — ежеквартально или по мере необходимости.</w:t>
      </w:r>
    </w:p>
    <w:p>
      <w:pPr>
        <w:pStyle w:val="Normal1"/>
        <w:numPr>
          <w:ilvl w:val="0"/>
          <w:numId w:val="5"/>
        </w:numPr>
        <w:spacing w:lineRule="auto" w:line="259" w:before="0" w:after="160"/>
        <w:ind w:hanging="340" w:left="147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Реагирование на инциденты — не более 4 часов с момента обращения.</w:t>
      </w:r>
    </w:p>
    <w:p>
      <w:pPr>
        <w:pStyle w:val="Normal1"/>
        <w:numPr>
          <w:ilvl w:val="0"/>
          <w:numId w:val="5"/>
        </w:numPr>
        <w:spacing w:lineRule="auto" w:line="259" w:before="0" w:after="160"/>
        <w:ind w:hanging="340" w:left="147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Регламент работы по исправлению ошибок и внедрению новых функций.</w:t>
      </w:r>
    </w:p>
    <w:p>
      <w:pPr>
        <w:pStyle w:val="Normal1"/>
        <w:spacing w:lineRule="auto" w:line="259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59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59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59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sectPr>
      <w:headerReference w:type="even" r:id="rId39"/>
      <w:headerReference w:type="default" r:id="rId40"/>
      <w:headerReference w:type="first" r:id="rId41"/>
      <w:footerReference w:type="even" r:id="rId42"/>
      <w:footerReference w:type="default" r:id="rId43"/>
      <w:footerReference w:type="first" r:id="rId44"/>
      <w:type w:val="nextPage"/>
      <w:pgSz w:w="11906" w:h="16838"/>
      <w:pgMar w:left="1440" w:right="1440" w:gutter="0" w:header="0" w:top="1440" w:footer="0" w:bottom="1440"/>
      <w:pgNumType w:start="2" w:fmt="decimal"/>
      <w:formProt w:val="false"/>
      <w:titlePg/>
      <w:textDirection w:val="lrTb"/>
      <w:docGrid w:type="default" w:linePitch="299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54479794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377970021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54479794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60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377970021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isLgl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isLgl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isLgl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isLgl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isLgl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isLgl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isLgl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isLgl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isLgl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isLgl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isLgl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isLgl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isLgl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isLgl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isLgl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isLgl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7"/>
      <w:isLgl/>
      <w:numFmt w:val="bullet"/>
      <w:lvlText w:val=""/>
      <w:lvlJc w:val="left"/>
      <w:pPr>
        <w:tabs>
          <w:tab w:val="num" w:pos="1494"/>
        </w:tabs>
        <w:ind w:left="1494" w:hanging="360"/>
      </w:pPr>
      <w:rPr>
        <w:rFonts w:ascii="Symbol" w:hAnsi="Symbol" w:cs="Symbol" w:hint="default"/>
      </w:rPr>
    </w:lvl>
    <w:lvl w:ilvl="1">
      <w:start w:val="1"/>
      <w:isLgl/>
      <w:numFmt w:val="decimal"/>
      <w:lvlText w:val="%2."/>
      <w:lvlJc w:val="left"/>
      <w:pPr>
        <w:tabs>
          <w:tab w:val="num" w:pos="1854"/>
        </w:tabs>
        <w:ind w:left="1854" w:hanging="360"/>
      </w:pPr>
      <w:rPr/>
    </w:lvl>
    <w:lvl w:ilvl="2">
      <w:start w:val="1"/>
      <w:isLgl/>
      <w:numFmt w:val="decimal"/>
      <w:lvlText w:val="%3."/>
      <w:lvlJc w:val="left"/>
      <w:pPr>
        <w:tabs>
          <w:tab w:val="num" w:pos="2214"/>
        </w:tabs>
        <w:ind w:left="2214" w:hanging="360"/>
      </w:pPr>
      <w:rPr/>
    </w:lvl>
    <w:lvl w:ilvl="3">
      <w:start w:val="1"/>
      <w:isLgl/>
      <w:numFmt w:val="decimal"/>
      <w:lvlText w:val="%4."/>
      <w:lvlJc w:val="left"/>
      <w:pPr>
        <w:tabs>
          <w:tab w:val="num" w:pos="2574"/>
        </w:tabs>
        <w:ind w:left="2574" w:hanging="360"/>
      </w:pPr>
      <w:rPr/>
    </w:lvl>
    <w:lvl w:ilvl="4">
      <w:start w:val="1"/>
      <w:isLgl/>
      <w:numFmt w:val="decimal"/>
      <w:lvlText w:val="%5."/>
      <w:lvlJc w:val="left"/>
      <w:pPr>
        <w:tabs>
          <w:tab w:val="num" w:pos="2934"/>
        </w:tabs>
        <w:ind w:left="2934" w:hanging="360"/>
      </w:pPr>
      <w:rPr/>
    </w:lvl>
    <w:lvl w:ilvl="5">
      <w:start w:val="1"/>
      <w:isLgl/>
      <w:numFmt w:val="decimal"/>
      <w:lvlText w:val="%6."/>
      <w:lvlJc w:val="left"/>
      <w:pPr>
        <w:tabs>
          <w:tab w:val="num" w:pos="3294"/>
        </w:tabs>
        <w:ind w:left="3294" w:hanging="360"/>
      </w:pPr>
      <w:rPr/>
    </w:lvl>
    <w:lvl w:ilvl="6">
      <w:start w:val="1"/>
      <w:isLgl/>
      <w:numFmt w:val="decimal"/>
      <w:lvlText w:val="%7."/>
      <w:lvlJc w:val="left"/>
      <w:pPr>
        <w:tabs>
          <w:tab w:val="num" w:pos="3654"/>
        </w:tabs>
        <w:ind w:left="3654" w:hanging="360"/>
      </w:pPr>
      <w:rPr/>
    </w:lvl>
    <w:lvl w:ilvl="7">
      <w:start w:val="1"/>
      <w:isLgl/>
      <w:numFmt w:val="decimal"/>
      <w:lvlText w:val="%8."/>
      <w:lvlJc w:val="left"/>
      <w:pPr>
        <w:tabs>
          <w:tab w:val="num" w:pos="4014"/>
        </w:tabs>
        <w:ind w:left="4014" w:hanging="360"/>
      </w:pPr>
      <w:rPr/>
    </w:lvl>
    <w:lvl w:ilvl="8">
      <w:start w:val="1"/>
      <w:isLgl/>
      <w:numFmt w:val="decimal"/>
      <w:lvlText w:val="%9."/>
      <w:lvlJc w:val="left"/>
      <w:pPr>
        <w:tabs>
          <w:tab w:val="num" w:pos="4374"/>
        </w:tabs>
        <w:ind w:left="4374" w:hanging="360"/>
      </w:pPr>
      <w:rPr/>
    </w:lvl>
  </w:abstractNum>
  <w:abstractNum w:abstractNumId="4">
    <w:lvl w:ilvl="0">
      <w:start w:val="8"/>
      <w:isLgl/>
      <w:numFmt w:val="bullet"/>
      <w:lvlText w:val=""/>
      <w:lvlJc w:val="left"/>
      <w:pPr>
        <w:tabs>
          <w:tab w:val="num" w:pos="1494"/>
        </w:tabs>
        <w:ind w:left="1494" w:hanging="360"/>
      </w:pPr>
      <w:rPr>
        <w:rFonts w:ascii="Symbol" w:hAnsi="Symbol" w:cs="Symbol" w:hint="default"/>
      </w:rPr>
    </w:lvl>
    <w:lvl w:ilvl="1">
      <w:start w:val="1"/>
      <w:isLgl/>
      <w:numFmt w:val="decimal"/>
      <w:lvlText w:val="%2."/>
      <w:lvlJc w:val="left"/>
      <w:pPr>
        <w:tabs>
          <w:tab w:val="num" w:pos="1854"/>
        </w:tabs>
        <w:ind w:left="1854" w:hanging="360"/>
      </w:pPr>
      <w:rPr/>
    </w:lvl>
    <w:lvl w:ilvl="2">
      <w:start w:val="1"/>
      <w:isLgl/>
      <w:numFmt w:val="decimal"/>
      <w:lvlText w:val="%3."/>
      <w:lvlJc w:val="left"/>
      <w:pPr>
        <w:tabs>
          <w:tab w:val="num" w:pos="2214"/>
        </w:tabs>
        <w:ind w:left="2214" w:hanging="360"/>
      </w:pPr>
      <w:rPr/>
    </w:lvl>
    <w:lvl w:ilvl="3">
      <w:start w:val="1"/>
      <w:isLgl/>
      <w:numFmt w:val="decimal"/>
      <w:lvlText w:val="%4."/>
      <w:lvlJc w:val="left"/>
      <w:pPr>
        <w:tabs>
          <w:tab w:val="num" w:pos="2574"/>
        </w:tabs>
        <w:ind w:left="2574" w:hanging="360"/>
      </w:pPr>
      <w:rPr/>
    </w:lvl>
    <w:lvl w:ilvl="4">
      <w:start w:val="1"/>
      <w:isLgl/>
      <w:numFmt w:val="decimal"/>
      <w:lvlText w:val="%5."/>
      <w:lvlJc w:val="left"/>
      <w:pPr>
        <w:tabs>
          <w:tab w:val="num" w:pos="2934"/>
        </w:tabs>
        <w:ind w:left="2934" w:hanging="360"/>
      </w:pPr>
      <w:rPr/>
    </w:lvl>
    <w:lvl w:ilvl="5">
      <w:start w:val="1"/>
      <w:isLgl/>
      <w:numFmt w:val="decimal"/>
      <w:lvlText w:val="%6."/>
      <w:lvlJc w:val="left"/>
      <w:pPr>
        <w:tabs>
          <w:tab w:val="num" w:pos="3294"/>
        </w:tabs>
        <w:ind w:left="3294" w:hanging="360"/>
      </w:pPr>
      <w:rPr/>
    </w:lvl>
    <w:lvl w:ilvl="6">
      <w:start w:val="1"/>
      <w:isLgl/>
      <w:numFmt w:val="decimal"/>
      <w:lvlText w:val="%7."/>
      <w:lvlJc w:val="left"/>
      <w:pPr>
        <w:tabs>
          <w:tab w:val="num" w:pos="3654"/>
        </w:tabs>
        <w:ind w:left="3654" w:hanging="360"/>
      </w:pPr>
      <w:rPr/>
    </w:lvl>
    <w:lvl w:ilvl="7">
      <w:start w:val="1"/>
      <w:isLgl/>
      <w:numFmt w:val="decimal"/>
      <w:lvlText w:val="%8."/>
      <w:lvlJc w:val="left"/>
      <w:pPr>
        <w:tabs>
          <w:tab w:val="num" w:pos="4014"/>
        </w:tabs>
        <w:ind w:left="4014" w:hanging="360"/>
      </w:pPr>
      <w:rPr/>
    </w:lvl>
    <w:lvl w:ilvl="8">
      <w:start w:val="1"/>
      <w:isLgl/>
      <w:numFmt w:val="decimal"/>
      <w:lvlText w:val="%9."/>
      <w:lvlJc w:val="left"/>
      <w:pPr>
        <w:tabs>
          <w:tab w:val="num" w:pos="4374"/>
        </w:tabs>
        <w:ind w:left="4374" w:hanging="360"/>
      </w:pPr>
      <w:rPr/>
    </w:lvl>
  </w:abstractNum>
  <w:abstractNum w:abstractNumId="5">
    <w:lvl w:ilvl="0">
      <w:start w:val="10"/>
      <w:isLgl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isLgl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isLgl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isLgl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isLgl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isLgl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isLgl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isLgl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isLgl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isLgl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isLgl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isLgl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isLgl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isLgl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isLgl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isLgl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isLgl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isLgl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isLgl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isLgl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isLgl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isLgl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isLgl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"/>
      <w:lvlJc w:val="left"/>
      <w:pPr>
        <w:tabs>
          <w:tab w:val="num" w:pos="0"/>
        </w:tabs>
        <w:ind w:left="189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61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33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5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7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9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21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93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51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evenAndOddHeaders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 w:val="true"/>
      <w:keepLines/>
      <w:spacing w:lineRule="auto" w:line="240"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uiPriority w:val="9"/>
    <w:unhideWhenUsed/>
    <w:qFormat/>
    <w:pPr>
      <w:keepNext w:val="true"/>
      <w:keepLines/>
      <w:spacing w:lineRule="auto" w:line="240"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uiPriority w:val="9"/>
    <w:unhideWhenUsed/>
    <w:qFormat/>
    <w:pPr>
      <w:keepNext w:val="true"/>
      <w:keepLines/>
      <w:spacing w:lineRule="auto" w:line="240"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7"/>
    <w:uiPriority w:val="9"/>
    <w:unhideWhenUsed/>
    <w:qFormat/>
    <w:pPr>
      <w:keepNext w:val="true"/>
      <w:keepLines/>
      <w:spacing w:before="40" w:after="0"/>
      <w:outlineLvl w:val="6"/>
    </w:pPr>
    <w:rPr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unhideWhenUsed/>
    <w:qFormat/>
    <w:pPr>
      <w:keepNext w:val="true"/>
      <w:keepLines/>
      <w:outlineLvl w:val="7"/>
    </w:pPr>
    <w:rPr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unhideWhenUsed/>
    <w:qFormat/>
    <w:pPr>
      <w:keepNext w:val="true"/>
      <w:keepLines/>
      <w:outlineLvl w:val="8"/>
    </w:pPr>
    <w:rPr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color w:themeColor="accent1" w:themeShade="bf" w:val="365F91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color w:themeColor="accent1" w:themeShade="bf" w:val="365F91"/>
      <w:sz w:val="32"/>
      <w:szCs w:val="32"/>
    </w:rPr>
  </w:style>
  <w:style w:type="character" w:styleId="Heading3Char" w:customStyle="1">
    <w:name w:val="Heading 3 Char"/>
    <w:basedOn w:val="DefaultParagraphFont"/>
    <w:uiPriority w:val="9"/>
    <w:qFormat/>
    <w:rPr>
      <w:rFonts w:ascii="Arial" w:hAnsi="Arial" w:eastAsia="Arial" w:cs="Arial"/>
      <w:color w:themeColor="accent1" w:themeShade="bf" w:val="365F91"/>
      <w:sz w:val="28"/>
      <w:szCs w:val="28"/>
    </w:rPr>
  </w:style>
  <w:style w:type="character" w:styleId="Heading4Char" w:customStyle="1">
    <w:name w:val="Heading 4 Ch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365F91"/>
    </w:rPr>
  </w:style>
  <w:style w:type="character" w:styleId="Heading5Char" w:customStyle="1">
    <w:name w:val="Heading 5 Char"/>
    <w:basedOn w:val="DefaultParagraphFont"/>
    <w:uiPriority w:val="9"/>
    <w:qFormat/>
    <w:rPr>
      <w:rFonts w:ascii="Arial" w:hAnsi="Arial" w:eastAsia="Arial" w:cs="Arial"/>
      <w:color w:themeColor="accent1" w:themeShade="bf" w:val="365F91"/>
    </w:rPr>
  </w:style>
  <w:style w:type="character" w:styleId="Heading6Char" w:customStyle="1">
    <w:name w:val="Heading 6 Ch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2" w:customStyle="1">
    <w:name w:val="Цитата 2 Знак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365F91"/>
    </w:rPr>
  </w:style>
  <w:style w:type="character" w:styleId="Style5" w:customStyle="1">
    <w:name w:val="Выделенная цитата Знак"/>
    <w:basedOn w:val="DefaultParagraphFont"/>
    <w:link w:val="IntenseQuote"/>
    <w:uiPriority w:val="30"/>
    <w:qFormat/>
    <w:rPr>
      <w:i/>
      <w:iCs/>
      <w:color w:themeColor="accent1" w:themeShade="bf" w:val="365F9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365F9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Style6" w:customStyle="1">
    <w:name w:val="Верхний колонтитул Знак"/>
    <w:basedOn w:val="DefaultParagraphFont"/>
    <w:uiPriority w:val="99"/>
    <w:qFormat/>
    <w:rPr/>
  </w:style>
  <w:style w:type="character" w:styleId="Style7" w:customStyle="1">
    <w:name w:val="Нижний колонтитул Знак"/>
    <w:basedOn w:val="DefaultParagraphFont"/>
    <w:uiPriority w:val="99"/>
    <w:qFormat/>
    <w:rPr/>
  </w:style>
  <w:style w:type="character" w:styleId="Style8" w:customStyle="1">
    <w:name w:val="Текст сноски Знак"/>
    <w:basedOn w:val="DefaultParagraphFont"/>
    <w:uiPriority w:val="99"/>
    <w:semiHidden/>
    <w:qFormat/>
    <w:rPr>
      <w:sz w:val="20"/>
      <w:szCs w:val="20"/>
    </w:rPr>
  </w:style>
  <w:style w:type="character" w:styleId="Style9" w:customStyle="1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0" w:customStyle="1">
    <w:name w:val="Текст концевой сноски Знак"/>
    <w:basedOn w:val="DefaultParagraphFont"/>
    <w:uiPriority w:val="99"/>
    <w:semiHidden/>
    <w:qFormat/>
    <w:rPr>
      <w:sz w:val="20"/>
      <w:szCs w:val="20"/>
    </w:rPr>
  </w:style>
  <w:style w:type="character" w:styleId="Style11" w:customStyle="1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Style12" w:customStyle="1">
    <w:name w:val="Символ нумерации"/>
    <w:qFormat/>
    <w:rPr/>
  </w:style>
  <w:style w:type="character" w:styleId="Style13" w:customStyle="1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uiPriority w:val="99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00"/>
      <w:u w:val="single"/>
    </w:rPr>
  </w:style>
  <w:style w:type="character" w:styleId="Style14" w:customStyle="1">
    <w:name w:val="Ссылка указателя"/>
    <w:qFormat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704265"/>
    <w:rPr>
      <w:color w:val="605E5C"/>
      <w:shd w:fill="E1DFDD" w:val="clear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Unifont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1" w:customStyle="1">
    <w:name w:val="Заголовок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Unifont"/>
      <w:sz w:val="28"/>
      <w:szCs w:val="28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Unifont"/>
      <w:i/>
      <w:iCs/>
      <w:sz w:val="24"/>
      <w:szCs w:val="24"/>
    </w:rPr>
  </w:style>
  <w:style w:type="paragraph" w:styleId="11" w:customStyle="1">
    <w:name w:val="Указатель1"/>
    <w:basedOn w:val="Normal"/>
    <w:qFormat/>
    <w:pPr>
      <w:suppressLineNumbers/>
    </w:pPr>
    <w:rPr>
      <w:rFonts w:cs="Unifont"/>
    </w:rPr>
  </w:style>
  <w:style w:type="paragraph" w:styleId="Title">
    <w:name w:val="Title"/>
    <w:basedOn w:val="Normal1"/>
    <w:next w:val="BodyText"/>
    <w:uiPriority w:val="10"/>
    <w:qFormat/>
    <w:pPr>
      <w:keepNext w:val="true"/>
      <w:keepLines/>
      <w:spacing w:lineRule="auto" w:line="240" w:before="240" w:after="60"/>
    </w:pPr>
    <w:rPr>
      <w:sz w:val="52"/>
      <w:szCs w:val="52"/>
    </w:rPr>
  </w:style>
  <w:style w:type="paragraph" w:styleId="Indexheading1">
    <w:name w:val="index heading1"/>
    <w:basedOn w:val="Normal"/>
    <w:qFormat/>
    <w:pPr>
      <w:suppressLineNumbers/>
    </w:pPr>
    <w:rPr>
      <w:rFonts w:cs="Unifont"/>
    </w:rPr>
  </w:style>
  <w:style w:type="paragraph" w:styleId="Quote">
    <w:name w:val="Quote"/>
    <w:basedOn w:val="Normal"/>
    <w:next w:val="Normal"/>
    <w:link w:val="2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Style5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365F91"/>
    </w:rPr>
  </w:style>
  <w:style w:type="paragraph" w:styleId="NoSpacing">
    <w:name w:val="No Spacing"/>
    <w:basedOn w:val="Normal"/>
    <w:uiPriority w:val="1"/>
    <w:qFormat/>
    <w:pPr>
      <w:spacing w:lineRule="auto" w:line="240"/>
    </w:pPr>
    <w:rPr/>
  </w:style>
  <w:style w:type="paragraph" w:styleId="Style17" w:customStyle="1">
    <w:name w:val="Колонтитул"/>
    <w:basedOn w:val="Normal"/>
    <w:qFormat/>
    <w:pPr/>
    <w:rPr/>
  </w:style>
  <w:style w:type="paragraph" w:styleId="Header">
    <w:name w:val="Header"/>
    <w:basedOn w:val="Normal"/>
    <w:link w:val="Style6"/>
    <w:uiPriority w:val="99"/>
    <w:unhideWhenUsed/>
    <w:pPr>
      <w:tabs>
        <w:tab w:val="clear" w:pos="720"/>
        <w:tab w:val="center" w:pos="4844" w:leader="none"/>
        <w:tab w:val="right" w:pos="9689" w:leader="none"/>
      </w:tabs>
      <w:spacing w:lineRule="auto" w:line="240"/>
    </w:pPr>
    <w:rPr/>
  </w:style>
  <w:style w:type="paragraph" w:styleId="Footer">
    <w:name w:val="Footer"/>
    <w:basedOn w:val="Normal"/>
    <w:link w:val="Style7"/>
    <w:uiPriority w:val="99"/>
    <w:unhideWhenUsed/>
    <w:pPr>
      <w:tabs>
        <w:tab w:val="clear" w:pos="720"/>
        <w:tab w:val="center" w:pos="4844" w:leader="none"/>
        <w:tab w:val="right" w:pos="9689" w:leader="none"/>
      </w:tabs>
      <w:spacing w:lineRule="auto" w:line="240"/>
    </w:pPr>
    <w:rPr/>
  </w:style>
  <w:style w:type="paragraph" w:styleId="FootnoteText">
    <w:name w:val="Footnote Text"/>
    <w:basedOn w:val="Normal"/>
    <w:link w:val="Style8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EndnoteText">
    <w:name w:val="Endnote Text"/>
    <w:basedOn w:val="Normal"/>
    <w:link w:val="Style10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Style15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ableofFigures">
    <w:name w:val="Table of Figures"/>
    <w:basedOn w:val="Normal"/>
    <w:next w:val="Normal"/>
    <w:uiPriority w:val="99"/>
    <w:unhideWhenUsed/>
    <w:pPr/>
    <w:rPr/>
  </w:style>
  <w:style w:type="paragraph" w:styleId="Normal1" w:customStyle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0" w:after="320"/>
    </w:pPr>
    <w:rPr>
      <w:color w:val="666666"/>
      <w:sz w:val="30"/>
      <w:szCs w:val="30"/>
    </w:rPr>
  </w:style>
  <w:style w:type="paragraph" w:styleId="Normal2" w:customStyle="1">
    <w:name w:val="normal2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Style18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19" w:customStyle="1">
    <w:name w:val="Заголовок таблицы"/>
    <w:basedOn w:val="Style18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Style20" w:customStyle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b">
    <w:name w:val="Table Grid"/>
    <w:basedOn w:val="a1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13">
    <w:name w:val="Plain Table 1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FFFFF" w:fill="F2F2F2" w:themeFill="text1" w:themeFillTint="d"/>
      </w:tcPr>
    </w:tblStylePr>
    <w:tblStylePr w:type="band1Horz">
      <w:tblPr/>
      <w:tcPr>
        <w:shd w:val="clear" w:color="FFFFFF" w:fill="F2F2F2" w:themeFill="text1" w:themeFillTint="d"/>
      </w:tcPr>
    </w:tblStylePr>
  </w:style>
  <w:style w:type="table" w:styleId="23">
    <w:name w:val="Plain Table 2"/>
    <w:basedOn w:val="a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1Horz">
      <w:rPr>
        <w:sz w:val="22"/>
      </w:rPr>
      <w:tblPr/>
      <w:tcPr>
        <w:shd w:val="clear" w:color="FFFFFF" w:fill="F2F2F2" w:themeFill="text1" w:themeFillTint="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1Horz">
      <w:rPr>
        <w:sz w:val="22"/>
      </w:rPr>
      <w:tblPr/>
      <w:tcPr>
        <w:shd w:val="clear" w:color="FFFFFF" w:fill="F2F2F2" w:themeFill="text1" w:themeFillTint="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1Horz">
      <w:rPr>
        <w:sz w:val="22"/>
      </w:rPr>
      <w:tblPr/>
      <w:tcPr>
        <w:shd w:val="clear" w:color="FFFFFF" w:fill="F2F2F2" w:themeFill="text1" w:themeFillTint="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</w:rPr>
      <w:tblPr/>
      <w:tcPr>
        <w:tcBorders>
          <w:bottom w:val="single" w:color="C0504D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</w:rPr>
      <w:tblPr/>
      <w:tcPr>
        <w:tcBorders>
          <w:bottom w:val="single" w:color="9BBB59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</w:rPr>
      <w:tblPr/>
      <w:tcPr>
        <w:tcBorders>
          <w:bottom w:val="single" w:color="8064A2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8064A2" w:themeColor="accent4" w:sz="4" w:space="0"/>
          <w:left w:val="single" w:color="8064A2" w:themeColor="accent4" w:sz="4" w:space="0"/>
          <w:bottom w:val="single" w:color="8064A2" w:themeColor="accent4" w:sz="4" w:space="0"/>
          <w:right w:val="single" w:color="8064A2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  <w:tcPr>
        <w:shd w:val="clear" w:color="FFFFFF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  <w:tcPr>
        <w:shd w:val="clear" w:color="FFFFFF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</w:tcBorders>
        <w:shd w:val="clear" w:color="FFFFFF" w:fill="5D8AC2" w:themeFill="accent1" w:themeFillTint="ea"/>
      </w:tcPr>
    </w:tblStylePr>
    <w:tblStylePr w:type="lastRow">
      <w:rPr>
        <w:b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DCE6F2" w:themeFill="accent1" w:themeFillTint="32"/>
      </w:tcPr>
    </w:tblStylePr>
    <w:tblStylePr w:type="band1Horz">
      <w:rPr>
        <w:sz w:val="22"/>
      </w:rPr>
      <w:tblPr/>
      <w:tcPr>
        <w:shd w:val="clear" w:color="FFFFFF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</w:tcBorders>
        <w:shd w:val="clear" w:color="FFFFFF" w:fill="D99695" w:themeFill="accent2" w:themeFillTint="97"/>
      </w:tcPr>
    </w:tblStylePr>
    <w:tblStylePr w:type="lastRow">
      <w:rPr>
        <w:b/>
      </w:rPr>
      <w:tblPr/>
      <w:tcPr>
        <w:tcBorders>
          <w:top w:val="single" w:color="C0504D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</w:tcBorders>
        <w:shd w:val="clear" w:color="FFFFFF" w:fill="9ABB59" w:themeFill="accent3" w:themeFillTint="fe"/>
      </w:tcPr>
    </w:tblStylePr>
    <w:tblStylePr w:type="lastRow">
      <w:rPr>
        <w:b/>
      </w:rPr>
      <w:tblPr/>
      <w:tcPr>
        <w:tcBorders>
          <w:top w:val="single" w:color="9BBB59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8064A2" w:themeColor="accent4" w:sz="4" w:space="0"/>
          <w:left w:val="single" w:color="8064A2" w:themeColor="accent4" w:sz="4" w:space="0"/>
          <w:bottom w:val="single" w:color="8064A2" w:themeColor="accent4" w:sz="4" w:space="0"/>
          <w:right w:val="single" w:color="8064A2" w:themeColor="accent4" w:sz="4" w:space="0"/>
        </w:tcBorders>
        <w:shd w:val="clear" w:color="FFFFFF" w:fill="B2A1C6" w:themeFill="accent4" w:themeFillTint="9a"/>
      </w:tcPr>
    </w:tblStylePr>
    <w:tblStylePr w:type="lastRow">
      <w:rPr>
        <w:b/>
      </w:rPr>
      <w:tblPr/>
      <w:tcPr>
        <w:tcBorders>
          <w:top w:val="single" w:color="8064A2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FFFFFF" w:fill="4BACC6" w:themeFill="accent5"/>
      </w:tcPr>
    </w:tblStylePr>
    <w:tblStylePr w:type="lastRow">
      <w:rPr>
        <w:b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FFFFF" w:fill="F79646" w:themeFill="accent6"/>
      </w:tcPr>
    </w:tblStylePr>
    <w:tblStylePr w:type="lastRow">
      <w:rPr>
        <w:b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  <w:tcPr>
        <w:shd w:val="clear" w:color="FFFFFF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FFFF" w:fill="4F81BD" w:themeFill="accent1"/>
      </w:tcPr>
    </w:tblStylePr>
    <w:tblStylePr w:type="firstCol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  <w:sz w:val="22"/>
      </w:rPr>
      <w:tblPr/>
      <w:tcPr>
        <w:shd w:val="clear" w:color="FFFFFF" w:fill="4F81BD" w:themeFill="accent1"/>
      </w:tcPr>
    </w:tblStylePr>
    <w:tblStylePr w:type="band1Vert">
      <w:tblPr/>
      <w:tcPr>
        <w:shd w:val="clear" w:color="FFFFFF" w:fill="AEC4E0" w:themeFill="accent1" w:themeFillTint="75"/>
      </w:tcPr>
    </w:tblStylePr>
    <w:tblStylePr w:type="band1Horz">
      <w:tblPr/>
      <w:tcPr>
        <w:shd w:val="clear" w:color="FFFFFF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FFFF" w:fill="C0504D" w:themeFill="accent2"/>
      </w:tcPr>
    </w:tblStylePr>
    <w:tblStylePr w:type="firstCol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  <w:sz w:val="22"/>
      </w:rPr>
      <w:tblPr/>
      <w:tcPr>
        <w:shd w:val="clear" w:color="FFFFFF" w:fill="C0504D" w:themeFill="accent2"/>
      </w:tcPr>
    </w:tblStylePr>
    <w:tblStylePr w:type="band1Vert">
      <w:tblPr/>
      <w:tcPr>
        <w:shd w:val="clear" w:color="FFFFFF" w:fill="E2AEAD" w:themeFill="accent2" w:themeFillTint="75"/>
      </w:tcPr>
    </w:tblStylePr>
    <w:tblStylePr w:type="band1Horz">
      <w:tblPr/>
      <w:tcPr>
        <w:shd w:val="clear" w:color="FFFFFF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FFFF" w:fill="9BBB59" w:themeFill="accent3"/>
      </w:tcPr>
    </w:tblStylePr>
    <w:tblStylePr w:type="firstCol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  <w:sz w:val="22"/>
      </w:rPr>
      <w:tblPr/>
      <w:tcPr>
        <w:shd w:val="clear" w:color="FFFFFF" w:fill="9BBB59" w:themeFill="accent3"/>
      </w:tcPr>
    </w:tblStylePr>
    <w:tblStylePr w:type="band1Vert">
      <w:tblPr/>
      <w:tcPr>
        <w:shd w:val="clear" w:color="FFFFFF" w:fill="D0DFB2" w:themeFill="accent3" w:themeFillTint="75"/>
      </w:tcPr>
    </w:tblStylePr>
    <w:tblStylePr w:type="band1Horz">
      <w:tblPr/>
      <w:tcPr>
        <w:shd w:val="clear" w:color="FFFFFF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FFFF" w:fill="8064A2" w:themeFill="accent4"/>
      </w:tcPr>
    </w:tblStylePr>
    <w:tblStylePr w:type="firstCol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  <w:sz w:val="22"/>
      </w:rPr>
      <w:tblPr/>
      <w:tcPr>
        <w:shd w:val="clear" w:color="FFFFFF" w:fill="8064A2" w:themeFill="accent4"/>
      </w:tcPr>
    </w:tblStylePr>
    <w:tblStylePr w:type="band1Vert">
      <w:tblPr/>
      <w:tcPr>
        <w:shd w:val="clear" w:color="FFFFFF" w:fill="C4B7D4" w:themeFill="accent4" w:themeFillTint="75"/>
      </w:tcPr>
    </w:tblStylePr>
    <w:tblStylePr w:type="band1Horz">
      <w:tblPr/>
      <w:tcPr>
        <w:shd w:val="clear" w:color="FFFFFF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FFFF" w:fill="4BACC6" w:themeFill="accent5"/>
      </w:tcPr>
    </w:tblStylePr>
    <w:tblStylePr w:type="firstCol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  <w:sz w:val="22"/>
      </w:rPr>
      <w:tblPr/>
      <w:tcPr>
        <w:shd w:val="clear" w:color="FFFFFF" w:fill="4BACC6" w:themeFill="accent5"/>
      </w:tcPr>
    </w:tblStylePr>
    <w:tblStylePr w:type="band1Vert">
      <w:tblPr/>
      <w:tcPr>
        <w:shd w:val="clear" w:color="FFFFFF" w:fill="ACD8E4" w:themeFill="accent5" w:themeFillTint="75"/>
      </w:tcPr>
    </w:tblStylePr>
    <w:tblStylePr w:type="band1Horz">
      <w:tblPr/>
      <w:tcPr>
        <w:shd w:val="clear" w:color="FFFFFF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FFFF" w:fill="F79646" w:themeFill="accent6"/>
      </w:tcPr>
    </w:tblStylePr>
    <w:tblStylePr w:type="firstCol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  <w:sz w:val="22"/>
      </w:rPr>
      <w:tblPr/>
      <w:tcPr>
        <w:shd w:val="clear" w:color="FFFFFF" w:fill="F79646" w:themeFill="accent6"/>
      </w:tcPr>
    </w:tblStylePr>
    <w:tblStylePr w:type="band1Vert">
      <w:tblPr/>
      <w:tcPr>
        <w:shd w:val="clear" w:color="FFFFFF" w:fill="FBCEAA" w:themeFill="accent6" w:themeFillTint="75"/>
      </w:tcPr>
    </w:tblStylePr>
    <w:tblStylePr w:type="band1Horz">
      <w:tblPr/>
      <w:tcPr>
        <w:shd w:val="clear" w:color="FFFFFF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color w:themeColor="text1" w:themeTint="80" w:themeShade="95"/>
      </w:rPr>
      <w:tblPr/>
    </w:tblStylePr>
    <w:tblStylePr w:type="firstCol">
      <w:rPr>
        <w:b/>
        <w:color w:themeColor="text1" w:themeTint="80" w:themeShade="95"/>
      </w:rPr>
      <w:tblPr/>
    </w:tblStylePr>
    <w:tblStylePr w:type="lastCol">
      <w:rPr>
        <w:b/>
        <w:color w:themeColor="text1" w:themeTint="80" w:themeShade="95"/>
      </w:rPr>
      <w:tblPr/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themeColor="accent1" w:themeTint="80" w:themeShade="95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b/>
        <w:color w:themeColor="accent1" w:themeTint="80" w:themeShade="95"/>
      </w:rPr>
      <w:tblPr/>
    </w:tblStylePr>
    <w:tblStylePr w:type="firstCol">
      <w:rPr>
        <w:b/>
        <w:color w:themeColor="accent1" w:themeTint="80" w:themeShade="95"/>
      </w:rPr>
      <w:tblPr/>
    </w:tblStylePr>
    <w:tblStylePr w:type="lastCol">
      <w:rPr>
        <w:b/>
        <w:color w:themeColor="accent1" w:themeTint="80" w:themeShade="95"/>
      </w:rPr>
      <w:tblPr/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themeColor="accent2" w:themeTint="97" w:themeShade="95"/>
      </w:rPr>
      <w:tblPr/>
      <w:tcPr>
        <w:tcBorders>
          <w:bottom w:val="single" w:color="C0504D" w:themeColor="accent2" w:sz="12" w:space="0"/>
        </w:tcBorders>
      </w:tcPr>
    </w:tblStylePr>
    <w:tblStylePr w:type="lastRow">
      <w:rPr>
        <w:b/>
        <w:color w:themeColor="accent2" w:themeTint="97" w:themeShade="95"/>
      </w:rPr>
      <w:tblPr/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themeColor="accent3" w:themeTint="fe" w:themeShade="95"/>
      </w:rPr>
      <w:tblPr/>
      <w:tcPr>
        <w:tcBorders>
          <w:bottom w:val="single" w:color="9BBB59" w:themeColor="accent3" w:sz="12" w:space="0"/>
        </w:tcBorders>
      </w:tcPr>
    </w:tblStylePr>
    <w:tblStylePr w:type="lastRow">
      <w:rPr>
        <w:b/>
        <w:color w:themeColor="accent3" w:themeTint="fe" w:themeShade="95"/>
      </w:rPr>
      <w:tblPr/>
    </w:tblStylePr>
    <w:tblStylePr w:type="firstCol">
      <w:rPr>
        <w:b/>
        <w:color w:themeColor="accent3" w:themeTint="fe" w:themeShade="95"/>
      </w:rPr>
      <w:tblPr/>
    </w:tblStylePr>
    <w:tblStylePr w:type="lastCol">
      <w:rPr>
        <w:b/>
        <w:color w:themeColor="accent3" w:themeTint="fe" w:themeShade="95"/>
      </w:rPr>
      <w:tblPr/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themeColor="accent4" w:themeTint="9a" w:themeShade="95"/>
      </w:rPr>
      <w:tblPr/>
      <w:tcPr>
        <w:tcBorders>
          <w:bottom w:val="single" w:color="8064A2" w:themeColor="accent4" w:sz="12" w:space="0"/>
        </w:tcBorders>
      </w:tcPr>
    </w:tblStylePr>
    <w:tblStylePr w:type="lastRow">
      <w:rPr>
        <w:b/>
        <w:color w:themeColor="accent4" w:themeTint="9a" w:themeShade="95"/>
      </w:rPr>
      <w:tblPr/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000000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single" w:color="000000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1Horz"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F81BD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4F81B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auto" w:sz="0" w:space="0"/>
          <w:left w:val="single" w:color="4F81BD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0504D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C0504D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0504D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single" w:color="C0504D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BBB59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9BBB59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BBB59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auto" w:sz="0" w:space="0"/>
          <w:left w:val="single" w:color="9BBB59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8064A2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8064A2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8064A2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single" w:color="8064A2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BACC6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4BACC6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BACC6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auto" w:sz="0" w:space="0"/>
          <w:left w:val="single" w:color="4BACC6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79646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F79646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79646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auto" w:sz="0" w:space="0"/>
          <w:left w:val="single" w:color="F79646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themeColor="accent6" w:themeShade="95"/>
        <w:sz w:val="22"/>
      </w:rPr>
      <w:tblPr/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tblPr/>
      <w:tcPr>
        <w:shd w:val="clear" w:color="FFFFFF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tblPr/>
      <w:tcPr>
        <w:shd w:val="clear" w:color="FFFFFF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tblPr/>
      <w:tcPr>
        <w:shd w:val="clear" w:color="FFFFFF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tblPr/>
      <w:tcPr>
        <w:shd w:val="clear" w:color="FFFFFF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tblPr/>
      <w:tcPr>
        <w:shd w:val="clear" w:color="FFFFFF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tblPr/>
      <w:tcPr>
        <w:shd w:val="clear" w:color="FFFFFF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C0504D" w:themeColor="accent2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C0504D" w:themeColor="accent2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BBB59" w:themeColor="accent3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BBB59" w:themeColor="accent3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8064A2" w:themeColor="accent4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8064A2" w:themeColor="accent4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BACC6" w:themeColor="accent5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4BACC6" w:themeColor="accent5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79646" w:themeColor="accent6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79646" w:themeColor="accent6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sz w:val="22"/>
      </w:rPr>
      <w:tblPr/>
      <w:tcPr>
        <w:shd w:val="clear" w:color="FFFFFF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b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C0504D" w:themeColor="accent2" w:sz="4" w:space="0"/>
          <w:bottom w:val="single" w:color="C0504D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b/>
        <w:sz w:val="22"/>
      </w:rPr>
      <w:tblPr/>
      <w:tcPr>
        <w:shd w:val="clear" w:color="FFFFFF" w:fill="C3D69B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9BBB59" w:themeColor="accent3" w:sz="4" w:space="0"/>
          <w:right w:val="single" w:color="9BBB59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9BBB59" w:themeColor="accent3" w:sz="4" w:space="0"/>
          <w:bottom w:val="single" w:color="9BBB59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b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8064A2" w:themeColor="accent4" w:sz="4" w:space="0"/>
          <w:right w:val="single" w:color="8064A2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8064A2" w:themeColor="accent4" w:sz="4" w:space="0"/>
          <w:bottom w:val="single" w:color="8064A2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b/>
        <w:sz w:val="22"/>
      </w:rPr>
      <w:tblPr/>
      <w:tcPr>
        <w:shd w:val="clear" w:color="FFFFFF" w:fill="92CCDC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4BACC6" w:themeColor="accent5" w:sz="4" w:space="0"/>
          <w:right w:val="single" w:color="4BACC6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4BACC6" w:themeColor="accent5" w:sz="4" w:space="0"/>
          <w:bottom w:val="single" w:color="4BACC6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b/>
        <w:sz w:val="22"/>
      </w:rPr>
      <w:tblPr/>
      <w:tcPr>
        <w:shd w:val="clear" w:color="FFFFFF" w:fill="FAC090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79646" w:themeColor="accent6" w:sz="4" w:space="0"/>
          <w:right w:val="single" w:color="F79646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F79646" w:themeColor="accent6" w:sz="4" w:space="0"/>
          <w:bottom w:val="single" w:color="F79646" w:themeColor="accent6" w:sz="4" w:space="0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sz w:val="22"/>
      </w:rPr>
      <w:tblPr/>
      <w:tcPr>
        <w:shd w:val="clear" w:color="FFFFFF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FFFFFF" w:themeColor="light1" w:sz="12" w:space="0"/>
        </w:tcBorders>
        <w:shd w:val="clear" w:color="FFFFFF" w:fill="7F7F7F" w:themeFill="text1" w:themeFillTint="80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000000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FFFFFF" w:fill="4F81BD" w:themeFill="accent1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C0504D" w:themeColor="accent2" w:sz="32" w:space="0"/>
          <w:bottom w:val="single" w:color="FFFFFF" w:themeColor="light1" w:sz="12" w:space="0"/>
        </w:tcBorders>
        <w:shd w:val="clear" w:color="FFFFFF" w:fill="D99695" w:themeFill="accent2" w:themeFillTint="97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C0504D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0504D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9BBB59" w:themeColor="accent3" w:sz="32" w:space="0"/>
          <w:bottom w:val="single" w:color="FFFFFF" w:themeColor="light1" w:sz="12" w:space="0"/>
        </w:tcBorders>
        <w:shd w:val="clear" w:color="FFFFFF" w:fill="C3D69B" w:themeFill="accent3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9BBB59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BBB59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8064A2" w:themeColor="accent4" w:sz="32" w:space="0"/>
          <w:bottom w:val="single" w:color="FFFFFF" w:themeColor="light1" w:sz="12" w:space="0"/>
        </w:tcBorders>
        <w:shd w:val="clear" w:color="FFFFFF" w:fill="B2A1C6" w:themeFill="accent4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8064A2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064A2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4BACC6" w:themeColor="accent5" w:sz="32" w:space="0"/>
          <w:bottom w:val="single" w:color="FFFFFF" w:themeColor="light1" w:sz="12" w:space="0"/>
        </w:tcBorders>
        <w:shd w:val="clear" w:color="FFFFFF" w:fill="92CCDC" w:themeFill="accent5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4BACC6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BACC6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F79646" w:themeColor="accent6" w:sz="32" w:space="0"/>
          <w:bottom w:val="single" w:color="FFFFFF" w:themeColor="light1" w:sz="12" w:space="0"/>
        </w:tcBorders>
        <w:shd w:val="clear" w:color="FFFFFF" w:fill="FAC090" w:themeFill="accent6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F79646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79646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themeColor="text1"/>
      </w:rPr>
      <w:tblPr/>
    </w:tblStylePr>
    <w:tblStylePr w:type="lastCol">
      <w:rPr>
        <w:b/>
        <w:color w:themeColor="text1"/>
      </w:rPr>
      <w:tblPr/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themeColor="accent1" w:themeShade="95"/>
      </w:rPr>
      <w:tblPr/>
    </w:tblStylePr>
    <w:tblStylePr w:type="lastCol">
      <w:rPr>
        <w:b/>
        <w:color w:themeColor="accent1" w:themeShade="95"/>
      </w:rPr>
      <w:tblPr/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themeColor="accent2" w:themeTint="97" w:themeShade="95"/>
      </w:rPr>
      <w:tblPr/>
      <w:tcPr>
        <w:tcBorders>
          <w:bottom w:val="single" w:color="C0504D" w:themeColor="accent2" w:sz="4" w:space="0"/>
        </w:tcBorders>
      </w:tcPr>
    </w:tblStylePr>
    <w:tblStylePr w:type="lastRow">
      <w:rPr>
        <w:b/>
        <w:color w:themeColor="accent2" w:themeTint="97" w:themeShade="95"/>
      </w:rPr>
      <w:tblPr/>
      <w:tcPr>
        <w:tcBorders>
          <w:top w:val="single" w:color="C0504D" w:themeColor="accent2" w:sz="4" w:space="0"/>
        </w:tcBorders>
      </w:tcPr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themeColor="accent3" w:themeTint="98" w:themeShade="95"/>
      </w:rPr>
      <w:tblPr/>
      <w:tcPr>
        <w:tcBorders>
          <w:bottom w:val="single" w:color="9BBB59" w:themeColor="accent3" w:sz="4" w:space="0"/>
        </w:tcBorders>
      </w:tcPr>
    </w:tblStylePr>
    <w:tblStylePr w:type="lastRow">
      <w:rPr>
        <w:b/>
        <w:color w:themeColor="accent3" w:themeTint="98" w:themeShade="95"/>
      </w:rPr>
      <w:tblPr/>
      <w:tcPr>
        <w:tcBorders>
          <w:top w:val="single" w:color="9BBB59" w:themeColor="accent3" w:sz="4" w:space="0"/>
        </w:tcBorders>
      </w:tcPr>
    </w:tblStylePr>
    <w:tblStylePr w:type="firstCol">
      <w:rPr>
        <w:b/>
        <w:color w:themeColor="accent3" w:themeTint="98" w:themeShade="95"/>
      </w:rPr>
      <w:tblPr/>
    </w:tblStylePr>
    <w:tblStylePr w:type="lastCol">
      <w:rPr>
        <w:b/>
        <w:color w:themeColor="accent3" w:themeTint="98" w:themeShade="95"/>
      </w:rPr>
      <w:tblPr/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themeColor="accent4" w:themeTint="9a" w:themeShade="95"/>
      </w:rPr>
      <w:tblPr/>
      <w:tcPr>
        <w:tcBorders>
          <w:bottom w:val="single" w:color="8064A2" w:themeColor="accent4" w:sz="4" w:space="0"/>
        </w:tcBorders>
      </w:tcPr>
    </w:tblStylePr>
    <w:tblStylePr w:type="lastRow">
      <w:rPr>
        <w:b/>
        <w:color w:themeColor="accent4" w:themeTint="9a" w:themeShade="95"/>
      </w:rPr>
      <w:tblPr/>
      <w:tcPr>
        <w:tcBorders>
          <w:top w:val="single" w:color="8064A2" w:themeColor="accent4" w:sz="4" w:space="0"/>
        </w:tcBorders>
      </w:tcPr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themeColor="accent5" w:themeTint="9a" w:themeShade="95"/>
      </w:rPr>
      <w:tblPr/>
      <w:tcPr>
        <w:tcBorders>
          <w:bottom w:val="single" w:color="4BACC6" w:themeColor="accent5" w:sz="4" w:space="0"/>
        </w:tcBorders>
      </w:tcPr>
    </w:tblStylePr>
    <w:tblStylePr w:type="lastRow">
      <w:rPr>
        <w:b/>
        <w:color w:themeColor="accent5" w:themeTint="9a" w:themeShade="95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themeColor="accent5" w:themeTint="9a" w:themeShade="95"/>
      </w:rPr>
      <w:tblPr/>
    </w:tblStylePr>
    <w:tblStylePr w:type="lastCol">
      <w:rPr>
        <w:b/>
        <w:color w:themeColor="accent5" w:themeTint="9a" w:themeShade="95"/>
      </w:rPr>
      <w:tblPr/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themeColor="accent6" w:themeTint="98" w:themeShade="95"/>
      </w:rPr>
      <w:tblPr/>
      <w:tcPr>
        <w:tcBorders>
          <w:bottom w:val="single" w:color="F79646" w:themeColor="accent6" w:sz="4" w:space="0"/>
        </w:tcBorders>
      </w:tcPr>
    </w:tblStylePr>
    <w:tblStylePr w:type="lastRow">
      <w:rPr>
        <w:b/>
        <w:color w:themeColor="accent6" w:themeTint="98" w:themeShade="95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themeColor="accent6" w:themeTint="98" w:themeShade="95"/>
      </w:rPr>
      <w:tblPr/>
    </w:tblStylePr>
    <w:tblStylePr w:type="lastCol">
      <w:rPr>
        <w:b/>
        <w:color w:themeColor="accent6" w:themeTint="98" w:themeShade="95"/>
      </w:rPr>
      <w:tblPr/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000000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single" w:color="000000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firstRow"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F81BD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4F81B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single" w:color="4F81BD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0504D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C0504D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0504D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single" w:color="C0504D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BBB59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9BBB59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BBB59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single" w:color="9BBB59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8064A2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8064A2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8064A2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single" w:color="8064A2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BACC6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4BACC6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BACC6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single" w:color="4BACC6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79646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F79646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79646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single" w:color="F79646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4F81BD" w:themeColor="accent1" w:sz="4" w:space="0"/>
        <w:insideV w:val="single" w:color="4F81BD" w:themeColor="accent1" w:sz="4" w:space="0"/>
      </w:tblBorders>
    </w:tblPr>
    <w:tblStylePr w:type="firstRow">
      <w:rPr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C0504D" w:themeColor="accent2" w:sz="4" w:space="0"/>
        <w:insideV w:val="single" w:color="C0504D" w:themeColor="accent2" w:sz="4" w:space="0"/>
      </w:tblBorders>
    </w:tblPr>
    <w:tblStylePr w:type="firstRow">
      <w:rPr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tblPr>
      <w:tblStyleRowBandSize w:val="1"/>
      <w:tblStyleColBandSize w:val="1"/>
      <w:tblBorders>
        <w:top w:val="single" w:color="9BBB59" w:themeColor="accent3" w:sz="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9BBB59" w:themeColor="accent3" w:sz="4" w:space="0"/>
        <w:insideV w:val="single" w:color="9BBB59" w:themeColor="accent3" w:sz="4" w:space="0"/>
      </w:tblBorders>
    </w:tblPr>
    <w:tblStylePr w:type="firstRow">
      <w:rPr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tblPr>
      <w:tblStyleRowBandSize w:val="1"/>
      <w:tblStyleColBandSize w:val="1"/>
      <w:tblBorders>
        <w:top w:val="single" w:color="8064A2" w:themeColor="accent4" w:sz="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8064A2" w:themeColor="accent4" w:sz="4" w:space="0"/>
        <w:insideV w:val="single" w:color="8064A2" w:themeColor="accent4" w:sz="4" w:space="0"/>
      </w:tblBorders>
    </w:tblPr>
    <w:tblStylePr w:type="firstRow">
      <w:rPr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sz w:val="22"/>
      </w:rPr>
      <w:tblPr/>
      <w:tcPr>
        <w:tcBorders>
          <w:bottom w:val="single" w:color="C0504D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C0504D" w:themeColor="accent2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C0504D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sz w:val="22"/>
      </w:rPr>
      <w:tblPr/>
      <w:tcPr>
        <w:tcBorders>
          <w:bottom w:val="single" w:color="9BBB59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9BBB59" w:themeColor="accent3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9BBB59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sz w:val="22"/>
      </w:rPr>
      <w:tblPr/>
      <w:tcPr>
        <w:tcBorders>
          <w:bottom w:val="single" w:color="8064A2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8064A2" w:themeColor="accent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8064A2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8064A2" w:themeColor="accent4" w:sz="4" w:space="0"/>
          <w:left w:val="single" w:color="8064A2" w:themeColor="accent4" w:sz="4" w:space="0"/>
          <w:bottom w:val="single" w:color="8064A2" w:themeColor="accent4" w:sz="4" w:space="0"/>
          <w:right w:val="single" w:color="8064A2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sz w:val="22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4BACC6" w:themeColor="accent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4BACC6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sz w:val="22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F79646" w:themeColor="accent6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79646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yperlink" Target="https://www.dk.ru/wiki/centralnyy-bank-rossiyskoy-federacii" TargetMode="External"/><Relationship Id="rId9" Type="http://schemas.openxmlformats.org/officeDocument/2006/relationships/hyperlink" Target="https://finance.mail.ru/guide/kak-privlech-klientov-251/" TargetMode="External"/><Relationship Id="rId10" Type="http://schemas.openxmlformats.org/officeDocument/2006/relationships/hyperlink" Target="http://draw.io/" TargetMode="External"/><Relationship Id="rId11" Type="http://schemas.openxmlformats.org/officeDocument/2006/relationships/hyperlink" Target="http://diagrams.net/" TargetMode="External"/><Relationship Id="rId12" Type="http://schemas.openxmlformats.org/officeDocument/2006/relationships/hyperlink" Target="https://practicum.yandex.ru/blog/uml-diagrammy/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wmf"/><Relationship Id="rId32" Type="http://schemas.openxmlformats.org/officeDocument/2006/relationships/hyperlink" Target="https://www.dk.ru/all/wiki/sberbanka" TargetMode="External"/><Relationship Id="rId33" Type="http://schemas.openxmlformats.org/officeDocument/2006/relationships/hyperlink" Target="https://practicum.yandex.ru/blog/vozmozhnosti-servisa-drawio/" TargetMode="External"/><Relationship Id="rId34" Type="http://schemas.openxmlformats.org/officeDocument/2006/relationships/hyperlink" Target="https://www.sravni.ru/bank/alfa-bank/" TargetMode="External"/><Relationship Id="rId35" Type="http://schemas.openxmlformats.org/officeDocument/2006/relationships/hyperlink" Target="https://quasa.io/ru/media/vse-o-banke-tinkoff-istoriya-vidy-predostavlyaemyh-uslug-i-otzyvy-klientov" TargetMode="External"/><Relationship Id="rId36" Type="http://schemas.openxmlformats.org/officeDocument/2006/relationships/hyperlink" Target="./%20https://www.vtb.ru/about/bank/" TargetMode="External"/><Relationship Id="rId37" Type="http://schemas.openxmlformats.org/officeDocument/2006/relationships/hyperlink" Target="./%20https://www.vtb.ru/about/bank/" TargetMode="External"/><Relationship Id="rId38" Type="http://schemas.openxmlformats.org/officeDocument/2006/relationships/hyperlink" Target="./%20https://www.vtb.ru/about/bank/" TargetMode="External"/><Relationship Id="rId39" Type="http://schemas.openxmlformats.org/officeDocument/2006/relationships/header" Target="header4.xml"/><Relationship Id="rId40" Type="http://schemas.openxmlformats.org/officeDocument/2006/relationships/header" Target="header5.xml"/><Relationship Id="rId41" Type="http://schemas.openxmlformats.org/officeDocument/2006/relationships/header" Target="header6.xml"/><Relationship Id="rId42" Type="http://schemas.openxmlformats.org/officeDocument/2006/relationships/footer" Target="footer4.xml"/><Relationship Id="rId43" Type="http://schemas.openxmlformats.org/officeDocument/2006/relationships/footer" Target="footer5.xml"/><Relationship Id="rId44" Type="http://schemas.openxmlformats.org/officeDocument/2006/relationships/footer" Target="footer6.xml"/><Relationship Id="rId45" Type="http://schemas.openxmlformats.org/officeDocument/2006/relationships/numbering" Target="numbering.xml"/><Relationship Id="rId46" Type="http://schemas.openxmlformats.org/officeDocument/2006/relationships/fontTable" Target="fontTable.xml"/><Relationship Id="rId47" Type="http://schemas.openxmlformats.org/officeDocument/2006/relationships/settings" Target="settings.xml"/><Relationship Id="rId48" Type="http://schemas.openxmlformats.org/officeDocument/2006/relationships/theme" Target="theme/theme1.xml"/><Relationship Id="rId4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Arial" pitchFamily="0" charset="1"/>
        <a:cs typeface="Arial" pitchFamily="0" charset="1"/>
      </a:majorFont>
      <a:minorFont>
        <a:latin typeface="Cambria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422B5-F439-4644-977B-1B5865582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</TotalTime>
  <Application>LibreOffice/24.2.2.2$Windows_X86_64 LibreOffice_project/d56cc158d8a96260b836f100ef4b4ef25d6f1a01</Application>
  <AppVersion>15.0000</AppVersion>
  <Pages>60</Pages>
  <Words>833</Words>
  <Characters>6083</Characters>
  <CharactersWithSpaces>6798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2026-04-20T12:10:00Z</dcterms:created>
  <dc:creator/>
  <dc:description/>
  <dc:language>ru-RU</dc:language>
  <cp:lastModifiedBy/>
  <cp:lastPrinted>2026-04-26T18:40:11Z</cp:lastPrinted>
  <dcterms:modified xsi:type="dcterms:W3CDTF">2026-04-26T18:41:42Z</dcterms:modified>
  <cp:revision>99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