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E463A"/>
          <w:sz w:val="40"/>
          <w:szCs w:val="40"/>
        </w:rPr>
        <w:t xml:space="preserve">Starman — Aspire Investments</w:t>
      </w:r>
    </w:p>
    <w:p>
      <w:pPr>
        <w:spacing w:after="40"/>
      </w:pPr>
      <w:r>
        <w:rPr>
          <w:color w:val="9A7420"/>
          <w:sz w:val="28"/>
          <w:szCs w:val="28"/>
        </w:rPr>
        <w:t xml:space="preserve">Funding &amp; Grant Preparation Package</w:t>
      </w:r>
    </w:p>
    <w:p>
      <w:pPr>
        <w:spacing w:after="200"/>
      </w:pPr>
      <w:r>
        <w:rPr>
          <w:i/>
          <w:iCs/>
          <w:color w:val="555555"/>
          <w:sz w:val="20"/>
          <w:szCs w:val="20"/>
        </w:rPr>
        <w:t xml:space="preserve">Alberta-built AI client-intelligence CRM for independent Canadian financial advisory firms</w:t>
      </w:r>
    </w:p>
    <w:p>
      <w:pPr>
        <w:pBdr>
          <w:bottom w:val="single" w:color="0E463A" w:sz="8" w:space="4"/>
        </w:pBdr>
      </w:pPr>
      <w:r>
        <w:t xml:space="preserve"/>
      </w:r>
    </w:p>
    <w:p>
      <w:pPr>
        <w:spacing w:after="120" w:before="120"/>
      </w:pPr>
      <w:r>
        <w:rPr>
          <w:i/>
          <w:iCs/>
          <w:color w:val="666666"/>
          <w:sz w:val="18"/>
          <w:szCs w:val="18"/>
        </w:rPr>
        <w:t xml:space="preserve">Prepared as strategic funding-preparation material — not professional grant, legal, tax, or accounting advice. Program amounts, eligibility, and intake windows change; confirm current details with an Alberta Innovates Technology Development Advisor and a qualified SR&amp;ED / accounting professional before applying. Program facts verified July 2026.</w:t>
      </w:r>
    </w:p>
    <w:p>
      <w:pPr>
        <w:pStyle w:val="Heading2"/>
      </w:pPr>
      <w:r>
        <w:t xml:space="preserve">Funding programs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2560"/>
        <w:gridCol w:w="1200"/>
      </w:tblGrid>
      <w:tr>
        <w:trPr>
          <w:tblHeader/>
        </w:trPr>
        <w:tc>
          <w:tcPr>
            <w:tcW w:type="dxa" w:w="2600"/>
            <w:tcBorders>
              <w:top w:val="single" w:color="CCCCCC" w:sz="1"/>
              <w:left w:val="single" w:color="CCCCCC" w:sz="1"/>
              <w:bottom w:val="single" w:color="CCCCCC" w:sz="1"/>
              <w:right w:val="single" w:color="CCCCCC" w:sz="1"/>
            </w:tcBorders>
            <w:shd w:fill="0E463A" w:val="clear"/>
            <w:tcMar>
              <w:top w:type="dxa" w:w="70"/>
              <w:left w:type="dxa" w:w="110"/>
              <w:bottom w:type="dxa" w:w="70"/>
              <w:right w:type="dxa" w:w="110"/>
            </w:tcMar>
          </w:tcPr>
          <w:p>
            <w:r>
              <w:rPr>
                <w:b/>
                <w:bCs/>
                <w:color w:val="FFFFFF"/>
                <w:sz w:val="19"/>
                <w:szCs w:val="19"/>
              </w:rPr>
              <w:t xml:space="preserve">Program</w:t>
            </w:r>
          </w:p>
        </w:tc>
        <w:tc>
          <w:tcPr>
            <w:tcW w:type="dxa" w:w="1500"/>
            <w:tcBorders>
              <w:top w:val="single" w:color="CCCCCC" w:sz="1"/>
              <w:left w:val="single" w:color="CCCCCC" w:sz="1"/>
              <w:bottom w:val="single" w:color="CCCCCC" w:sz="1"/>
              <w:right w:val="single" w:color="CCCCCC" w:sz="1"/>
            </w:tcBorders>
            <w:shd w:fill="0E463A" w:val="clear"/>
            <w:tcMar>
              <w:top w:type="dxa" w:w="70"/>
              <w:left w:type="dxa" w:w="110"/>
              <w:bottom w:type="dxa" w:w="70"/>
              <w:right w:type="dxa" w:w="110"/>
            </w:tcMar>
          </w:tcPr>
          <w:p>
            <w:r>
              <w:rPr>
                <w:b/>
                <w:bCs/>
                <w:color w:val="FFFFFF"/>
                <w:sz w:val="19"/>
                <w:szCs w:val="19"/>
              </w:rPr>
              <w:t xml:space="preserve">Max funding</w:t>
            </w:r>
          </w:p>
        </w:tc>
        <w:tc>
          <w:tcPr>
            <w:tcW w:type="dxa" w:w="1500"/>
            <w:tcBorders>
              <w:top w:val="single" w:color="CCCCCC" w:sz="1"/>
              <w:left w:val="single" w:color="CCCCCC" w:sz="1"/>
              <w:bottom w:val="single" w:color="CCCCCC" w:sz="1"/>
              <w:right w:val="single" w:color="CCCCCC" w:sz="1"/>
            </w:tcBorders>
            <w:shd w:fill="0E463A" w:val="clear"/>
            <w:tcMar>
              <w:top w:type="dxa" w:w="70"/>
              <w:left w:type="dxa" w:w="110"/>
              <w:bottom w:type="dxa" w:w="70"/>
              <w:right w:type="dxa" w:w="110"/>
            </w:tcMar>
          </w:tcPr>
          <w:p>
            <w:r>
              <w:rPr>
                <w:b/>
                <w:bCs/>
                <w:color w:val="FFFFFF"/>
                <w:sz w:val="19"/>
                <w:szCs w:val="19"/>
              </w:rPr>
              <w:t xml:space="preserve">Cost-share</w:t>
            </w:r>
          </w:p>
        </w:tc>
        <w:tc>
          <w:tcPr>
            <w:tcW w:type="dxa" w:w="2560"/>
            <w:tcBorders>
              <w:top w:val="single" w:color="CCCCCC" w:sz="1"/>
              <w:left w:val="single" w:color="CCCCCC" w:sz="1"/>
              <w:bottom w:val="single" w:color="CCCCCC" w:sz="1"/>
              <w:right w:val="single" w:color="CCCCCC" w:sz="1"/>
            </w:tcBorders>
            <w:shd w:fill="0E463A" w:val="clear"/>
            <w:tcMar>
              <w:top w:type="dxa" w:w="70"/>
              <w:left w:type="dxa" w:w="110"/>
              <w:bottom w:type="dxa" w:w="70"/>
              <w:right w:type="dxa" w:w="110"/>
            </w:tcMar>
          </w:tcPr>
          <w:p>
            <w:r>
              <w:rPr>
                <w:b/>
                <w:bCs/>
                <w:color w:val="FFFFFF"/>
                <w:sz w:val="19"/>
                <w:szCs w:val="19"/>
              </w:rPr>
              <w:t xml:space="preserve">Best fit for Starman</w:t>
            </w:r>
          </w:p>
        </w:tc>
        <w:tc>
          <w:tcPr>
            <w:tcW w:type="dxa" w:w="1200"/>
            <w:tcBorders>
              <w:top w:val="single" w:color="CCCCCC" w:sz="1"/>
              <w:left w:val="single" w:color="CCCCCC" w:sz="1"/>
              <w:bottom w:val="single" w:color="CCCCCC" w:sz="1"/>
              <w:right w:val="single" w:color="CCCCCC" w:sz="1"/>
            </w:tcBorders>
            <w:shd w:fill="0E463A" w:val="clear"/>
            <w:tcMar>
              <w:top w:type="dxa" w:w="70"/>
              <w:left w:type="dxa" w:w="110"/>
              <w:bottom w:type="dxa" w:w="70"/>
              <w:right w:type="dxa" w:w="110"/>
            </w:tcMar>
          </w:tcPr>
          <w:p>
            <w:r>
              <w:rPr>
                <w:b/>
                <w:bCs/>
                <w:color w:val="FFFFFF"/>
                <w:sz w:val="19"/>
                <w:szCs w:val="19"/>
              </w:rPr>
              <w:t xml:space="preserve">Intake</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Alberta Digital Traction</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9"/>
                <w:szCs w:val="19"/>
              </w:rPr>
              <w:t xml:space="preserve">$50,000</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9"/>
                <w:szCs w:val="19"/>
              </w:rPr>
              <w:t xml:space="preserve">25% cash</w:t>
            </w:r>
          </w:p>
        </w:tc>
        <w:tc>
          <w:tcPr>
            <w:tcW w:type="dxa" w:w="2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9"/>
                <w:szCs w:val="19"/>
              </w:rPr>
              <w:t xml:space="preserve">MVP → market traction &amp; commercialization</w:t>
            </w:r>
          </w:p>
        </w:tc>
        <w:tc>
          <w:tcPr>
            <w:tcW w:type="dxa" w:w="1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9"/>
                <w:szCs w:val="19"/>
              </w:rPr>
              <w:t xml:space="preserve">Continuous (open)</w:t>
            </w:r>
          </w:p>
        </w:tc>
      </w:tr>
      <w:tr>
        <w:tc>
          <w:tcPr>
            <w:tcW w:type="dxa" w:w="260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bCs/>
                <w:sz w:val="19"/>
                <w:szCs w:val="19"/>
              </w:rPr>
              <w:t xml:space="preserve">AI Micro Voucher</w:t>
            </w:r>
          </w:p>
        </w:tc>
        <w:tc>
          <w:tcPr>
            <w:tcW w:type="dxa" w:w="150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val="false"/>
                <w:bCs w:val="false"/>
                <w:sz w:val="19"/>
                <w:szCs w:val="19"/>
              </w:rPr>
              <w:t xml:space="preserve">$10,000</w:t>
            </w:r>
          </w:p>
        </w:tc>
        <w:tc>
          <w:tcPr>
            <w:tcW w:type="dxa" w:w="150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val="false"/>
                <w:bCs w:val="false"/>
                <w:sz w:val="19"/>
                <w:szCs w:val="19"/>
              </w:rPr>
              <w:t xml:space="preserve">25% cash (75% funded)</w:t>
            </w:r>
          </w:p>
        </w:tc>
        <w:tc>
          <w:tcPr>
            <w:tcW w:type="dxa" w:w="256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val="false"/>
                <w:bCs w:val="false"/>
                <w:sz w:val="19"/>
                <w:szCs w:val="19"/>
              </w:rPr>
              <w:t xml:space="preserve">Early validation, security review, technical services</w:t>
            </w:r>
          </w:p>
        </w:tc>
        <w:tc>
          <w:tcPr>
            <w:tcW w:type="dxa" w:w="120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val="false"/>
                <w:bCs w:val="false"/>
                <w:sz w:val="19"/>
                <w:szCs w:val="19"/>
              </w:rPr>
              <w:t xml:space="preserve">Continuous</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AI Voucher</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9"/>
                <w:szCs w:val="19"/>
              </w:rPr>
              <w:t xml:space="preserve">$100,000</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9"/>
                <w:szCs w:val="19"/>
              </w:rPr>
              <w:t xml:space="preserve">Matched</w:t>
            </w:r>
          </w:p>
        </w:tc>
        <w:tc>
          <w:tcPr>
            <w:tcW w:type="dxa" w:w="2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9"/>
                <w:szCs w:val="19"/>
              </w:rPr>
              <w:t xml:space="preserve">Product development &amp; commercialization</w:t>
            </w:r>
          </w:p>
        </w:tc>
        <w:tc>
          <w:tcPr>
            <w:tcW w:type="dxa" w:w="1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9"/>
                <w:szCs w:val="19"/>
              </w:rPr>
              <w:t xml:space="preserve">Continuous</w:t>
            </w:r>
          </w:p>
        </w:tc>
      </w:tr>
      <w:tr>
        <w:tc>
          <w:tcPr>
            <w:tcW w:type="dxa" w:w="260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bCs/>
                <w:sz w:val="19"/>
                <w:szCs w:val="19"/>
              </w:rPr>
              <w:t xml:space="preserve">AI Product Demonstration</w:t>
            </w:r>
          </w:p>
        </w:tc>
        <w:tc>
          <w:tcPr>
            <w:tcW w:type="dxa" w:w="150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val="false"/>
                <w:bCs w:val="false"/>
                <w:sz w:val="19"/>
                <w:szCs w:val="19"/>
              </w:rPr>
              <w:t xml:space="preserve">$150,000</w:t>
            </w:r>
          </w:p>
        </w:tc>
        <w:tc>
          <w:tcPr>
            <w:tcW w:type="dxa" w:w="150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val="false"/>
                <w:bCs w:val="false"/>
                <w:sz w:val="19"/>
                <w:szCs w:val="19"/>
              </w:rPr>
              <w:t xml:space="preserve">Matched</w:t>
            </w:r>
          </w:p>
        </w:tc>
        <w:tc>
          <w:tcPr>
            <w:tcW w:type="dxa" w:w="256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val="false"/>
                <w:bCs w:val="false"/>
                <w:sz w:val="19"/>
                <w:szCs w:val="19"/>
              </w:rPr>
              <w:t xml:space="preserve">Pilot / demonstration with a first customer</w:t>
            </w:r>
          </w:p>
        </w:tc>
        <w:tc>
          <w:tcPr>
            <w:tcW w:type="dxa" w:w="120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val="false"/>
                <w:bCs w:val="false"/>
                <w:sz w:val="19"/>
                <w:szCs w:val="19"/>
              </w:rPr>
              <w:t xml:space="preserve">Periodic</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Industry R&amp;D Associates</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9"/>
                <w:szCs w:val="19"/>
              </w:rPr>
              <w:t xml:space="preserve">$105,000</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9"/>
                <w:szCs w:val="19"/>
              </w:rPr>
              <w:t xml:space="preserve">Matched</w:t>
            </w:r>
          </w:p>
        </w:tc>
        <w:tc>
          <w:tcPr>
            <w:tcW w:type="dxa" w:w="2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9"/>
                <w:szCs w:val="19"/>
              </w:rPr>
              <w:t xml:space="preserve">Fund an in-house Alberta R&amp;D hire</w:t>
            </w:r>
          </w:p>
        </w:tc>
        <w:tc>
          <w:tcPr>
            <w:tcW w:type="dxa" w:w="1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9"/>
                <w:szCs w:val="19"/>
              </w:rPr>
              <w:t xml:space="preserve">Periodic</w:t>
            </w:r>
          </w:p>
        </w:tc>
      </w:tr>
      <w:tr>
        <w:tc>
          <w:tcPr>
            <w:tcW w:type="dxa" w:w="260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bCs/>
                <w:sz w:val="19"/>
                <w:szCs w:val="19"/>
              </w:rPr>
              <w:t xml:space="preserve">NRC IRAP</w:t>
            </w:r>
          </w:p>
        </w:tc>
        <w:tc>
          <w:tcPr>
            <w:tcW w:type="dxa" w:w="150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val="false"/>
                <w:bCs w:val="false"/>
                <w:sz w:val="19"/>
                <w:szCs w:val="19"/>
              </w:rPr>
              <w:t xml:space="preserve">Varies</w:t>
            </w:r>
          </w:p>
        </w:tc>
        <w:tc>
          <w:tcPr>
            <w:tcW w:type="dxa" w:w="150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val="false"/>
                <w:bCs w:val="false"/>
                <w:sz w:val="19"/>
                <w:szCs w:val="19"/>
              </w:rPr>
              <w:t xml:space="preserve">Cost-share</w:t>
            </w:r>
          </w:p>
        </w:tc>
        <w:tc>
          <w:tcPr>
            <w:tcW w:type="dxa" w:w="256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val="false"/>
                <w:bCs w:val="false"/>
                <w:sz w:val="19"/>
                <w:szCs w:val="19"/>
              </w:rPr>
              <w:t xml:space="preserve">Innovative R&amp;D + technical / advisory support</w:t>
            </w:r>
          </w:p>
        </w:tc>
        <w:tc>
          <w:tcPr>
            <w:tcW w:type="dxa" w:w="120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val="false"/>
                <w:bCs w:val="false"/>
                <w:sz w:val="19"/>
                <w:szCs w:val="19"/>
              </w:rPr>
              <w:t xml:space="preserve">Advisor-led</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SR&amp;ED (federal)</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9"/>
                <w:szCs w:val="19"/>
              </w:rPr>
              <w:t xml:space="preserve">35% refundable ITC (CCPC)</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9"/>
                <w:szCs w:val="19"/>
              </w:rPr>
              <w:t xml:space="preserve">Tax credit</w:t>
            </w:r>
          </w:p>
        </w:tc>
        <w:tc>
          <w:tcPr>
            <w:tcW w:type="dxa" w:w="2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9"/>
                <w:szCs w:val="19"/>
              </w:rPr>
              <w:t xml:space="preserve">Eligible experimental development</w:t>
            </w:r>
          </w:p>
        </w:tc>
        <w:tc>
          <w:tcPr>
            <w:tcW w:type="dxa" w:w="1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9"/>
                <w:szCs w:val="19"/>
              </w:rPr>
              <w:t xml:space="preserve">Annual (with tax)</w:t>
            </w:r>
          </w:p>
        </w:tc>
      </w:tr>
      <w:tr>
        <w:tc>
          <w:tcPr>
            <w:tcW w:type="dxa" w:w="260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bCs/>
                <w:sz w:val="19"/>
                <w:szCs w:val="19"/>
              </w:rPr>
              <w:t xml:space="preserve">Alberta IEG</w:t>
            </w:r>
          </w:p>
        </w:tc>
        <w:tc>
          <w:tcPr>
            <w:tcW w:type="dxa" w:w="150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val="false"/>
                <w:bCs w:val="false"/>
                <w:sz w:val="19"/>
                <w:szCs w:val="19"/>
              </w:rPr>
              <w:t xml:space="preserve">8% → 20% on ≤ $4M R&amp;D</w:t>
            </w:r>
          </w:p>
        </w:tc>
        <w:tc>
          <w:tcPr>
            <w:tcW w:type="dxa" w:w="150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val="false"/>
                <w:bCs w:val="false"/>
                <w:sz w:val="19"/>
                <w:szCs w:val="19"/>
              </w:rPr>
              <w:t xml:space="preserve">Tax credit</w:t>
            </w:r>
          </w:p>
        </w:tc>
        <w:tc>
          <w:tcPr>
            <w:tcW w:type="dxa" w:w="256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val="false"/>
                <w:bCs w:val="false"/>
                <w:sz w:val="19"/>
                <w:szCs w:val="19"/>
              </w:rPr>
              <w:t xml:space="preserve">Alberta R&amp;D (stacks on SR&amp;ED)</w:t>
            </w:r>
          </w:p>
        </w:tc>
        <w:tc>
          <w:tcPr>
            <w:tcW w:type="dxa" w:w="120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val="false"/>
                <w:bCs w:val="false"/>
                <w:sz w:val="19"/>
                <w:szCs w:val="19"/>
              </w:rPr>
              <w:t xml:space="preserve">Annual (with tax)</w:t>
            </w:r>
          </w:p>
        </w:tc>
      </w:tr>
    </w:tbl>
    <w:p>
      <w:pPr>
        <w:spacing w:after="120"/>
      </w:pPr>
      <w:r>
        <w:rPr>
          <w:i/>
          <w:iCs/>
          <w:color w:val="666666"/>
          <w:sz w:val="18"/>
          <w:szCs w:val="18"/>
        </w:rPr>
        <w:t xml:space="preserve">Note: the Micro Voucher and Voucher programs typically require engaging an eligible service / knowledge provider (a post-secondary institution or an approved Alberta / Canadian SME service provider) for the funded work — confirm the current approved-provider requirement with your advisor.</w:t>
      </w:r>
    </w:p>
    <w:p>
      <w:pPr>
        <w:pStyle w:val="Heading1"/>
        <w:pageBreakBefore/>
      </w:pPr>
      <w:r>
        <w:t xml:space="preserve">1 · One-Page Project Summary</w:t>
      </w:r>
    </w:p>
    <w:p>
      <w:pPr>
        <w:spacing w:after="120"/>
      </w:pPr>
      <w:r>
        <w:rPr>
          <w:b/>
          <w:bCs/>
        </w:rPr>
        <w:t xml:space="preserve">Product: </w:t>
      </w:r>
      <w:r>
        <w:t xml:space="preserve">Starman — Aspire Investments. An Alberta-built, AI-powered client-intelligence CRM designed specifically for independent Canadian financial advisory practices operating in a CIRO-regulated environment.</w:t>
      </w:r>
    </w:p>
    <w:p>
      <w:pPr>
        <w:spacing w:after="120"/>
      </w:pPr>
      <w:r>
        <w:rPr>
          <w:b/>
          <w:bCs/>
        </w:rPr>
        <w:t xml:space="preserve">Problem: </w:t>
      </w:r>
      <w:r>
        <w:t xml:space="preserve">Independent advisory firms run their practice across disconnected tools — a generic CRM, spreadsheets, planning software, and manual compliance tracking. Off-the-shelf CRMs are built for US sales teams, not Canadian financial-services workflow: they do not track KYC / suitability and annual-review obligations, do not embed Canadian financial-planning context, and offer no Canadian data-residency controls. Manual note-to-task handoffs and review tracking create compliance risk and consume advisor time that should be spent with clients.</w:t>
      </w:r>
    </w:p>
    <w:p>
      <w:pPr>
        <w:spacing w:after="120"/>
      </w:pPr>
      <w:r>
        <w:rPr>
          <w:b/>
          <w:bCs/>
        </w:rPr>
        <w:t xml:space="preserve">Solution: </w:t>
      </w:r>
      <w:r>
        <w:t xml:space="preserve">Starman unifies client and household management, pipeline, tasks, compliance and KYC / review tracking, financial-planning context (1,000-path Monte Carlo, RRIF minimum schedules, Alberta tax estimates), a secure document vault, and an advisor AI assistant with meeting intelligence — purpose-built for Canadian financial-services workflow, with Canadian data-residency controls and audit-friendly, source-grounded AI outputs.</w:t>
      </w:r>
    </w:p>
    <w:p>
      <w:pPr>
        <w:spacing w:after="120"/>
      </w:pPr>
      <w:r>
        <w:rPr>
          <w:b/>
          <w:bCs/>
        </w:rPr>
        <w:t xml:space="preserve">Target market: </w:t>
      </w:r>
      <w:r>
        <w:t xml:space="preserve">Independent Canadian financial advisory firms and CIRO-regulated advisory practices, initially in Alberta and Western Canada, expanding nationally. Canada has tens of thousands of licensed advisors; the beachhead is small-to-mid independent practices under-served by US-centric tools.</w:t>
      </w:r>
    </w:p>
    <w:p>
      <w:pPr>
        <w:spacing w:after="120"/>
      </w:pPr>
      <w:r>
        <w:rPr>
          <w:b/>
          <w:bCs/>
        </w:rPr>
        <w:t xml:space="preserve">Innovation: </w:t>
      </w:r>
      <w:r>
        <w:t xml:space="preserve">The fundable innovation is the AI / compliance / client-intelligence layer — not the basic CRM screens: secure retrieval-augmented generation (RAG) over sensitive client records, Canadian-resident / local-model inference, AI meeting intelligence that converts notes into tasks and compliance prompts, an explainable financial-planning context engine, source-grounded and hallucination-reduced AI responses, and an audit trail with source citation for regulated environments.</w:t>
      </w:r>
    </w:p>
    <w:p>
      <w:pPr>
        <w:spacing w:after="120"/>
      </w:pPr>
      <w:r>
        <w:rPr>
          <w:b/>
          <w:bCs/>
        </w:rPr>
        <w:t xml:space="preserve">Competitive advantage: </w:t>
      </w:r>
      <w:r>
        <w:t xml:space="preserve">Canadian financial-services focus, compliance-first workflow, Canadian data residency, AI meeting intelligence, planning context inside the CRM, a secure client data vault, and advisor-specific productivity — none of which generic CRMs or US-centric advisor tools deliver together.</w:t>
      </w:r>
    </w:p>
    <w:p>
      <w:pPr>
        <w:spacing w:after="120"/>
      </w:pPr>
      <w:r>
        <w:rPr>
          <w:b/>
          <w:bCs/>
        </w:rPr>
        <w:t xml:space="preserve">Current stage: </w:t>
      </w:r>
      <w:r>
        <w:t xml:space="preserve">Working minimum viable product (MVP). A functional prototype demonstrates every module — Command Centre, Client Management, Financial Planning (Monte Carlo, RRIF, tax), Compliance &amp; Supervision, Meeting Intelligence, Data Vault, and Data Residency — on demonstration data. Aspire Investments serves as the first pilot firm.</w:t>
      </w:r>
    </w:p>
    <w:p>
      <w:pPr>
        <w:spacing w:after="120"/>
      </w:pPr>
      <w:r>
        <w:rPr>
          <w:b/>
          <w:bCs/>
        </w:rPr>
        <w:t xml:space="preserve">Funding ask: </w:t>
      </w:r>
      <w:r>
        <w:t xml:space="preserve">A phased, non-dilutive path: an AI Micro Voucher (~$10,000) for security / data-residency review and market validation; the Alberta Digital Traction Program (~$50,000) for commercialization traction; and an AI Voucher (~$100,000) for productization and multi-firm piloting — complemented by SR&amp;ED and the Alberta Innovation Employment Grant on eligible R&amp;D.</w:t>
      </w:r>
    </w:p>
    <w:p>
      <w:pPr>
        <w:spacing w:after="120"/>
      </w:pPr>
      <w:r>
        <w:rPr>
          <w:b/>
          <w:bCs/>
        </w:rPr>
        <w:t xml:space="preserve">Expected outcomes: </w:t>
      </w:r>
      <w:r>
        <w:t xml:space="preserve">A hardened, multi-tenant, Canadian-resident product; an independent security and data-residency assessment; 3–5 pilot advisory firms; validated pricing; new Alberta software / R&amp;D employment; and a defensible, commercializable Alberta technology product positioned to license to independent advisory firms across Canada.</w:t>
      </w:r>
    </w:p>
    <w:p>
      <w:pPr>
        <w:pStyle w:val="Heading1"/>
      </w:pPr>
      <w:r>
        <w:t xml:space="preserve">2 · Grant-Ready Project Description</w:t>
      </w:r>
    </w:p>
    <w:p>
      <w:pPr>
        <w:spacing w:after="120"/>
      </w:pPr>
      <w:r>
        <w:t xml:space="preserve">Starman is an Alberta-built software initiative to commercialize an AI-powered client-intelligence CRM for independent Canadian financial advisory firms. The project develops a scalable, multi-tenant platform whose core technical differentiation is a secure, source-grounded artificial-intelligence layer operating over sensitive financial client records within Canadian data-residency constraints. Where a conventional CRM stores contacts and activities, Starman is designed to interpret a practice’s live client data — surfacing compliance obligations, planning context, and next-best actions — while keeping every AI output reviewable, documented, and audit-friendly for a regulated financial-services environment.</w:t>
      </w:r>
    </w:p>
    <w:p>
      <w:pPr>
        <w:spacing w:after="120"/>
      </w:pPr>
      <w:r>
        <w:t xml:space="preserve">The technical work at the centre of this project is genuinely challenging and commercially valuable. It includes retrieval-augmented generation over permissioned client documents (so the assistant answers only from the firm’s own records rather than inventing information), meeting intelligence that converts advisor notes and transcripts into structured tasks and compliance prompts, and an explainable planning-context engine that reconciles deterministic Canadian financial mathematics (Monte Carlo retirement projections, RRIF minimum schedules, and provincial tax estimates) with natural-language explanation. A key constraint — and a key innovation — is deploying capable AI inference in a Canadian-resident or on-device configuration so that no client data leaves the country, addressing PIPEDA, Québec Law 25, and CIRO supervisory expectations that US-centric competitors do not meet.</w:t>
      </w:r>
    </w:p>
    <w:p>
      <w:pPr>
        <w:spacing w:after="120"/>
      </w:pPr>
      <w:r>
        <w:t xml:space="preserve">The project advances Alberta’s technology sector by building software development, AI / RAG architecture, and cybersecurity capability in-province, creating skilled employment, and commercializing a product that Alberta and Canadian advisory firms can adopt. Aspire Investments provides a real-world pilot environment to validate the workflow, while the product is architected from the outset for licensing to other independent advisory practices — the commercialization outcome the program funding is intended to accelerate. The requested support funds the productization, independent security and data-residency review, compliance-workflow validation, and pilot activities required to move Starman from a demonstrated MVP to a market-ready, scalable Alberta software product.</w:t>
      </w:r>
    </w:p>
    <w:p>
      <w:pPr>
        <w:pStyle w:val="Heading1"/>
      </w:pPr>
      <w:r>
        <w:t xml:space="preserve">3 · Alberta Digital Traction Positioning</w:t>
      </w:r>
    </w:p>
    <w:p>
      <w:pPr>
        <w:pStyle w:val="Heading2"/>
      </w:pPr>
      <w:r>
        <w:t xml:space="preserve">Why Starman fits</w:t>
      </w:r>
    </w:p>
    <w:p>
      <w:pPr>
        <w:spacing w:after="120"/>
      </w:pPr>
      <w:r>
        <w:t xml:space="preserve">The Alberta Digital Traction Program funds Alberta digital-technology companies that rely on software development as core to their product and intend to rapidly scale within one to two years. Starman is exactly this: a software product whose value is the code and AI architecture, with a demonstrated MVP, a clear competitive advantage over generic CRMs, and a defined commercialization path to independent advisory firms. The funding’s purpose — attaining market traction — matches Starman’s current need to convert a working prototype into paying pilots.</w:t>
      </w:r>
    </w:p>
    <w:p>
      <w:pPr>
        <w:pStyle w:val="Heading2"/>
      </w:pPr>
      <w:r>
        <w:t xml:space="preserve">Eligibility evidence (from the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0E463A" w:val="clear"/>
            <w:tcMar>
              <w:top w:type="dxa" w:w="70"/>
              <w:left w:type="dxa" w:w="110"/>
              <w:bottom w:type="dxa" w:w="70"/>
              <w:right w:type="dxa" w:w="110"/>
            </w:tcMar>
          </w:tcPr>
          <w:p>
            <w:r>
              <w:rPr>
                <w:b/>
                <w:bCs/>
                <w:color w:val="FFFFFF"/>
                <w:sz w:val="19"/>
                <w:szCs w:val="19"/>
              </w:rPr>
              <w:t xml:space="preserve">Requirement</w:t>
            </w:r>
          </w:p>
        </w:tc>
        <w:tc>
          <w:tcPr>
            <w:tcW w:type="dxa" w:w="5960"/>
            <w:tcBorders>
              <w:top w:val="single" w:color="CCCCCC" w:sz="1"/>
              <w:left w:val="single" w:color="CCCCCC" w:sz="1"/>
              <w:bottom w:val="single" w:color="CCCCCC" w:sz="1"/>
              <w:right w:val="single" w:color="CCCCCC" w:sz="1"/>
            </w:tcBorders>
            <w:shd w:fill="0E463A" w:val="clear"/>
            <w:tcMar>
              <w:top w:type="dxa" w:w="70"/>
              <w:left w:type="dxa" w:w="110"/>
              <w:bottom w:type="dxa" w:w="70"/>
              <w:right w:type="dxa" w:w="110"/>
            </w:tcMar>
          </w:tcPr>
          <w:p>
            <w:r>
              <w:rPr>
                <w:b/>
                <w:bCs/>
                <w:color w:val="FFFFFF"/>
                <w:sz w:val="19"/>
                <w:szCs w:val="19"/>
              </w:rPr>
              <w:t xml:space="preserve">Evidence</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Software development at the core</w:t>
            </w:r>
          </w:p>
        </w:tc>
        <w:tc>
          <w:tcPr>
            <w:tcW w:type="dxa" w:w="5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9"/>
                <w:szCs w:val="19"/>
              </w:rPr>
              <w:t xml:space="preserve">Entire product is software; the differentiator is the AI / compliance / data-residency architecture.</w:t>
            </w:r>
          </w:p>
        </w:tc>
      </w:tr>
      <w:tr>
        <w:tc>
          <w:tcPr>
            <w:tcW w:type="dxa" w:w="340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bCs/>
                <w:sz w:val="19"/>
                <w:szCs w:val="19"/>
              </w:rPr>
              <w:t xml:space="preserve">Minimum viable product to test</w:t>
            </w:r>
          </w:p>
        </w:tc>
        <w:tc>
          <w:tcPr>
            <w:tcW w:type="dxa" w:w="596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val="false"/>
                <w:bCs w:val="false"/>
                <w:sz w:val="19"/>
                <w:szCs w:val="19"/>
              </w:rPr>
              <w:t xml:space="preserve">Functional MVP demonstrating Command Centre, Client Management, Financial Planning (Monte Carlo, RRIF, tax), Compliance &amp; Supervision, Meeting Intelligence, Data Vault, and Data Residency.</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Significant competitive advantage</w:t>
            </w:r>
          </w:p>
        </w:tc>
        <w:tc>
          <w:tcPr>
            <w:tcW w:type="dxa" w:w="5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9"/>
                <w:szCs w:val="19"/>
              </w:rPr>
              <w:t xml:space="preserve">Canadian financial-services workflow, compliance-first design, Canadian data residency, and grounded AI meeting intelligence — not offered together by generic or US-centric tools.</w:t>
            </w:r>
          </w:p>
        </w:tc>
      </w:tr>
      <w:tr>
        <w:tc>
          <w:tcPr>
            <w:tcW w:type="dxa" w:w="340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bCs/>
                <w:sz w:val="19"/>
                <w:szCs w:val="19"/>
              </w:rPr>
              <w:t xml:space="preserve">Intent to scale in 1–2 years</w:t>
            </w:r>
          </w:p>
        </w:tc>
        <w:tc>
          <w:tcPr>
            <w:tcW w:type="dxa" w:w="596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val="false"/>
                <w:bCs w:val="false"/>
                <w:sz w:val="19"/>
                <w:szCs w:val="19"/>
              </w:rPr>
              <w:t xml:space="preserve">Architected for multi-tenant licensing to independent advisory firms across Alberta and Canada.</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Fewer than 50 employees</w:t>
            </w:r>
          </w:p>
        </w:tc>
        <w:tc>
          <w:tcPr>
            <w:tcW w:type="dxa" w:w="5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9"/>
                <w:szCs w:val="19"/>
              </w:rPr>
              <w:t xml:space="preserve">Early-stage; well under the threshold.</w:t>
            </w:r>
          </w:p>
        </w:tc>
      </w:tr>
      <w:tr>
        <w:tc>
          <w:tcPr>
            <w:tcW w:type="dxa" w:w="340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bCs/>
                <w:sz w:val="19"/>
                <w:szCs w:val="19"/>
              </w:rPr>
              <w:t xml:space="preserve">Less than $1M annual recurring revenue</w:t>
            </w:r>
          </w:p>
        </w:tc>
        <w:tc>
          <w:tcPr>
            <w:tcW w:type="dxa" w:w="596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val="false"/>
                <w:bCs w:val="false"/>
                <w:sz w:val="19"/>
                <w:szCs w:val="19"/>
              </w:rPr>
              <w:t xml:space="preserve">Pre-revenue / pilot stage.</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Alberta for-profit entity with Alberta footprint</w:t>
            </w:r>
          </w:p>
        </w:tc>
        <w:tc>
          <w:tcPr>
            <w:tcW w:type="dxa" w:w="5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9"/>
                <w:szCs w:val="19"/>
              </w:rPr>
              <w:t xml:space="preserve">Aspire Investments is Alberta-based; confirm the applicant is (or a spun-out Alberta software corporation is) a registered Alberta for-profit with significant operations in Alberta.</w:t>
            </w:r>
          </w:p>
        </w:tc>
      </w:tr>
    </w:tbl>
    <w:p>
      <w:pPr>
        <w:pStyle w:val="Heading2"/>
      </w:pPr>
      <w:r>
        <w:t xml:space="preserve">Gaps to close before applying</w:t>
      </w:r>
    </w:p>
    <w:p>
      <w:pPr>
        <w:pStyle w:val="ListParagraph"/>
        <w:numPr>
          <w:ilvl w:val="0"/>
          <w:numId w:val="2"/>
        </w:numPr>
        <w:spacing w:after="40"/>
      </w:pPr>
      <w:r>
        <w:t xml:space="preserve">Confirm the applicant entity is a registered Alberta for-profit corporation with an Alberta footprint (consider a dedicated Alberta software corporation — see Section 9).</w:t>
      </w:r>
    </w:p>
    <w:p>
      <w:pPr>
        <w:pStyle w:val="ListParagraph"/>
        <w:numPr>
          <w:ilvl w:val="0"/>
          <w:numId w:val="2"/>
        </w:numPr>
        <w:spacing w:after="40"/>
      </w:pPr>
      <w:r>
        <w:t xml:space="preserve">Secure the minimum 25% cash contribution toward total project costs and document its source.</w:t>
      </w:r>
    </w:p>
    <w:p>
      <w:pPr>
        <w:pStyle w:val="ListParagraph"/>
        <w:numPr>
          <w:ilvl w:val="0"/>
          <w:numId w:val="2"/>
        </w:numPr>
        <w:spacing w:after="40"/>
      </w:pPr>
      <w:r>
        <w:t xml:space="preserve">Prepare concise market-validation evidence: 8–10 advisor / firm discovery interviews and expressions of interest.</w:t>
      </w:r>
    </w:p>
    <w:p>
      <w:pPr>
        <w:pStyle w:val="ListParagraph"/>
        <w:numPr>
          <w:ilvl w:val="0"/>
          <w:numId w:val="2"/>
        </w:numPr>
        <w:spacing w:after="40"/>
      </w:pPr>
      <w:r>
        <w:t xml:space="preserve">Package the competitive-advantage and commercialization narrative (Sections 6–7) and a demo using demonstration data only — no real client data.</w:t>
      </w:r>
    </w:p>
    <w:p>
      <w:pPr>
        <w:pStyle w:val="ListParagraph"/>
        <w:numPr>
          <w:ilvl w:val="0"/>
          <w:numId w:val="2"/>
        </w:numPr>
        <w:spacing w:after="40"/>
      </w:pPr>
      <w:r>
        <w:t xml:space="preserve">Have an independent security / data-residency review underway or scoped (fits the Micro Voucher below).</w:t>
      </w:r>
    </w:p>
    <w:p>
      <w:pPr>
        <w:pStyle w:val="Heading1"/>
      </w:pPr>
      <w:r>
        <w:t xml:space="preserve">4 · Micro Voucher / Voucher Use Cases</w:t>
      </w:r>
    </w:p>
    <w:p>
      <w:pPr>
        <w:pStyle w:val="Heading2"/>
      </w:pPr>
      <w:r>
        <w:t xml:space="preserve">$10,000 — AI Micro Voucher (early validation &amp; security)</w:t>
      </w:r>
    </w:p>
    <w:p>
      <w:pPr>
        <w:spacing w:after="120"/>
      </w:pPr>
      <w:r>
        <w:t xml:space="preserve">Best used for de-risking and validation before a larger application: an independent security and Canadian data-residency assessment, an AI grounding / accuracy (hallucination-reduction) test harness, structured advisor market validation, and compliance-workflow testing — delivered with an eligible service provider and documented in a findings report.</w:t>
      </w:r>
    </w:p>
    <w:p>
      <w:pPr>
        <w:pStyle w:val="Heading2"/>
      </w:pPr>
      <w:r>
        <w:t xml:space="preserve">$50,000 — Digital Traction (commercialization traction)</w:t>
      </w:r>
    </w:p>
    <w:p>
      <w:pPr>
        <w:spacing w:after="120"/>
      </w:pPr>
      <w:r>
        <w:t xml:space="preserve">Best used to convert the MVP into pilot-ready software and win first customers: Canadian software development (multi-tenant hardening, authentication, backend), AI / RAG architecture, a cybersecurity and data-residency implementation review, UX / product design, market validation, a pilot implementation with Aspire, and a product demo / video plus documentation.</w:t>
      </w:r>
    </w:p>
    <w:p>
      <w:pPr>
        <w:pStyle w:val="Heading2"/>
      </w:pPr>
      <w:r>
        <w:t xml:space="preserve">$100,000 — AI Voucher (productization &amp; pilot)</w:t>
      </w:r>
    </w:p>
    <w:p>
      <w:pPr>
        <w:spacing w:after="120"/>
      </w:pPr>
      <w:r>
        <w:t xml:space="preserve">Best used to build a market-ready product and run multi-firm pilots: a production, multi-tenant build; the secure AI / RAG and meeting-intelligence engine; penetration testing and data-residency certification preparation; a compliance-workflow engine (KYC / suitability / CRM2 / review automation); a product design system; pilot implementation across 3–5 firms with advisor interviews; and commercialization materials. Eligible-style expenses are broken out in Section 5.</w:t>
      </w:r>
    </w:p>
    <w:p>
      <w:pPr>
        <w:pStyle w:val="Heading1"/>
        <w:pageBreakBefore/>
      </w:pPr>
      <w:r>
        <w:t xml:space="preserve">5 · Budget Scenarios</w:t>
      </w:r>
    </w:p>
    <w:p>
      <w:pPr>
        <w:spacing w:after="120"/>
      </w:pPr>
      <w:r>
        <w:rPr>
          <w:i/>
          <w:iCs/>
          <w:color w:val="666666"/>
          <w:sz w:val="18"/>
          <w:szCs w:val="18"/>
        </w:rPr>
        <w:t xml:space="preserve">Figures are planning estimates in CAD, structured to reflect eligible-style expense categories. Grant programs fund a share of total eligible project cost and require a cash contribution (Micro Voucher and Digital Traction: minimum 25% cash). Confirm eligible expenses, applicant-vs-provider labour rules, and match requirements with your advisor.</w:t>
      </w:r>
    </w:p>
    <w:p>
      <w:pPr>
        <w:pStyle w:val="Heading2"/>
      </w:pPr>
      <w:r>
        <w:t xml:space="preserve">Scenario A — $10,000 Micro Voucher-style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CCCCCC" w:sz="1"/>
              <w:left w:val="single" w:color="CCCCCC" w:sz="1"/>
              <w:bottom w:val="single" w:color="CCCCCC" w:sz="1"/>
              <w:right w:val="single" w:color="CCCCCC" w:sz="1"/>
            </w:tcBorders>
            <w:shd w:fill="0E463A" w:val="clear"/>
            <w:tcMar>
              <w:top w:type="dxa" w:w="70"/>
              <w:left w:type="dxa" w:w="110"/>
              <w:bottom w:type="dxa" w:w="70"/>
              <w:right w:type="dxa" w:w="110"/>
            </w:tcMar>
          </w:tcPr>
          <w:p>
            <w:r>
              <w:rPr>
                <w:b/>
                <w:bCs/>
                <w:color w:val="FFFFFF"/>
                <w:sz w:val="19"/>
                <w:szCs w:val="19"/>
              </w:rPr>
              <w:t xml:space="preserve">Eligible-style expense</w:t>
            </w:r>
          </w:p>
        </w:tc>
        <w:tc>
          <w:tcPr>
            <w:tcW w:type="dxa" w:w="2800"/>
            <w:tcBorders>
              <w:top w:val="single" w:color="CCCCCC" w:sz="1"/>
              <w:left w:val="single" w:color="CCCCCC" w:sz="1"/>
              <w:bottom w:val="single" w:color="CCCCCC" w:sz="1"/>
              <w:right w:val="single" w:color="CCCCCC" w:sz="1"/>
            </w:tcBorders>
            <w:shd w:fill="0E463A" w:val="clear"/>
            <w:tcMar>
              <w:top w:type="dxa" w:w="70"/>
              <w:left w:type="dxa" w:w="110"/>
              <w:bottom w:type="dxa" w:w="70"/>
              <w:right w:type="dxa" w:w="110"/>
            </w:tcMar>
          </w:tcPr>
          <w:p>
            <w:r>
              <w:rPr>
                <w:b/>
                <w:bCs/>
                <w:color w:val="FFFFFF"/>
                <w:sz w:val="19"/>
                <w:szCs w:val="19"/>
              </w:rPr>
              <w:t xml:space="preserve">Amount (CAD)</w:t>
            </w:r>
          </w:p>
        </w:tc>
      </w:tr>
      <w:tr>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Independent security &amp; Canadian data-residency assessment</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9"/>
                <w:szCs w:val="19"/>
              </w:rPr>
              <w:t xml:space="preserve">$5,000</w:t>
            </w:r>
          </w:p>
        </w:tc>
      </w:tr>
      <w:tr>
        <w:tc>
          <w:tcPr>
            <w:tcW w:type="dxa" w:w="656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bCs/>
                <w:sz w:val="19"/>
                <w:szCs w:val="19"/>
              </w:rPr>
              <w:t xml:space="preserve">AI grounding / accuracy (hallucination-reduction) test harness</w:t>
            </w:r>
          </w:p>
        </w:tc>
        <w:tc>
          <w:tcPr>
            <w:tcW w:type="dxa" w:w="280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val="false"/>
                <w:bCs w:val="false"/>
                <w:sz w:val="19"/>
                <w:szCs w:val="19"/>
              </w:rPr>
              <w:t xml:space="preserve">$3,000</w:t>
            </w:r>
          </w:p>
        </w:tc>
      </w:tr>
      <w:tr>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Advisor market validation (8–10 discovery interviews)</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9"/>
                <w:szCs w:val="19"/>
              </w:rPr>
              <w:t xml:space="preserve">$2,500</w:t>
            </w:r>
          </w:p>
        </w:tc>
      </w:tr>
      <w:tr>
        <w:tc>
          <w:tcPr>
            <w:tcW w:type="dxa" w:w="656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bCs/>
                <w:sz w:val="19"/>
                <w:szCs w:val="19"/>
              </w:rPr>
              <w:t xml:space="preserve">Compliance-workflow testing (KYC / review / suitability flows)</w:t>
            </w:r>
          </w:p>
        </w:tc>
        <w:tc>
          <w:tcPr>
            <w:tcW w:type="dxa" w:w="280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val="false"/>
                <w:bCs w:val="false"/>
                <w:sz w:val="19"/>
                <w:szCs w:val="19"/>
              </w:rPr>
              <w:t xml:space="preserve">$1,833</w:t>
            </w:r>
          </w:p>
        </w:tc>
      </w:tr>
      <w:tr>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Findings documentation &amp; report</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9"/>
                <w:szCs w:val="19"/>
              </w:rPr>
              <w:t xml:space="preserve">$1,000</w:t>
            </w:r>
          </w:p>
        </w:tc>
      </w:tr>
      <w:tr>
        <w:tc>
          <w:tcPr>
            <w:tcW w:type="dxa" w:w="6560"/>
            <w:tcBorders>
              <w:top w:val="single" w:color="CCCCCC" w:sz="1"/>
              <w:left w:val="single" w:color="CCCCCC" w:sz="1"/>
              <w:bottom w:val="single" w:color="CCCCCC" w:sz="1"/>
              <w:right w:val="single" w:color="CCCCCC" w:sz="1"/>
            </w:tcBorders>
            <w:shd w:fill="E7EFEA" w:val="clear"/>
            <w:tcMar>
              <w:top w:type="dxa" w:w="70"/>
              <w:left w:type="dxa" w:w="110"/>
              <w:bottom w:type="dxa" w:w="70"/>
              <w:right w:type="dxa" w:w="110"/>
            </w:tcMar>
          </w:tcPr>
          <w:p>
            <w:r>
              <w:rPr>
                <w:b/>
                <w:bCs/>
                <w:sz w:val="19"/>
                <w:szCs w:val="19"/>
              </w:rPr>
              <w:t xml:space="preserve">Total eligible project cost — grant $10,000 (75%) + applicant cash $3,333 (25%)</w:t>
            </w:r>
          </w:p>
        </w:tc>
        <w:tc>
          <w:tcPr>
            <w:tcW w:type="dxa" w:w="2800"/>
            <w:tcBorders>
              <w:top w:val="single" w:color="CCCCCC" w:sz="1"/>
              <w:left w:val="single" w:color="CCCCCC" w:sz="1"/>
              <w:bottom w:val="single" w:color="CCCCCC" w:sz="1"/>
              <w:right w:val="single" w:color="CCCCCC" w:sz="1"/>
            </w:tcBorders>
            <w:shd w:fill="E7EFEA" w:val="clear"/>
            <w:tcMar>
              <w:top w:type="dxa" w:w="70"/>
              <w:left w:type="dxa" w:w="110"/>
              <w:bottom w:type="dxa" w:w="70"/>
              <w:right w:type="dxa" w:w="110"/>
            </w:tcMar>
          </w:tcPr>
          <w:p>
            <w:r>
              <w:rPr>
                <w:b/>
                <w:bCs/>
                <w:sz w:val="19"/>
                <w:szCs w:val="19"/>
              </w:rPr>
              <w:t xml:space="preserve">$13,333</w:t>
            </w:r>
          </w:p>
        </w:tc>
      </w:tr>
    </w:tbl>
    <w:p>
      <w:pPr>
        <w:pStyle w:val="Heading2"/>
      </w:pPr>
      <w:r>
        <w:t xml:space="preserve">Scenario B — $50,000 Digital Traction-style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CCCCCC" w:sz="1"/>
              <w:left w:val="single" w:color="CCCCCC" w:sz="1"/>
              <w:bottom w:val="single" w:color="CCCCCC" w:sz="1"/>
              <w:right w:val="single" w:color="CCCCCC" w:sz="1"/>
            </w:tcBorders>
            <w:shd w:fill="0E463A" w:val="clear"/>
            <w:tcMar>
              <w:top w:type="dxa" w:w="70"/>
              <w:left w:type="dxa" w:w="110"/>
              <w:bottom w:type="dxa" w:w="70"/>
              <w:right w:type="dxa" w:w="110"/>
            </w:tcMar>
          </w:tcPr>
          <w:p>
            <w:r>
              <w:rPr>
                <w:b/>
                <w:bCs/>
                <w:color w:val="FFFFFF"/>
                <w:sz w:val="19"/>
                <w:szCs w:val="19"/>
              </w:rPr>
              <w:t xml:space="preserve">Eligible-style expense</w:t>
            </w:r>
          </w:p>
        </w:tc>
        <w:tc>
          <w:tcPr>
            <w:tcW w:type="dxa" w:w="2800"/>
            <w:tcBorders>
              <w:top w:val="single" w:color="CCCCCC" w:sz="1"/>
              <w:left w:val="single" w:color="CCCCCC" w:sz="1"/>
              <w:bottom w:val="single" w:color="CCCCCC" w:sz="1"/>
              <w:right w:val="single" w:color="CCCCCC" w:sz="1"/>
            </w:tcBorders>
            <w:shd w:fill="0E463A" w:val="clear"/>
            <w:tcMar>
              <w:top w:type="dxa" w:w="70"/>
              <w:left w:type="dxa" w:w="110"/>
              <w:bottom w:type="dxa" w:w="70"/>
              <w:right w:type="dxa" w:w="110"/>
            </w:tcMar>
          </w:tcPr>
          <w:p>
            <w:r>
              <w:rPr>
                <w:b/>
                <w:bCs/>
                <w:color w:val="FFFFFF"/>
                <w:sz w:val="19"/>
                <w:szCs w:val="19"/>
              </w:rPr>
              <w:t xml:space="preserve">Amount (CAD)</w:t>
            </w:r>
          </w:p>
        </w:tc>
      </w:tr>
      <w:tr>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Canadian software development (multi-tenant hardening, auth, backend)</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9"/>
                <w:szCs w:val="19"/>
              </w:rPr>
              <w:t xml:space="preserve">$24,000</w:t>
            </w:r>
          </w:p>
        </w:tc>
      </w:tr>
      <w:tr>
        <w:tc>
          <w:tcPr>
            <w:tcW w:type="dxa" w:w="656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bCs/>
                <w:sz w:val="19"/>
                <w:szCs w:val="19"/>
              </w:rPr>
              <w:t xml:space="preserve">AI / RAG architecture (secure retrieval, grounding, meeting intelligence)</w:t>
            </w:r>
          </w:p>
        </w:tc>
        <w:tc>
          <w:tcPr>
            <w:tcW w:type="dxa" w:w="280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val="false"/>
                <w:bCs w:val="false"/>
                <w:sz w:val="19"/>
                <w:szCs w:val="19"/>
              </w:rPr>
              <w:t xml:space="preserve">$14,000</w:t>
            </w:r>
          </w:p>
        </w:tc>
      </w:tr>
      <w:tr>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Cybersecurity &amp; data-residency implementation review</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9"/>
                <w:szCs w:val="19"/>
              </w:rPr>
              <w:t xml:space="preserve">$8,000</w:t>
            </w:r>
          </w:p>
        </w:tc>
      </w:tr>
      <w:tr>
        <w:tc>
          <w:tcPr>
            <w:tcW w:type="dxa" w:w="656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bCs/>
                <w:sz w:val="19"/>
                <w:szCs w:val="19"/>
              </w:rPr>
              <w:t xml:space="preserve">UX / product design</w:t>
            </w:r>
          </w:p>
        </w:tc>
        <w:tc>
          <w:tcPr>
            <w:tcW w:type="dxa" w:w="280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val="false"/>
                <w:bCs w:val="false"/>
                <w:sz w:val="19"/>
                <w:szCs w:val="19"/>
              </w:rPr>
              <w:t xml:space="preserve">$6,000</w:t>
            </w:r>
          </w:p>
        </w:tc>
      </w:tr>
      <w:tr>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Market validation &amp; advisor interviews</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9"/>
                <w:szCs w:val="19"/>
              </w:rPr>
              <w:t xml:space="preserve">$5,000</w:t>
            </w:r>
          </w:p>
        </w:tc>
      </w:tr>
      <w:tr>
        <w:tc>
          <w:tcPr>
            <w:tcW w:type="dxa" w:w="656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bCs/>
                <w:sz w:val="19"/>
                <w:szCs w:val="19"/>
              </w:rPr>
              <w:t xml:space="preserve">Pilot implementation (Aspire Investments)</w:t>
            </w:r>
          </w:p>
        </w:tc>
        <w:tc>
          <w:tcPr>
            <w:tcW w:type="dxa" w:w="280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val="false"/>
                <w:bCs w:val="false"/>
                <w:sz w:val="19"/>
                <w:szCs w:val="19"/>
              </w:rPr>
              <w:t xml:space="preserve">$4,700</w:t>
            </w:r>
          </w:p>
        </w:tc>
      </w:tr>
      <w:tr>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Product demo video &amp; documentation</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9"/>
                <w:szCs w:val="19"/>
              </w:rPr>
              <w:t xml:space="preserve">$5,000</w:t>
            </w:r>
          </w:p>
        </w:tc>
      </w:tr>
      <w:tr>
        <w:tc>
          <w:tcPr>
            <w:tcW w:type="dxa" w:w="6560"/>
            <w:tcBorders>
              <w:top w:val="single" w:color="CCCCCC" w:sz="1"/>
              <w:left w:val="single" w:color="CCCCCC" w:sz="1"/>
              <w:bottom w:val="single" w:color="CCCCCC" w:sz="1"/>
              <w:right w:val="single" w:color="CCCCCC" w:sz="1"/>
            </w:tcBorders>
            <w:shd w:fill="E7EFEA" w:val="clear"/>
            <w:tcMar>
              <w:top w:type="dxa" w:w="70"/>
              <w:left w:type="dxa" w:w="110"/>
              <w:bottom w:type="dxa" w:w="70"/>
              <w:right w:type="dxa" w:w="110"/>
            </w:tcMar>
          </w:tcPr>
          <w:p>
            <w:r>
              <w:rPr>
                <w:b/>
                <w:bCs/>
                <w:sz w:val="19"/>
                <w:szCs w:val="19"/>
              </w:rPr>
              <w:t xml:space="preserve">Total eligible project cost — grant $50,000 + applicant cash $16,700 (25%)</w:t>
            </w:r>
          </w:p>
        </w:tc>
        <w:tc>
          <w:tcPr>
            <w:tcW w:type="dxa" w:w="2800"/>
            <w:tcBorders>
              <w:top w:val="single" w:color="CCCCCC" w:sz="1"/>
              <w:left w:val="single" w:color="CCCCCC" w:sz="1"/>
              <w:bottom w:val="single" w:color="CCCCCC" w:sz="1"/>
              <w:right w:val="single" w:color="CCCCCC" w:sz="1"/>
            </w:tcBorders>
            <w:shd w:fill="E7EFEA" w:val="clear"/>
            <w:tcMar>
              <w:top w:type="dxa" w:w="70"/>
              <w:left w:type="dxa" w:w="110"/>
              <w:bottom w:type="dxa" w:w="70"/>
              <w:right w:type="dxa" w:w="110"/>
            </w:tcMar>
          </w:tcPr>
          <w:p>
            <w:r>
              <w:rPr>
                <w:b/>
                <w:bCs/>
                <w:sz w:val="19"/>
                <w:szCs w:val="19"/>
              </w:rPr>
              <w:t xml:space="preserve">$66,700</w:t>
            </w:r>
          </w:p>
        </w:tc>
      </w:tr>
    </w:tbl>
    <w:p>
      <w:pPr>
        <w:pStyle w:val="Heading2"/>
      </w:pPr>
      <w:r>
        <w:t xml:space="preserve">Scenario C — $100,000 Voucher-style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CCCCCC" w:sz="1"/>
              <w:left w:val="single" w:color="CCCCCC" w:sz="1"/>
              <w:bottom w:val="single" w:color="CCCCCC" w:sz="1"/>
              <w:right w:val="single" w:color="CCCCCC" w:sz="1"/>
            </w:tcBorders>
            <w:shd w:fill="0E463A" w:val="clear"/>
            <w:tcMar>
              <w:top w:type="dxa" w:w="70"/>
              <w:left w:type="dxa" w:w="110"/>
              <w:bottom w:type="dxa" w:w="70"/>
              <w:right w:type="dxa" w:w="110"/>
            </w:tcMar>
          </w:tcPr>
          <w:p>
            <w:r>
              <w:rPr>
                <w:b/>
                <w:bCs/>
                <w:color w:val="FFFFFF"/>
                <w:sz w:val="19"/>
                <w:szCs w:val="19"/>
              </w:rPr>
              <w:t xml:space="preserve">Eligible-style expense</w:t>
            </w:r>
          </w:p>
        </w:tc>
        <w:tc>
          <w:tcPr>
            <w:tcW w:type="dxa" w:w="2800"/>
            <w:tcBorders>
              <w:top w:val="single" w:color="CCCCCC" w:sz="1"/>
              <w:left w:val="single" w:color="CCCCCC" w:sz="1"/>
              <w:bottom w:val="single" w:color="CCCCCC" w:sz="1"/>
              <w:right w:val="single" w:color="CCCCCC" w:sz="1"/>
            </w:tcBorders>
            <w:shd w:fill="0E463A" w:val="clear"/>
            <w:tcMar>
              <w:top w:type="dxa" w:w="70"/>
              <w:left w:type="dxa" w:w="110"/>
              <w:bottom w:type="dxa" w:w="70"/>
              <w:right w:type="dxa" w:w="110"/>
            </w:tcMar>
          </w:tcPr>
          <w:p>
            <w:r>
              <w:rPr>
                <w:b/>
                <w:bCs/>
                <w:color w:val="FFFFFF"/>
                <w:sz w:val="19"/>
                <w:szCs w:val="19"/>
              </w:rPr>
              <w:t xml:space="preserve">Amount (CAD)</w:t>
            </w:r>
          </w:p>
        </w:tc>
      </w:tr>
      <w:tr>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Canadian software development (production, multi-tenant, integrations)</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9"/>
                <w:szCs w:val="19"/>
              </w:rPr>
              <w:t xml:space="preserve">$48,000</w:t>
            </w:r>
          </w:p>
        </w:tc>
      </w:tr>
      <w:tr>
        <w:tc>
          <w:tcPr>
            <w:tcW w:type="dxa" w:w="656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bCs/>
                <w:sz w:val="19"/>
                <w:szCs w:val="19"/>
              </w:rPr>
              <w:t xml:space="preserve">AI / RAG + meeting intelligence + explainable planning engine</w:t>
            </w:r>
          </w:p>
        </w:tc>
        <w:tc>
          <w:tcPr>
            <w:tcW w:type="dxa" w:w="280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val="false"/>
                <w:bCs w:val="false"/>
                <w:sz w:val="19"/>
                <w:szCs w:val="19"/>
              </w:rPr>
              <w:t xml:space="preserve">$30,000</w:t>
            </w:r>
          </w:p>
        </w:tc>
      </w:tr>
      <w:tr>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Cybersecurity, penetration test &amp; data-residency certification prep</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9"/>
                <w:szCs w:val="19"/>
              </w:rPr>
              <w:t xml:space="preserve">$16,000</w:t>
            </w:r>
          </w:p>
        </w:tc>
      </w:tr>
      <w:tr>
        <w:tc>
          <w:tcPr>
            <w:tcW w:type="dxa" w:w="656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bCs/>
                <w:sz w:val="19"/>
                <w:szCs w:val="19"/>
              </w:rPr>
              <w:t xml:space="preserve">Compliance-workflow engine (KYC / suitability / CRM2 / review automation)</w:t>
            </w:r>
          </w:p>
        </w:tc>
        <w:tc>
          <w:tcPr>
            <w:tcW w:type="dxa" w:w="280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val="false"/>
                <w:bCs w:val="false"/>
                <w:sz w:val="19"/>
                <w:szCs w:val="19"/>
              </w:rPr>
              <w:t xml:space="preserve">$12,000</w:t>
            </w:r>
          </w:p>
        </w:tc>
      </w:tr>
      <w:tr>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UX / product design system</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9"/>
                <w:szCs w:val="19"/>
              </w:rPr>
              <w:t xml:space="preserve">$9,000</w:t>
            </w:r>
          </w:p>
        </w:tc>
      </w:tr>
      <w:tr>
        <w:tc>
          <w:tcPr>
            <w:tcW w:type="dxa" w:w="656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bCs/>
                <w:sz w:val="19"/>
                <w:szCs w:val="19"/>
              </w:rPr>
              <w:t xml:space="preserve">Pilot implementation (3–5 firms) &amp; advisor interviews</w:t>
            </w:r>
          </w:p>
        </w:tc>
        <w:tc>
          <w:tcPr>
            <w:tcW w:type="dxa" w:w="280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val="false"/>
                <w:bCs w:val="false"/>
                <w:sz w:val="19"/>
                <w:szCs w:val="19"/>
              </w:rPr>
              <w:t xml:space="preserve">$10,000</w:t>
            </w:r>
          </w:p>
        </w:tc>
      </w:tr>
      <w:tr>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Documentation, demo &amp; commercialization materials</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9"/>
                <w:szCs w:val="19"/>
              </w:rPr>
              <w:t xml:space="preserve">$8,333</w:t>
            </w:r>
          </w:p>
        </w:tc>
      </w:tr>
      <w:tr>
        <w:tc>
          <w:tcPr>
            <w:tcW w:type="dxa" w:w="6560"/>
            <w:tcBorders>
              <w:top w:val="single" w:color="CCCCCC" w:sz="1"/>
              <w:left w:val="single" w:color="CCCCCC" w:sz="1"/>
              <w:bottom w:val="single" w:color="CCCCCC" w:sz="1"/>
              <w:right w:val="single" w:color="CCCCCC" w:sz="1"/>
            </w:tcBorders>
            <w:shd w:fill="E7EFEA" w:val="clear"/>
            <w:tcMar>
              <w:top w:type="dxa" w:w="70"/>
              <w:left w:type="dxa" w:w="110"/>
              <w:bottom w:type="dxa" w:w="70"/>
              <w:right w:type="dxa" w:w="110"/>
            </w:tcMar>
          </w:tcPr>
          <w:p>
            <w:r>
              <w:rPr>
                <w:b/>
                <w:bCs/>
                <w:sz w:val="19"/>
                <w:szCs w:val="19"/>
              </w:rPr>
              <w:t xml:space="preserve">Total eligible project cost — grant $100,000 + applicant contribution $33,333</w:t>
            </w:r>
          </w:p>
        </w:tc>
        <w:tc>
          <w:tcPr>
            <w:tcW w:type="dxa" w:w="2800"/>
            <w:tcBorders>
              <w:top w:val="single" w:color="CCCCCC" w:sz="1"/>
              <w:left w:val="single" w:color="CCCCCC" w:sz="1"/>
              <w:bottom w:val="single" w:color="CCCCCC" w:sz="1"/>
              <w:right w:val="single" w:color="CCCCCC" w:sz="1"/>
            </w:tcBorders>
            <w:shd w:fill="E7EFEA" w:val="clear"/>
            <w:tcMar>
              <w:top w:type="dxa" w:w="70"/>
              <w:left w:type="dxa" w:w="110"/>
              <w:bottom w:type="dxa" w:w="70"/>
              <w:right w:type="dxa" w:w="110"/>
            </w:tcMar>
          </w:tcPr>
          <w:p>
            <w:r>
              <w:rPr>
                <w:b/>
                <w:bCs/>
                <w:sz w:val="19"/>
                <w:szCs w:val="19"/>
              </w:rPr>
              <w:t xml:space="preserve">$133,333</w:t>
            </w:r>
          </w:p>
        </w:tc>
      </w:tr>
    </w:tbl>
    <w:p>
      <w:pPr>
        <w:pStyle w:val="Heading1"/>
      </w:pPr>
      <w:r>
        <w:t xml:space="preserve">6 · Commercialization Plan</w:t>
      </w:r>
    </w:p>
    <w:p>
      <w:pPr>
        <w:pStyle w:val="Heading2"/>
      </w:pPr>
      <w:r>
        <w:t xml:space="preserve">Target customers</w:t>
      </w:r>
    </w:p>
    <w:p>
      <w:pPr>
        <w:spacing w:after="120"/>
      </w:pPr>
      <w:r>
        <w:t xml:space="preserve">Independent Canadian financial advisory practices (typically 1–15 advisors) that are under-served by US-centric CRMs and need Canadian compliance workflow, planning context, and data-residency controls. Beachhead: Alberta and Western Canada independent firms; expansion: nationally, and to small dealers and insurance-and-investment practices.</w:t>
      </w:r>
    </w:p>
    <w:p>
      <w:pPr>
        <w:pStyle w:val="Heading2"/>
      </w:pPr>
      <w:r>
        <w:t xml:space="preserve">Pilot strategy</w:t>
      </w:r>
    </w:p>
    <w:p>
      <w:pPr>
        <w:spacing w:after="120"/>
      </w:pPr>
      <w:r>
        <w:t xml:space="preserve">Aspire Investments is the first pilot firm — a real advisory practice to validate workflow, compliance tracking, meeting intelligence, and planning context on its own operations (using its data under proper controls). Learnings harden the product; a reference case and demonstration environment (demo data only) then support 3–5 additional pilot firms recruited through advisor networks and centres of influence.</w:t>
      </w:r>
    </w:p>
    <w:p>
      <w:pPr>
        <w:pStyle w:val="Heading2"/>
      </w:pPr>
      <w:r>
        <w:t xml:space="preserve">Pricing model</w:t>
      </w:r>
    </w:p>
    <w:p>
      <w:pPr>
        <w:spacing w:after="120"/>
      </w:pPr>
      <w:r>
        <w:t xml:space="preserve">Per-advisor / per-seat monthly SaaS subscription, consistent with the advisor-CRM market (comparable tools price roughly $35–$100 per user per month), with a premium tier reflecting Canadian compliance, data residency, and AI capabilities. Optional implementation / onboarding and firm-level add-ons (compliance supervision, meeting-intelligence volume).</w:t>
      </w:r>
    </w:p>
    <w:p>
      <w:pPr>
        <w:pStyle w:val="Heading2"/>
      </w:pPr>
      <w:r>
        <w:t xml:space="preserve">12-month rollout</w:t>
      </w:r>
    </w:p>
    <w:p>
      <w:pPr>
        <w:pStyle w:val="ListParagraph"/>
        <w:numPr>
          <w:ilvl w:val="0"/>
          <w:numId w:val="3"/>
        </w:numPr>
        <w:spacing w:after="40"/>
      </w:pPr>
      <w:r>
        <w:t xml:space="preserve">Months 0–3: security &amp; data-residency review; multi-tenant hardening; Aspire pilot live; advisor discovery interviews.</w:t>
      </w:r>
    </w:p>
    <w:p>
      <w:pPr>
        <w:pStyle w:val="ListParagraph"/>
        <w:numPr>
          <w:ilvl w:val="0"/>
          <w:numId w:val="3"/>
        </w:numPr>
        <w:spacing w:after="40"/>
      </w:pPr>
      <w:r>
        <w:t xml:space="preserve">Months 3–6: productize AI / RAG and meeting intelligence; compliance-workflow validation; recruit 2–3 pilot firms; validate pricing.</w:t>
      </w:r>
    </w:p>
    <w:p>
      <w:pPr>
        <w:pStyle w:val="ListParagraph"/>
        <w:numPr>
          <w:ilvl w:val="0"/>
          <w:numId w:val="3"/>
        </w:numPr>
        <w:spacing w:after="40"/>
      </w:pPr>
      <w:r>
        <w:t xml:space="preserve">Months 6–9: onboard pilot firms; penetration test &amp; residency certification prep; reference case; begin paid conversions.</w:t>
      </w:r>
    </w:p>
    <w:p>
      <w:pPr>
        <w:pStyle w:val="ListParagraph"/>
        <w:numPr>
          <w:ilvl w:val="0"/>
          <w:numId w:val="3"/>
        </w:numPr>
        <w:spacing w:after="40"/>
      </w:pPr>
      <w:r>
        <w:t xml:space="preserve">Months 9–12: scale to 3–5 firms; formalize pricing / packaging; pursue Product Demonstration / IRAP; file SR&amp;ED + IEG for the year.</w:t>
      </w:r>
    </w:p>
    <w:p>
      <w:pPr>
        <w:pStyle w:val="Heading2"/>
      </w:pPr>
      <w:r>
        <w:t xml:space="preserve">How Aspire acts as pilot user</w:t>
      </w:r>
    </w:p>
    <w:p>
      <w:pPr>
        <w:spacing w:after="120"/>
      </w:pPr>
      <w:r>
        <w:t xml:space="preserve">Aspire provides the domain expertise, real-world workflow, and first-customer validation that de-risk the product, while Starman is developed and owned as a distinct, scalable software product (ideally a dedicated Alberta software corporation) so it can be licensed to other firms — the arms-length, commercialization posture funders prefer.</w:t>
      </w:r>
    </w:p>
    <w:p>
      <w:pPr>
        <w:pStyle w:val="Heading2"/>
      </w:pPr>
      <w:r>
        <w:t xml:space="preserve">Expansion to other advisory firms</w:t>
      </w:r>
    </w:p>
    <w:p>
      <w:pPr>
        <w:spacing w:after="120"/>
      </w:pPr>
      <w:r>
        <w:t xml:space="preserve">Multi-tenant architecture, Canadian-resident deployment, and configurable compliance workflows let Starman onboard additional independent firms with low marginal cost. Growth channels: advisor associations, dealer networks, referral from pilot firms, and content on Canadian compliance / data-residency advantages.</w:t>
      </w:r>
    </w:p>
    <w:p>
      <w:pPr>
        <w:pStyle w:val="Heading1"/>
        <w:pageBreakBefore/>
      </w:pPr>
      <w:r>
        <w:t xml:space="preserve">7 · Competitive Advantage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CCCCCC" w:sz="1"/>
              <w:left w:val="single" w:color="CCCCCC" w:sz="1"/>
              <w:bottom w:val="single" w:color="CCCCCC" w:sz="1"/>
              <w:right w:val="single" w:color="CCCCCC" w:sz="1"/>
            </w:tcBorders>
            <w:shd w:fill="0E463A" w:val="clear"/>
            <w:tcMar>
              <w:top w:type="dxa" w:w="70"/>
              <w:left w:type="dxa" w:w="110"/>
              <w:bottom w:type="dxa" w:w="70"/>
              <w:right w:type="dxa" w:w="110"/>
            </w:tcMar>
          </w:tcPr>
          <w:p>
            <w:r>
              <w:rPr>
                <w:b/>
                <w:bCs/>
                <w:color w:val="FFFFFF"/>
                <w:sz w:val="19"/>
                <w:szCs w:val="19"/>
              </w:rPr>
              <w:t xml:space="preserve">Capability</w:t>
            </w:r>
          </w:p>
        </w:tc>
        <w:tc>
          <w:tcPr>
            <w:tcW w:type="dxa" w:w="2120"/>
            <w:tcBorders>
              <w:top w:val="single" w:color="CCCCCC" w:sz="1"/>
              <w:left w:val="single" w:color="CCCCCC" w:sz="1"/>
              <w:bottom w:val="single" w:color="CCCCCC" w:sz="1"/>
              <w:right w:val="single" w:color="CCCCCC" w:sz="1"/>
            </w:tcBorders>
            <w:shd w:fill="0E463A" w:val="clear"/>
            <w:tcMar>
              <w:top w:type="dxa" w:w="70"/>
              <w:left w:type="dxa" w:w="110"/>
              <w:bottom w:type="dxa" w:w="70"/>
              <w:right w:type="dxa" w:w="110"/>
            </w:tcMar>
          </w:tcPr>
          <w:p>
            <w:r>
              <w:rPr>
                <w:b/>
                <w:bCs/>
                <w:color w:val="FFFFFF"/>
                <w:sz w:val="19"/>
                <w:szCs w:val="19"/>
              </w:rPr>
              <w:t xml:space="preserve">Generic CRM</w:t>
            </w:r>
          </w:p>
        </w:tc>
        <w:tc>
          <w:tcPr>
            <w:tcW w:type="dxa" w:w="2120"/>
            <w:tcBorders>
              <w:top w:val="single" w:color="CCCCCC" w:sz="1"/>
              <w:left w:val="single" w:color="CCCCCC" w:sz="1"/>
              <w:bottom w:val="single" w:color="CCCCCC" w:sz="1"/>
              <w:right w:val="single" w:color="CCCCCC" w:sz="1"/>
            </w:tcBorders>
            <w:shd w:fill="0E463A" w:val="clear"/>
            <w:tcMar>
              <w:top w:type="dxa" w:w="70"/>
              <w:left w:type="dxa" w:w="110"/>
              <w:bottom w:type="dxa" w:w="70"/>
              <w:right w:type="dxa" w:w="110"/>
            </w:tcMar>
          </w:tcPr>
          <w:p>
            <w:r>
              <w:rPr>
                <w:b/>
                <w:bCs/>
                <w:color w:val="FFFFFF"/>
                <w:sz w:val="19"/>
                <w:szCs w:val="19"/>
              </w:rPr>
              <w:t xml:space="preserve">US advisor tools</w:t>
            </w:r>
          </w:p>
        </w:tc>
        <w:tc>
          <w:tcPr>
            <w:tcW w:type="dxa" w:w="2120"/>
            <w:tcBorders>
              <w:top w:val="single" w:color="CCCCCC" w:sz="1"/>
              <w:left w:val="single" w:color="CCCCCC" w:sz="1"/>
              <w:bottom w:val="single" w:color="CCCCCC" w:sz="1"/>
              <w:right w:val="single" w:color="CCCCCC" w:sz="1"/>
            </w:tcBorders>
            <w:shd w:fill="0E463A" w:val="clear"/>
            <w:tcMar>
              <w:top w:type="dxa" w:w="70"/>
              <w:left w:type="dxa" w:w="110"/>
              <w:bottom w:type="dxa" w:w="70"/>
              <w:right w:type="dxa" w:w="110"/>
            </w:tcMar>
          </w:tcPr>
          <w:p>
            <w:r>
              <w:rPr>
                <w:b/>
                <w:bCs/>
                <w:color w:val="FFFFFF"/>
                <w:sz w:val="19"/>
                <w:szCs w:val="19"/>
              </w:rPr>
              <w:t xml:space="preserve">Starman</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Canadian financial-services workflow</w:t>
            </w:r>
          </w:p>
        </w:tc>
        <w:tc>
          <w:tcPr>
            <w:tcW w:type="dxa" w:w="2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9"/>
                <w:szCs w:val="19"/>
              </w:rPr>
              <w:t xml:space="preserve">No</w:t>
            </w:r>
          </w:p>
        </w:tc>
        <w:tc>
          <w:tcPr>
            <w:tcW w:type="dxa" w:w="2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9"/>
                <w:szCs w:val="19"/>
              </w:rPr>
              <w:t xml:space="preserve">Partial (US-centric)</w:t>
            </w:r>
          </w:p>
        </w:tc>
        <w:tc>
          <w:tcPr>
            <w:tcW w:type="dxa" w:w="2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9"/>
                <w:szCs w:val="19"/>
              </w:rPr>
              <w:t xml:space="preserve">Built-in</w:t>
            </w:r>
          </w:p>
        </w:tc>
      </w:tr>
      <w:tr>
        <w:tc>
          <w:tcPr>
            <w:tcW w:type="dxa" w:w="300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bCs/>
                <w:sz w:val="19"/>
                <w:szCs w:val="19"/>
              </w:rPr>
              <w:t xml:space="preserve">Compliance-first (KYC / suitability / CRM2 / review)</w:t>
            </w:r>
          </w:p>
        </w:tc>
        <w:tc>
          <w:tcPr>
            <w:tcW w:type="dxa" w:w="212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val="false"/>
                <w:bCs w:val="false"/>
                <w:sz w:val="19"/>
                <w:szCs w:val="19"/>
              </w:rPr>
              <w:t xml:space="preserve">Limited</w:t>
            </w:r>
          </w:p>
        </w:tc>
        <w:tc>
          <w:tcPr>
            <w:tcW w:type="dxa" w:w="212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val="false"/>
                <w:bCs w:val="false"/>
                <w:sz w:val="19"/>
                <w:szCs w:val="19"/>
              </w:rPr>
              <w:t xml:space="preserve">Partial</w:t>
            </w:r>
          </w:p>
        </w:tc>
        <w:tc>
          <w:tcPr>
            <w:tcW w:type="dxa" w:w="212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val="false"/>
                <w:bCs w:val="false"/>
                <w:sz w:val="19"/>
                <w:szCs w:val="19"/>
              </w:rPr>
              <w:t xml:space="preserve">Native</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Canadian data residency + local / in-region AI</w:t>
            </w:r>
          </w:p>
        </w:tc>
        <w:tc>
          <w:tcPr>
            <w:tcW w:type="dxa" w:w="2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9"/>
                <w:szCs w:val="19"/>
              </w:rPr>
              <w:t xml:space="preserve">No</w:t>
            </w:r>
          </w:p>
        </w:tc>
        <w:tc>
          <w:tcPr>
            <w:tcW w:type="dxa" w:w="2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9"/>
                <w:szCs w:val="19"/>
              </w:rPr>
              <w:t xml:space="preserve">No</w:t>
            </w:r>
          </w:p>
        </w:tc>
        <w:tc>
          <w:tcPr>
            <w:tcW w:type="dxa" w:w="2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9"/>
                <w:szCs w:val="19"/>
              </w:rPr>
              <w:t xml:space="preserve">Core design</w:t>
            </w:r>
          </w:p>
        </w:tc>
      </w:tr>
      <w:tr>
        <w:tc>
          <w:tcPr>
            <w:tcW w:type="dxa" w:w="300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bCs/>
                <w:sz w:val="19"/>
                <w:szCs w:val="19"/>
              </w:rPr>
              <w:t xml:space="preserve">AI meeting intelligence (notes → tasks / compliance)</w:t>
            </w:r>
          </w:p>
        </w:tc>
        <w:tc>
          <w:tcPr>
            <w:tcW w:type="dxa" w:w="212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val="false"/>
                <w:bCs w:val="false"/>
                <w:sz w:val="19"/>
                <w:szCs w:val="19"/>
              </w:rPr>
              <w:t xml:space="preserve">Add-on / none</w:t>
            </w:r>
          </w:p>
        </w:tc>
        <w:tc>
          <w:tcPr>
            <w:tcW w:type="dxa" w:w="212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val="false"/>
                <w:bCs w:val="false"/>
                <w:sz w:val="19"/>
                <w:szCs w:val="19"/>
              </w:rPr>
              <w:t xml:space="preserve">Limited</w:t>
            </w:r>
          </w:p>
        </w:tc>
        <w:tc>
          <w:tcPr>
            <w:tcW w:type="dxa" w:w="212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val="false"/>
                <w:bCs w:val="false"/>
                <w:sz w:val="19"/>
                <w:szCs w:val="19"/>
              </w:rPr>
              <w:t xml:space="preserve">Built-in, grounded</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Planning in-CRM (Monte Carlo / RRIF / tax)</w:t>
            </w:r>
          </w:p>
        </w:tc>
        <w:tc>
          <w:tcPr>
            <w:tcW w:type="dxa" w:w="2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9"/>
                <w:szCs w:val="19"/>
              </w:rPr>
              <w:t xml:space="preserve">No</w:t>
            </w:r>
          </w:p>
        </w:tc>
        <w:tc>
          <w:tcPr>
            <w:tcW w:type="dxa" w:w="2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9"/>
                <w:szCs w:val="19"/>
              </w:rPr>
              <w:t xml:space="preserve">Integration only</w:t>
            </w:r>
          </w:p>
        </w:tc>
        <w:tc>
          <w:tcPr>
            <w:tcW w:type="dxa" w:w="2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9"/>
                <w:szCs w:val="19"/>
              </w:rPr>
              <w:t xml:space="preserve">Native, explainable</w:t>
            </w:r>
          </w:p>
        </w:tc>
      </w:tr>
      <w:tr>
        <w:tc>
          <w:tcPr>
            <w:tcW w:type="dxa" w:w="300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bCs/>
                <w:sz w:val="19"/>
                <w:szCs w:val="19"/>
              </w:rPr>
              <w:t xml:space="preserve">Secure data vault + audit trail</w:t>
            </w:r>
          </w:p>
        </w:tc>
        <w:tc>
          <w:tcPr>
            <w:tcW w:type="dxa" w:w="212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val="false"/>
                <w:bCs w:val="false"/>
                <w:sz w:val="19"/>
                <w:szCs w:val="19"/>
              </w:rPr>
              <w:t xml:space="preserve">Partial</w:t>
            </w:r>
          </w:p>
        </w:tc>
        <w:tc>
          <w:tcPr>
            <w:tcW w:type="dxa" w:w="212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val="false"/>
                <w:bCs w:val="false"/>
                <w:sz w:val="19"/>
                <w:szCs w:val="19"/>
              </w:rPr>
              <w:t xml:space="preserve">Partial</w:t>
            </w:r>
          </w:p>
        </w:tc>
        <w:tc>
          <w:tcPr>
            <w:tcW w:type="dxa" w:w="2120"/>
            <w:tcBorders>
              <w:top w:val="single" w:color="CCCCCC" w:sz="1"/>
              <w:left w:val="single" w:color="CCCCCC" w:sz="1"/>
              <w:bottom w:val="single" w:color="CCCCCC" w:sz="1"/>
              <w:right w:val="single" w:color="CCCCCC" w:sz="1"/>
            </w:tcBorders>
            <w:shd w:fill="F2F6F4" w:val="clear"/>
            <w:tcMar>
              <w:top w:type="dxa" w:w="70"/>
              <w:left w:type="dxa" w:w="110"/>
              <w:bottom w:type="dxa" w:w="70"/>
              <w:right w:type="dxa" w:w="110"/>
            </w:tcMar>
          </w:tcPr>
          <w:p>
            <w:r>
              <w:rPr>
                <w:b w:val="false"/>
                <w:bCs w:val="false"/>
                <w:sz w:val="19"/>
                <w:szCs w:val="19"/>
              </w:rPr>
              <w:t xml:space="preserve">Native, audit-friendly</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Advisor productivity (priorities, next-best action)</w:t>
            </w:r>
          </w:p>
        </w:tc>
        <w:tc>
          <w:tcPr>
            <w:tcW w:type="dxa" w:w="2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9"/>
                <w:szCs w:val="19"/>
              </w:rPr>
              <w:t xml:space="preserve">Generic</w:t>
            </w:r>
          </w:p>
        </w:tc>
        <w:tc>
          <w:tcPr>
            <w:tcW w:type="dxa" w:w="2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9"/>
                <w:szCs w:val="19"/>
              </w:rPr>
              <w:t xml:space="preserve">Partial</w:t>
            </w:r>
          </w:p>
        </w:tc>
        <w:tc>
          <w:tcPr>
            <w:tcW w:type="dxa" w:w="21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9"/>
                <w:szCs w:val="19"/>
              </w:rPr>
              <w:t xml:space="preserve">Advisor-specific</w:t>
            </w:r>
          </w:p>
        </w:tc>
      </w:tr>
    </w:tbl>
    <w:p>
      <w:pPr>
        <w:spacing w:after="120"/>
      </w:pPr>
      <w:r>
        <w:t xml:space="preserve">Starman’s edge is the combination: a Canadian compliance-and-residency-first CRM with grounded AI and planning context in one advisor-focused product. Incumbents deliver pieces; none deliver the whole for the independent Canadian advisory practice.</w:t>
      </w:r>
    </w:p>
    <w:p>
      <w:pPr>
        <w:pStyle w:val="Heading1"/>
      </w:pPr>
      <w:r>
        <w:t xml:space="preserve">8 · SR&amp;ED Evidence Strategy</w:t>
      </w:r>
    </w:p>
    <w:p>
      <w:pPr>
        <w:spacing w:after="120"/>
      </w:pPr>
      <w:r>
        <w:t xml:space="preserve">SR&amp;ED (federal, ~35% refundable ITC for a CCPC on qualified expenditures) and the Alberta Innovation Employment Grant (8% base, up to 20% enhanced on incremental eligible R&amp;D, to a $4M cap) reward systematic experimental development to overcome technological uncertainty — not routine software work. Eligibility is determined by CRA; keep contemporaneous documentation (hypotheses, experiments, iterations, results, dev logs).</w:t>
      </w:r>
    </w:p>
    <w:p>
      <w:pPr>
        <w:pStyle w:val="Heading2"/>
      </w:pPr>
      <w:r>
        <w:t xml:space="preserve">Likely to qualify — the AI / security / intelligence layer</w:t>
      </w:r>
    </w:p>
    <w:p>
      <w:pPr>
        <w:pStyle w:val="ListParagraph"/>
        <w:numPr>
          <w:ilvl w:val="0"/>
          <w:numId w:val="2"/>
        </w:numPr>
        <w:spacing w:after="40"/>
      </w:pPr>
      <w:r>
        <w:rPr>
          <w:b/>
          <w:bCs/>
        </w:rPr>
        <w:t xml:space="preserve">Secure RAG over client records — </w:t>
      </w:r>
      <w:r>
        <w:t xml:space="preserve">retrieval, chunking, and permissioning design to answer only from a firm’s own records, with measurable grounding / accuracy targets and non-obvious technical uncertainty.</w:t>
      </w:r>
    </w:p>
    <w:p>
      <w:pPr>
        <w:pStyle w:val="ListParagraph"/>
        <w:numPr>
          <w:ilvl w:val="0"/>
          <w:numId w:val="2"/>
        </w:numPr>
        <w:spacing w:after="40"/>
      </w:pPr>
      <w:r>
        <w:rPr>
          <w:b/>
          <w:bCs/>
        </w:rPr>
        <w:t xml:space="preserve">Hallucination reduction &amp; source-citation logic — </w:t>
      </w:r>
      <w:r>
        <w:t xml:space="preserve">grounding strategies, guardrails, and an evaluation harness to reduce fabricated output in a regulated context.</w:t>
      </w:r>
    </w:p>
    <w:p>
      <w:pPr>
        <w:pStyle w:val="ListParagraph"/>
        <w:numPr>
          <w:ilvl w:val="0"/>
          <w:numId w:val="2"/>
        </w:numPr>
        <w:spacing w:after="40"/>
      </w:pPr>
      <w:r>
        <w:rPr>
          <w:b/>
          <w:bCs/>
        </w:rPr>
        <w:t xml:space="preserve">Meeting-intelligence accuracy — </w:t>
      </w:r>
      <w:r>
        <w:t xml:space="preserve">converting notes / transcripts into structured tasks and compliance prompts; entity / relationship extraction under linguistic uncertainty.</w:t>
      </w:r>
    </w:p>
    <w:p>
      <w:pPr>
        <w:pStyle w:val="ListParagraph"/>
        <w:numPr>
          <w:ilvl w:val="0"/>
          <w:numId w:val="2"/>
        </w:numPr>
        <w:spacing w:after="40"/>
      </w:pPr>
      <w:r>
        <w:rPr>
          <w:b/>
          <w:bCs/>
        </w:rPr>
        <w:t xml:space="preserve">Canadian-resident / local-model AI deployment — </w:t>
      </w:r>
      <w:r>
        <w:t xml:space="preserve">running capable models in-region or on-device within performance, cost, and privacy constraints.</w:t>
      </w:r>
    </w:p>
    <w:p>
      <w:pPr>
        <w:pStyle w:val="ListParagraph"/>
        <w:numPr>
          <w:ilvl w:val="0"/>
          <w:numId w:val="2"/>
        </w:numPr>
        <w:spacing w:after="40"/>
      </w:pPr>
      <w:r>
        <w:rPr>
          <w:b/>
          <w:bCs/>
        </w:rPr>
        <w:t xml:space="preserve">Explainable planning-context engine — </w:t>
      </w:r>
      <w:r>
        <w:t xml:space="preserve">reconciling deterministic Canadian financial mathematics with AI narration while preserving correctness.</w:t>
      </w:r>
    </w:p>
    <w:p>
      <w:pPr>
        <w:pStyle w:val="ListParagraph"/>
        <w:numPr>
          <w:ilvl w:val="0"/>
          <w:numId w:val="2"/>
        </w:numPr>
        <w:spacing w:after="40"/>
      </w:pPr>
      <w:r>
        <w:rPr>
          <w:b/>
          <w:bCs/>
        </w:rPr>
        <w:t xml:space="preserve">Audit-trail &amp; permissioned-access architecture — </w:t>
      </w:r>
      <w:r>
        <w:t xml:space="preserve">producing audit-friendly, source-cited AI outputs suitable for supervisory review.</w:t>
      </w:r>
    </w:p>
    <w:p>
      <w:pPr>
        <w:pStyle w:val="Heading2"/>
      </w:pPr>
      <w:r>
        <w:t xml:space="preserve">Likely NOT to qualify — routine development</w:t>
      </w:r>
    </w:p>
    <w:p>
      <w:pPr>
        <w:pStyle w:val="ListParagraph"/>
        <w:numPr>
          <w:ilvl w:val="0"/>
          <w:numId w:val="2"/>
        </w:numPr>
        <w:spacing w:after="40"/>
      </w:pPr>
      <w:r>
        <w:t xml:space="preserve">Standard UI screens, styling, and theming.</w:t>
      </w:r>
    </w:p>
    <w:p>
      <w:pPr>
        <w:pStyle w:val="ListParagraph"/>
        <w:numPr>
          <w:ilvl w:val="0"/>
          <w:numId w:val="2"/>
        </w:numPr>
        <w:spacing w:after="40"/>
      </w:pPr>
      <w:r>
        <w:t xml:space="preserve">Basic CRM database / CRUD, client lists, and calendar.</w:t>
      </w:r>
    </w:p>
    <w:p>
      <w:pPr>
        <w:pStyle w:val="ListParagraph"/>
        <w:numPr>
          <w:ilvl w:val="0"/>
          <w:numId w:val="2"/>
        </w:numPr>
        <w:spacing w:after="40"/>
      </w:pPr>
      <w:r>
        <w:t xml:space="preserve">Standard reports, dashboards, and generic analytics.</w:t>
      </w:r>
    </w:p>
    <w:p>
      <w:pPr>
        <w:pStyle w:val="ListParagraph"/>
        <w:numPr>
          <w:ilvl w:val="0"/>
          <w:numId w:val="2"/>
        </w:numPr>
        <w:spacing w:after="40"/>
      </w:pPr>
      <w:r>
        <w:t xml:space="preserve">Configuration, deployment, and routine integration of existing components.</w:t>
      </w:r>
    </w:p>
    <w:p>
      <w:pPr>
        <w:pStyle w:val="ListParagraph"/>
        <w:numPr>
          <w:ilvl w:val="0"/>
          <w:numId w:val="2"/>
        </w:numPr>
        <w:spacing w:after="40"/>
      </w:pPr>
      <w:r>
        <w:t xml:space="preserve">Market research, sales, and general business operations.</w:t>
      </w:r>
    </w:p>
    <w:p>
      <w:pPr>
        <w:pStyle w:val="Heading1"/>
      </w:pPr>
      <w:r>
        <w:t xml:space="preserve">9 · Questions for Your Alberta Innovates Technology Development Advisor</w:t>
      </w:r>
    </w:p>
    <w:p>
      <w:pPr>
        <w:pStyle w:val="ListParagraph"/>
        <w:numPr>
          <w:ilvl w:val="0"/>
          <w:numId w:val="2"/>
        </w:numPr>
        <w:spacing w:after="40"/>
      </w:pPr>
      <w:r>
        <w:t xml:space="preserve">What is the current intake status and timeline for the Digital Traction Program and the Micro / Voucher programs?</w:t>
      </w:r>
    </w:p>
    <w:p>
      <w:pPr>
        <w:pStyle w:val="ListParagraph"/>
        <w:numPr>
          <w:ilvl w:val="0"/>
          <w:numId w:val="2"/>
        </w:numPr>
        <w:spacing w:after="40"/>
      </w:pPr>
      <w:r>
        <w:t xml:space="preserve">Can Aspire Investments act as the pilot customer, and how should the relationship be structured to satisfy arms-length / commercialization expectations?</w:t>
      </w:r>
    </w:p>
    <w:p>
      <w:pPr>
        <w:pStyle w:val="ListParagraph"/>
        <w:numPr>
          <w:ilvl w:val="0"/>
          <w:numId w:val="2"/>
        </w:numPr>
        <w:spacing w:after="40"/>
      </w:pPr>
      <w:r>
        <w:t xml:space="preserve">Is it advantageous to incorporate a separate Alberta software corporation to hold and commercialize Starman, versus running it within Aspire?</w:t>
      </w:r>
    </w:p>
    <w:p>
      <w:pPr>
        <w:pStyle w:val="ListParagraph"/>
        <w:numPr>
          <w:ilvl w:val="0"/>
          <w:numId w:val="2"/>
        </w:numPr>
        <w:spacing w:after="40"/>
      </w:pPr>
      <w:r>
        <w:t xml:space="preserve">For the voucher programs, what are the eligible service / knowledge-provider requirements, and are there Canadian-supplier restrictions on the funded work?</w:t>
      </w:r>
    </w:p>
    <w:p>
      <w:pPr>
        <w:pStyle w:val="ListParagraph"/>
        <w:numPr>
          <w:ilvl w:val="0"/>
          <w:numId w:val="2"/>
        </w:numPr>
        <w:spacing w:after="40"/>
      </w:pPr>
      <w:r>
        <w:t xml:space="preserve">Which expenses are eligible — and does internal / applicant labour count, or only contracted services?</w:t>
      </w:r>
    </w:p>
    <w:p>
      <w:pPr>
        <w:pStyle w:val="ListParagraph"/>
        <w:numPr>
          <w:ilvl w:val="0"/>
          <w:numId w:val="2"/>
        </w:numPr>
        <w:spacing w:after="40"/>
      </w:pPr>
      <w:r>
        <w:t xml:space="preserve">What are the cash-match / matching-contribution requirements, and what qualifies as match (cash vs in-kind)?</w:t>
      </w:r>
    </w:p>
    <w:p>
      <w:pPr>
        <w:pStyle w:val="ListParagraph"/>
        <w:numPr>
          <w:ilvl w:val="0"/>
          <w:numId w:val="2"/>
        </w:numPr>
        <w:spacing w:after="40"/>
      </w:pPr>
      <w:r>
        <w:t xml:space="preserve">What are the IP ownership and background-IP expectations for funded work?</w:t>
      </w:r>
    </w:p>
    <w:p>
      <w:pPr>
        <w:pStyle w:val="ListParagraph"/>
        <w:numPr>
          <w:ilvl w:val="0"/>
          <w:numId w:val="2"/>
        </w:numPr>
        <w:spacing w:after="40"/>
      </w:pPr>
      <w:r>
        <w:t xml:space="preserve">How do the programs stack with one another and with SR&amp;ED / the Innovation Employment Grant?</w:t>
      </w:r>
    </w:p>
    <w:p>
      <w:pPr>
        <w:pStyle w:val="ListParagraph"/>
        <w:numPr>
          <w:ilvl w:val="0"/>
          <w:numId w:val="2"/>
        </w:numPr>
        <w:spacing w:after="40"/>
      </w:pPr>
      <w:r>
        <w:t xml:space="preserve">What milestones, reporting, and outcome metrics are expected, and can prior / ongoing R&amp;D spend be counted?</w:t>
      </w:r>
    </w:p>
    <w:p>
      <w:pPr>
        <w:pStyle w:val="Heading1"/>
      </w:pPr>
      <w:r>
        <w:t xml:space="preserve">10 · Risk &amp; Compliance Language</w:t>
      </w:r>
    </w:p>
    <w:p>
      <w:pPr>
        <w:pStyle w:val="ListParagraph"/>
        <w:numPr>
          <w:ilvl w:val="0"/>
          <w:numId w:val="2"/>
        </w:numPr>
        <w:spacing w:after="40"/>
      </w:pPr>
      <w:r>
        <w:t xml:space="preserve">Starman provides advisor-grade intelligence and workflow support; it does not provide financial, investment, tax, insurance, or legal advice. All recommendations are prepared for licensed-advisor review.</w:t>
      </w:r>
    </w:p>
    <w:p>
      <w:pPr>
        <w:pStyle w:val="ListParagraph"/>
        <w:numPr>
          <w:ilvl w:val="0"/>
          <w:numId w:val="2"/>
        </w:numPr>
        <w:spacing w:after="40"/>
      </w:pPr>
      <w:r>
        <w:t xml:space="preserve">Human review is required. AI outputs are draft, source-grounded, and audit-logged; final decisions rest with the licensed advisor and the firm’s Chief Compliance Officer.</w:t>
      </w:r>
    </w:p>
    <w:p>
      <w:pPr>
        <w:pStyle w:val="ListParagraph"/>
        <w:numPr>
          <w:ilvl w:val="0"/>
          <w:numId w:val="2"/>
        </w:numPr>
        <w:spacing w:after="40"/>
      </w:pPr>
      <w:r>
        <w:t xml:space="preserve">Client data privacy and Canadian data residency are core design goals; the product is architected to keep client data and AI inference in Canada.</w:t>
      </w:r>
    </w:p>
    <w:p>
      <w:pPr>
        <w:pStyle w:val="ListParagraph"/>
        <w:numPr>
          <w:ilvl w:val="0"/>
          <w:numId w:val="2"/>
        </w:numPr>
        <w:spacing w:after="40"/>
      </w:pPr>
      <w:r>
        <w:t xml:space="preserve">All grant materials, screenshots, demos, and pitch decks use demonstration data only. No real client data appears in any external material.</w:t>
      </w:r>
    </w:p>
    <w:p>
      <w:pPr>
        <w:pStyle w:val="ListParagraph"/>
        <w:numPr>
          <w:ilvl w:val="0"/>
          <w:numId w:val="2"/>
        </w:numPr>
        <w:spacing w:after="40"/>
      </w:pPr>
      <w:r>
        <w:t xml:space="preserve">Planning outputs (Monte Carlo, RRIF, tax) are illustrative estimates, not advice, and are labelled as such in-product.</w:t>
      </w:r>
    </w:p>
    <w:p>
      <w:pPr>
        <w:pStyle w:val="ListParagraph"/>
        <w:numPr>
          <w:ilvl w:val="0"/>
          <w:numId w:val="2"/>
        </w:numPr>
        <w:spacing w:after="40"/>
      </w:pPr>
      <w:r>
        <w:t xml:space="preserve">Compliance positioning (CIRO, PIPEDA, Québec Law 25) reflects design intent to be confirmed with the firm’s CCO and legal counsel; no regulatory approval is claimed.</w:t>
      </w:r>
    </w:p>
    <w:p>
      <w:pPr>
        <w:pStyle w:val="Heading1"/>
        <w:pageBreakBefore/>
      </w:pPr>
      <w:r>
        <w:t xml:space="preserve">11 · Final Recommendation — Best Funding Path</w:t>
      </w:r>
    </w:p>
    <w:p>
      <w:pPr>
        <w:pStyle w:val="Heading2"/>
      </w:pPr>
      <w:r>
        <w:t xml:space="preserve">Immediate (next 2 weeks)</w:t>
      </w:r>
    </w:p>
    <w:p>
      <w:pPr>
        <w:pStyle w:val="ListParagraph"/>
        <w:numPr>
          <w:ilvl w:val="0"/>
          <w:numId w:val="2"/>
        </w:numPr>
        <w:spacing w:after="40"/>
      </w:pPr>
      <w:r>
        <w:t xml:space="preserve">Confirm / establish the Alberta for-profit entity that will hold and commercialize Starman; document its Alberta footprint.</w:t>
      </w:r>
    </w:p>
    <w:p>
      <w:pPr>
        <w:pStyle w:val="ListParagraph"/>
        <w:numPr>
          <w:ilvl w:val="0"/>
          <w:numId w:val="2"/>
        </w:numPr>
        <w:spacing w:after="40"/>
      </w:pPr>
      <w:r>
        <w:t xml:space="preserve">Book an intro call with an Alberta Innovates Technology Development Advisor (Section 9 questions).</w:t>
      </w:r>
    </w:p>
    <w:p>
      <w:pPr>
        <w:pStyle w:val="ListParagraph"/>
        <w:numPr>
          <w:ilvl w:val="0"/>
          <w:numId w:val="2"/>
        </w:numPr>
        <w:spacing w:after="40"/>
      </w:pPr>
      <w:r>
        <w:t xml:space="preserve">Start SR&amp;ED documentation discipline now — log hypotheses, experiments, and results for the AI / security work.</w:t>
      </w:r>
    </w:p>
    <w:p>
      <w:pPr>
        <w:pStyle w:val="Heading2"/>
      </w:pPr>
      <w:r>
        <w:t xml:space="preserve">Next 30 days</w:t>
      </w:r>
    </w:p>
    <w:p>
      <w:pPr>
        <w:pStyle w:val="ListParagraph"/>
        <w:numPr>
          <w:ilvl w:val="0"/>
          <w:numId w:val="2"/>
        </w:numPr>
        <w:spacing w:after="40"/>
      </w:pPr>
      <w:r>
        <w:t xml:space="preserve">Apply for the AI Micro Voucher (~$10,000) for the security / data-residency review and market validation (Scenario A).</w:t>
      </w:r>
    </w:p>
    <w:p>
      <w:pPr>
        <w:pStyle w:val="ListParagraph"/>
        <w:numPr>
          <w:ilvl w:val="0"/>
          <w:numId w:val="2"/>
        </w:numPr>
        <w:spacing w:after="40"/>
      </w:pPr>
      <w:r>
        <w:t xml:space="preserve">Run 8–10 advisor discovery interviews; capture expressions of interest for the Digital Traction traction narrative.</w:t>
      </w:r>
    </w:p>
    <w:p>
      <w:pPr>
        <w:pStyle w:val="ListParagraph"/>
        <w:numPr>
          <w:ilvl w:val="0"/>
          <w:numId w:val="2"/>
        </w:numPr>
        <w:spacing w:after="40"/>
      </w:pPr>
      <w:r>
        <w:t xml:space="preserve">Assemble the Digital Traction package (Sections 3, 5B, 6, 7) and secure the 25% cash contribution.</w:t>
      </w:r>
    </w:p>
    <w:p>
      <w:pPr>
        <w:pStyle w:val="Heading2"/>
      </w:pPr>
      <w:r>
        <w:t xml:space="preserve">Next 90 days</w:t>
      </w:r>
    </w:p>
    <w:p>
      <w:pPr>
        <w:pStyle w:val="ListParagraph"/>
        <w:numPr>
          <w:ilvl w:val="0"/>
          <w:numId w:val="2"/>
        </w:numPr>
        <w:spacing w:after="40"/>
      </w:pPr>
      <w:r>
        <w:t xml:space="preserve">Submit the Alberta Digital Traction application (~$50,000) with MVP evidence, competitive advantage, and traction plan.</w:t>
      </w:r>
    </w:p>
    <w:p>
      <w:pPr>
        <w:pStyle w:val="ListParagraph"/>
        <w:numPr>
          <w:ilvl w:val="0"/>
          <w:numId w:val="2"/>
        </w:numPr>
        <w:spacing w:after="40"/>
      </w:pPr>
      <w:r>
        <w:t xml:space="preserve">Scope the AI Voucher (~$100,000) for productization and multi-firm pilot; line up an eligible service provider.</w:t>
      </w:r>
    </w:p>
    <w:p>
      <w:pPr>
        <w:pStyle w:val="ListParagraph"/>
        <w:numPr>
          <w:ilvl w:val="0"/>
          <w:numId w:val="2"/>
        </w:numPr>
        <w:spacing w:after="40"/>
      </w:pPr>
      <w:r>
        <w:t xml:space="preserve">Stand up the Aspire pilot and a demo environment (demo data only).</w:t>
      </w:r>
    </w:p>
    <w:p>
      <w:pPr>
        <w:pStyle w:val="Heading2"/>
      </w:pPr>
      <w:r>
        <w:t xml:space="preserve">6–12 months</w:t>
      </w:r>
    </w:p>
    <w:p>
      <w:pPr>
        <w:pStyle w:val="ListParagraph"/>
        <w:numPr>
          <w:ilvl w:val="0"/>
          <w:numId w:val="2"/>
        </w:numPr>
        <w:spacing w:after="40"/>
      </w:pPr>
      <w:r>
        <w:t xml:space="preserve">Pursue the Product Demonstration Program and / or NRC IRAP for the multi-firm pilot as innovation and traction mature.</w:t>
      </w:r>
    </w:p>
    <w:p>
      <w:pPr>
        <w:pStyle w:val="ListParagraph"/>
        <w:numPr>
          <w:ilvl w:val="0"/>
          <w:numId w:val="2"/>
        </w:numPr>
        <w:spacing w:after="40"/>
      </w:pPr>
      <w:r>
        <w:t xml:space="preserve">File SR&amp;ED + the Alberta Innovation Employment Grant for the year’s eligible R&amp;D.</w:t>
      </w:r>
    </w:p>
    <w:p>
      <w:pPr>
        <w:pStyle w:val="ListParagraph"/>
        <w:numPr>
          <w:ilvl w:val="0"/>
          <w:numId w:val="2"/>
        </w:numPr>
        <w:spacing w:after="40"/>
      </w:pPr>
      <w:r>
        <w:t xml:space="preserve">Consider Industry R&amp;D Associates to fund an in-house Alberta R&amp;D hire.</w:t>
      </w:r>
    </w:p>
    <w:p>
      <w:pPr>
        <w:spacing w:after="60"/>
      </w:pPr>
      <w:r>
        <w:t xml:space="preserve"/>
      </w:r>
    </w:p>
    <w:p>
      <w:pPr>
        <w:spacing w:after="120"/>
      </w:pPr>
      <w:r>
        <w:rPr>
          <w:b/>
          <w:bCs/>
        </w:rPr>
        <w:t xml:space="preserve">Bottom line: direct, non-dilutive grants are most attainable when Starman is presented as a scalable Alberta software product — an AI client-intelligence CRM for independent Canadian advisory firms — with Aspire as the first pilot, rather than as internal office software. Lead with a Micro Voucher to de-risk, follow with Digital Traction for traction, then a Voucher for productization, and layer SR&amp;ED / IEG on the R&amp;D throughout.</w:t>
      </w:r>
    </w:p>
    <w:p>
      <w:pPr>
        <w:pStyle w:val="Heading2"/>
      </w:pPr>
      <w:r>
        <w:t xml:space="preserve">Sources (program facts, verified July 2026)</w:t>
      </w:r>
    </w:p>
    <w:p>
      <w:pPr>
        <w:pStyle w:val="ListParagraph"/>
        <w:numPr>
          <w:ilvl w:val="0"/>
          <w:numId w:val="2"/>
        </w:numPr>
        <w:spacing w:after="30"/>
      </w:pPr>
      <w:hyperlink w:history="1" r:id="rIdia1j4aldzkujtayo3mqqf">
        <w:r>
          <w:rPr>
            <w:rStyle w:val="Hyperlink"/>
            <w:sz w:val="18"/>
            <w:szCs w:val="18"/>
          </w:rPr>
          <w:t xml:space="preserve">Alberta Innovates — Alberta Digital Traction Program</w:t>
        </w:r>
      </w:hyperlink>
    </w:p>
    <w:p>
      <w:pPr>
        <w:pStyle w:val="ListParagraph"/>
        <w:numPr>
          <w:ilvl w:val="0"/>
          <w:numId w:val="2"/>
        </w:numPr>
        <w:spacing w:after="30"/>
      </w:pPr>
      <w:hyperlink w:history="1" r:id="rIdrcenpuinaozrs32jd8xkq">
        <w:r>
          <w:rPr>
            <w:rStyle w:val="Hyperlink"/>
            <w:sz w:val="18"/>
            <w:szCs w:val="18"/>
          </w:rPr>
          <w:t xml:space="preserve">Alberta Innovates — Micro Voucher Program</w:t>
        </w:r>
      </w:hyperlink>
    </w:p>
    <w:p>
      <w:pPr>
        <w:pStyle w:val="ListParagraph"/>
        <w:numPr>
          <w:ilvl w:val="0"/>
          <w:numId w:val="2"/>
        </w:numPr>
        <w:spacing w:after="30"/>
      </w:pPr>
      <w:hyperlink w:history="1" r:id="rId_aygw3_14f-xjxfpucejk">
        <w:r>
          <w:rPr>
            <w:rStyle w:val="Hyperlink"/>
            <w:sz w:val="18"/>
            <w:szCs w:val="18"/>
          </w:rPr>
          <w:t xml:space="preserve">Government of Alberta — Innovation Employment Grant</w:t>
        </w:r>
      </w:hyperlink>
    </w:p>
    <w:p>
      <w:pPr>
        <w:pStyle w:val="ListParagraph"/>
        <w:numPr>
          <w:ilvl w:val="0"/>
          <w:numId w:val="2"/>
        </w:numPr>
        <w:spacing w:after="30"/>
      </w:pPr>
      <w:hyperlink w:history="1" r:id="rIdyherbfiaevexenb6lagho">
        <w:r>
          <w:rPr>
            <w:rStyle w:val="Hyperlink"/>
            <w:sz w:val="18"/>
            <w:szCs w:val="18"/>
          </w:rPr>
          <w:t xml:space="preserve">CRA — SR&amp;ED provincial / territorial R&amp;D tax credits</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Starman — Aspire Investments · Funding &amp; Grant Preparation · Confidential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0E463A"/>
      <w:sz w:val="28"/>
      <w:szCs w:val="28"/>
    </w:rPr>
  </w:style>
  <w:style w:type="paragraph" w:styleId="Heading2">
    <w:name w:val="Heading 2"/>
    <w:basedOn w:val="Normal"/>
    <w:next w:val="Normal"/>
    <w:qFormat/>
    <w:pPr>
      <w:spacing w:after="80" w:before="160"/>
      <w:outlineLvl w:val="1"/>
    </w:pPr>
    <w:rPr>
      <w:rFonts w:ascii="Arial" w:cs="Arial" w:eastAsia="Arial" w:hAnsi="Arial"/>
      <w:b/>
      <w:bCs/>
      <w:color w:val="9A742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ia1j4aldzkujtayo3mqqf" Type="http://schemas.openxmlformats.org/officeDocument/2006/relationships/hyperlink" Target="https://albertainnovates.ca/funding/alberta-digital-traction-program/" TargetMode="External"/><Relationship Id="rIdrcenpuinaozrs32jd8xkq" Type="http://schemas.openxmlformats.org/officeDocument/2006/relationships/hyperlink" Target="https://albertainnovates.ca/funding/micro-voucher-program/" TargetMode="External"/><Relationship Id="rId_aygw3_14f-xjxfpucejk" Type="http://schemas.openxmlformats.org/officeDocument/2006/relationships/hyperlink" Target="https://www.alberta.ca/innovation-employment-grant" TargetMode="External"/><Relationship Id="rIdyherbfiaevexenb6lagho" Type="http://schemas.openxmlformats.org/officeDocument/2006/relationships/hyperlink" Target="https://www.canada.ca/en/revenue-agency/services/scientific-research-experimental-development-tax-incentive-program/provincial-territorial-research-development-tax-credits.html"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2026-07-07T21:23:48.698Z</dcterms:created>
  <dcterms:modified xsi:type="dcterms:W3CDTF">2026-07-07T21:23:48.699Z</dcterms:modified>
</cp:coreProperties>
</file>

<file path=docProps/custom.xml><?xml version="1.0" encoding="utf-8"?>
<Properties xmlns="http://schemas.openxmlformats.org/officeDocument/2006/custom-properties" xmlns:vt="http://schemas.openxmlformats.org/officeDocument/2006/docPropsVTypes"/>
</file>