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8B96A2"/>
          <w:spacing w:val="10"/>
          <w:sz w:val="17"/>
          <w:szCs w:val="17"/>
        </w:rPr>
        <w:t xml:space="preserve">RFC-2026-01</w:t>
      </w:r>
    </w:p>
    <w:p>
      <w:pPr>
        <w:spacing w:after="80"/>
      </w:pPr>
      <w:r>
        <w:rPr>
          <w:rFonts w:ascii="Calibri" w:cs="Calibri" w:eastAsia="Calibri" w:hAnsi="Calibri"/>
          <w:b/>
          <w:bCs/>
          <w:color w:val="0F2E52"/>
          <w:sz w:val="32"/>
          <w:szCs w:val="32"/>
        </w:rPr>
        <w:t xml:space="preserve">IAM Intelligence Dashboard for Microsoft Entra ID</w:t>
      </w:r>
    </w:p>
    <w:p>
      <w:pPr>
        <w:pBdr>
          <w:bottom w:val="single" w:color="1B4C87" w:sz="10" w:space="4"/>
        </w:pBdr>
        <w:spacing w:after="140"/>
      </w:pPr>
      <w:r>
        <w:rPr>
          <w:rFonts w:ascii="Calibri" w:cs="Calibri" w:eastAsia="Calibri" w:hAnsi="Calibri"/>
          <w:color w:val="5B6672"/>
          <w:spacing w:val="3"/>
          <w:sz w:val="14"/>
          <w:szCs w:val="14"/>
        </w:rPr>
        <w:t xml:space="preserve">STATUS: In production (Aspire iTECH Solutions tenant)      OWNER: IT / Security      ASK: Approve continued investment &amp; org-wide rollout</w:t>
      </w:r>
    </w:p>
    <w:p>
      <w:pPr>
        <w:pBdr>
          <w:bottom w:val="single" w:color="1B4C87" w:sz="4" w:space="3"/>
        </w:pBdr>
        <w:spacing w:after="60" w:before="160"/>
      </w:pPr>
      <w:r>
        <w:rPr>
          <w:rFonts w:ascii="Calibri" w:cs="Calibri" w:eastAsia="Calibri" w:hAnsi="Calibri"/>
          <w:b/>
          <w:bCs/>
          <w:color w:val="8B96A2"/>
          <w:sz w:val="21"/>
          <w:szCs w:val="21"/>
        </w:rPr>
        <w:t xml:space="preserve">1.  </w:t>
      </w:r>
      <w:r>
        <w:rPr>
          <w:rFonts w:ascii="Calibri" w:cs="Calibri" w:eastAsia="Calibri" w:hAnsi="Calibri"/>
          <w:b/>
          <w:bCs/>
          <w:color w:val="1B4C87"/>
          <w:spacing w:val="6"/>
          <w:sz w:val="21"/>
          <w:szCs w:val="21"/>
        </w:rPr>
        <w:t xml:space="preserve">THE PROBLEM</w:t>
      </w:r>
    </w:p>
    <w:p>
      <w:pPr>
        <w:spacing w:after="70" w:line="252"/>
      </w:pPr>
      <w:r>
        <w:rPr>
          <w:rFonts w:ascii="Calibri" w:cs="Calibri" w:eastAsia="Calibri" w:hAnsi="Calibri"/>
          <w:color w:val="222222"/>
          <w:sz w:val="19"/>
          <w:szCs w:val="19"/>
        </w:rPr>
        <w:t xml:space="preserve">Today, knowing the real state of identity security in Microsoft Entra ID — who has access, whose MFA is missing, which app credentials are about to expire, which accounts are stale, which role combinations are risky — means an admin manually clicking through the Entra portal or writing one-off Graph API / PowerShell queries. There is no single, always-current view.</w:t>
      </w:r>
    </w:p>
    <w:p>
      <w:pPr>
        <w:pStyle w:val="ListParagraph"/>
        <w:numPr>
          <w:ilvl w:val="0"/>
          <w:numId w:val="2"/>
        </w:numPr>
        <w:spacing w:after="36" w:line="246"/>
      </w:pPr>
      <w:r>
        <w:rPr>
          <w:rFonts w:ascii="Calibri" w:cs="Calibri" w:eastAsia="Calibri" w:hAnsi="Calibri"/>
          <w:b/>
          <w:bCs/>
          <w:color w:val="1B4C87"/>
          <w:sz w:val="19"/>
          <w:szCs w:val="19"/>
        </w:rPr>
        <w:t xml:space="preserve">Manual &amp; not repeatable — </w:t>
      </w:r>
      <w:r>
        <w:rPr>
          <w:rFonts w:ascii="Calibri" w:cs="Calibri" w:eastAsia="Calibri" w:hAnsi="Calibri"/>
          <w:color w:val="222222"/>
          <w:sz w:val="19"/>
          <w:szCs w:val="19"/>
        </w:rPr>
        <w:t xml:space="preserve">every review starts from scratch; findings live in someone's spreadsheet, not a system.</w:t>
      </w:r>
    </w:p>
    <w:p>
      <w:pPr>
        <w:pStyle w:val="ListParagraph"/>
        <w:numPr>
          <w:ilvl w:val="0"/>
          <w:numId w:val="2"/>
        </w:numPr>
        <w:spacing w:after="36" w:line="246"/>
      </w:pPr>
      <w:r>
        <w:rPr>
          <w:rFonts w:ascii="Calibri" w:cs="Calibri" w:eastAsia="Calibri" w:hAnsi="Calibri"/>
          <w:b/>
          <w:bCs/>
          <w:color w:val="1B4C87"/>
          <w:sz w:val="19"/>
          <w:szCs w:val="19"/>
        </w:rPr>
        <w:t xml:space="preserve">Doesn't scale — </w:t>
      </w:r>
      <w:r>
        <w:rPr>
          <w:rFonts w:ascii="Calibri" w:cs="Calibri" w:eastAsia="Calibri" w:hAnsi="Calibri"/>
          <w:color w:val="222222"/>
          <w:sz w:val="19"/>
          <w:szCs w:val="19"/>
        </w:rPr>
        <w:t xml:space="preserve">acceptable for 10 accounts, unworkable for 100+ users, dozens of app registrations, and daily sign-in volume.</w:t>
      </w:r>
    </w:p>
    <w:p>
      <w:pPr>
        <w:pStyle w:val="ListParagraph"/>
        <w:numPr>
          <w:ilvl w:val="0"/>
          <w:numId w:val="2"/>
        </w:numPr>
        <w:spacing w:after="36" w:line="246"/>
      </w:pPr>
      <w:r>
        <w:rPr>
          <w:rFonts w:ascii="Calibri" w:cs="Calibri" w:eastAsia="Calibri" w:hAnsi="Calibri"/>
          <w:b/>
          <w:bCs/>
          <w:color w:val="1B4C87"/>
          <w:sz w:val="19"/>
          <w:szCs w:val="19"/>
        </w:rPr>
        <w:t xml:space="preserve">Risk is discovered late — </w:t>
      </w:r>
      <w:r>
        <w:rPr>
          <w:rFonts w:ascii="Calibri" w:cs="Calibri" w:eastAsia="Calibri" w:hAnsi="Calibri"/>
          <w:color w:val="222222"/>
          <w:sz w:val="19"/>
          <w:szCs w:val="19"/>
        </w:rPr>
        <w:t xml:space="preserve">an expired app secret, a stale enabled account, or a toxic admin + risky-user combination is typically found during an incident or an audit, not before one.</w:t>
      </w:r>
    </w:p>
    <w:p>
      <w:pPr>
        <w:pStyle w:val="ListParagraph"/>
        <w:numPr>
          <w:ilvl w:val="0"/>
          <w:numId w:val="2"/>
        </w:numPr>
        <w:spacing w:after="36" w:line="246"/>
      </w:pPr>
      <w:r>
        <w:rPr>
          <w:rFonts w:ascii="Calibri" w:cs="Calibri" w:eastAsia="Calibri" w:hAnsi="Calibri"/>
          <w:b/>
          <w:bCs/>
          <w:color w:val="1B4C87"/>
          <w:sz w:val="19"/>
          <w:szCs w:val="19"/>
        </w:rPr>
        <w:t xml:space="preserve">No single source of truth — </w:t>
      </w:r>
      <w:r>
        <w:rPr>
          <w:rFonts w:ascii="Calibri" w:cs="Calibri" w:eastAsia="Calibri" w:hAnsi="Calibri"/>
          <w:color w:val="222222"/>
          <w:sz w:val="19"/>
          <w:szCs w:val="19"/>
        </w:rPr>
        <w:t xml:space="preserve">different people pull different numbers at different times; nothing is reconciled or historized.</w:t>
      </w:r>
    </w:p>
    <w:p>
      <w:pPr>
        <w:pBdr>
          <w:bottom w:val="single" w:color="1B4C87" w:sz="4" w:space="3"/>
        </w:pBdr>
        <w:spacing w:after="60" w:before="160"/>
      </w:pPr>
      <w:r>
        <w:rPr>
          <w:rFonts w:ascii="Calibri" w:cs="Calibri" w:eastAsia="Calibri" w:hAnsi="Calibri"/>
          <w:b/>
          <w:bCs/>
          <w:color w:val="8B96A2"/>
          <w:sz w:val="21"/>
          <w:szCs w:val="21"/>
        </w:rPr>
        <w:t xml:space="preserve">2.  </w:t>
      </w:r>
      <w:r>
        <w:rPr>
          <w:rFonts w:ascii="Calibri" w:cs="Calibri" w:eastAsia="Calibri" w:hAnsi="Calibri"/>
          <w:b/>
          <w:bCs/>
          <w:color w:val="1B4C87"/>
          <w:spacing w:val="6"/>
          <w:sz w:val="21"/>
          <w:szCs w:val="21"/>
        </w:rPr>
        <w:t xml:space="preserve">WHY NOT GRAFANA, DATADOG, SPLUNK, OR ANOTHER OBSERVABILITY PLATFORM?</w:t>
      </w:r>
    </w:p>
    <w:p>
      <w:pPr>
        <w:spacing w:after="60" w:line="252"/>
      </w:pPr>
      <w:r>
        <w:rPr>
          <w:rFonts w:ascii="Calibri" w:cs="Calibri" w:eastAsia="Calibri" w:hAnsi="Calibri"/>
          <w:color w:val="222222"/>
          <w:sz w:val="19"/>
          <w:szCs w:val="19"/>
        </w:rPr>
        <w:t xml:space="preserve">These are excellent tools for infrastructure and application telemetry (CPU, latency, logs) — but none of them understand Entra ID identity governance out of the box. “Toxic role combination,” “stale enabled account,” “ownerless app registration,” and “expiring app credential” are not metrics any exporter emits — that business logic has to be hand-built and maintained regardless of which chart tool sits on top. Adopting a generic platform doesn't remove that engineering work; it adds a second system to license, host, and secure on top of it.</w:t>
      </w:r>
    </w:p>
    <w:tbl>
      <w:tblPr>
        <w:tblW w:type="dxa" w:w="10920"/>
        <w:tblBorders>
          <w:top w:val="single" w:color="auto" w:sz="4"/>
          <w:left w:val="single" w:color="auto" w:sz="4"/>
          <w:bottom w:val="single" w:color="auto" w:sz="4"/>
          <w:right w:val="single" w:color="auto" w:sz="4"/>
          <w:insideH w:val="single" w:color="auto" w:sz="4"/>
          <w:insideV w:val="single" w:color="auto" w:sz="4"/>
        </w:tblBorders>
      </w:tblPr>
      <w:tblGrid>
        <w:gridCol w:w="3100"/>
        <w:gridCol w:w="3910"/>
        <w:gridCol w:w="3910"/>
      </w:tblGrid>
      <w:tr>
        <w:tc>
          <w:tcPr>
            <w:tcW w:type="dxa" w:w="3100"/>
            <w:tcBorders>
              <w:top w:val="single" w:color="D8E0E8" w:sz="2"/>
              <w:left w:val="none" w:color="FFFFFF" w:sz="0"/>
              <w:bottom w:val="single" w:color="D8E0E8" w:sz="2"/>
              <w:right w:val="none" w:color="FFFFFF" w:sz="0"/>
            </w:tcBorders>
            <w:shd w:fill="1B4C87" w:val="clear"/>
            <w:tcMar>
              <w:top w:type="dxa" w:w="70"/>
              <w:left w:type="dxa" w:w="90"/>
              <w:bottom w:type="dxa" w:w="70"/>
              <w:right w:type="dxa" w:w="90"/>
            </w:tcMar>
            <w:vAlign w:val="center"/>
          </w:tcPr>
          <w:p>
            <w:pPr>
              <w:spacing w:line="232"/>
            </w:pPr>
            <w:r>
              <w:rPr>
                <w:rFonts w:ascii="Calibri" w:cs="Calibri" w:eastAsia="Calibri" w:hAnsi="Calibri"/>
                <w:b/>
                <w:bCs/>
                <w:color w:val="FFFFFF"/>
                <w:sz w:val="17"/>
                <w:szCs w:val="17"/>
              </w:rPr>
              <w:t xml:space="preserve">CAPABILITY</w:t>
            </w:r>
          </w:p>
        </w:tc>
        <w:tc>
          <w:tcPr>
            <w:tcW w:type="dxa" w:w="3910"/>
            <w:tcBorders>
              <w:top w:val="single" w:color="D8E0E8" w:sz="2"/>
              <w:left w:val="none" w:color="FFFFFF" w:sz="0"/>
              <w:bottom w:val="single" w:color="D8E0E8" w:sz="2"/>
              <w:right w:val="none" w:color="FFFFFF" w:sz="0"/>
            </w:tcBorders>
            <w:shd w:fill="1B4C87" w:val="clear"/>
            <w:tcMar>
              <w:top w:type="dxa" w:w="70"/>
              <w:left w:type="dxa" w:w="90"/>
              <w:bottom w:type="dxa" w:w="70"/>
              <w:right w:type="dxa" w:w="90"/>
            </w:tcMar>
            <w:vAlign w:val="center"/>
          </w:tcPr>
          <w:p>
            <w:pPr>
              <w:spacing w:line="232"/>
            </w:pPr>
            <w:r>
              <w:rPr>
                <w:rFonts w:ascii="Calibri" w:cs="Calibri" w:eastAsia="Calibri" w:hAnsi="Calibri"/>
                <w:b/>
                <w:bCs/>
                <w:color w:val="FFFFFF"/>
                <w:sz w:val="17"/>
                <w:szCs w:val="17"/>
              </w:rPr>
              <w:t xml:space="preserve">GRAFANA / DATADOG / SPLUNK</w:t>
            </w:r>
          </w:p>
        </w:tc>
        <w:tc>
          <w:tcPr>
            <w:tcW w:type="dxa" w:w="3910"/>
            <w:tcBorders>
              <w:top w:val="single" w:color="D8E0E8" w:sz="2"/>
              <w:left w:val="none" w:color="FFFFFF" w:sz="0"/>
              <w:bottom w:val="single" w:color="D8E0E8" w:sz="2"/>
              <w:right w:val="none" w:color="FFFFFF" w:sz="0"/>
            </w:tcBorders>
            <w:shd w:fill="1B4C87" w:val="clear"/>
            <w:tcMar>
              <w:top w:type="dxa" w:w="70"/>
              <w:left w:type="dxa" w:w="90"/>
              <w:bottom w:type="dxa" w:w="70"/>
              <w:right w:type="dxa" w:w="90"/>
            </w:tcMar>
            <w:vAlign w:val="center"/>
          </w:tcPr>
          <w:p>
            <w:pPr>
              <w:spacing w:line="232"/>
            </w:pPr>
            <w:r>
              <w:rPr>
                <w:rFonts w:ascii="Calibri" w:cs="Calibri" w:eastAsia="Calibri" w:hAnsi="Calibri"/>
                <w:b/>
                <w:bCs/>
                <w:color w:val="FFFFFF"/>
                <w:sz w:val="17"/>
                <w:szCs w:val="17"/>
              </w:rPr>
              <w:t xml:space="preserve">IAM INTELLIGENCE DASHBOARD</w:t>
            </w:r>
          </w:p>
        </w:tc>
      </w:tr>
      <w:tr>
        <w:tc>
          <w:tcPr>
            <w:tcW w:type="dxa" w:w="3100"/>
            <w:tcBorders>
              <w:top w:val="single" w:color="D8E0E8" w:sz="2"/>
              <w:left w:val="none" w:color="FFFFFF" w:sz="0"/>
              <w:bottom w:val="single" w:color="D8E0E8" w:sz="2"/>
              <w:right w:val="none" w:color="FFFFFF" w:sz="0"/>
            </w:tcBorders>
            <w:shd w:fill="F1F5FA" w:val="clear"/>
            <w:tcMar>
              <w:top w:type="dxa" w:w="70"/>
              <w:left w:type="dxa" w:w="90"/>
              <w:bottom w:type="dxa" w:w="70"/>
              <w:right w:type="dxa" w:w="90"/>
            </w:tcMar>
            <w:vAlign w:val="center"/>
          </w:tcPr>
          <w:p>
            <w:pPr>
              <w:spacing w:line="232"/>
            </w:pPr>
            <w:r>
              <w:rPr>
                <w:rFonts w:ascii="Calibri" w:cs="Calibri" w:eastAsia="Calibri" w:hAnsi="Calibri"/>
                <w:color w:val="222222"/>
                <w:sz w:val="17"/>
                <w:szCs w:val="17"/>
              </w:rPr>
              <w:t xml:space="preserve">Entra identity logic</w:t>
            </w:r>
            <w:r>
              <w:br/>
              <w:t xml:space="preserve"/>
            </w:r>
            <w:r>
              <w:rPr>
                <w:rFonts w:ascii="Calibri" w:cs="Calibri" w:eastAsia="Calibri" w:hAnsi="Calibri"/>
                <w:color w:val="222222"/>
                <w:sz w:val="17"/>
                <w:szCs w:val="17"/>
              </w:rPr>
              <w:t xml:space="preserve">(MFA gaps, toxic roles, stale accounts, cert/secret expiry)</w:t>
            </w:r>
          </w:p>
        </w:tc>
        <w:tc>
          <w:tcPr>
            <w:tcW w:type="dxa" w:w="3910"/>
            <w:tcBorders>
              <w:top w:val="single" w:color="D8E0E8" w:sz="2"/>
              <w:left w:val="none" w:color="FFFFFF" w:sz="0"/>
              <w:bottom w:val="single" w:color="D8E0E8" w:sz="2"/>
              <w:right w:val="none" w:color="FFFFFF" w:sz="0"/>
            </w:tcBorders>
            <w:shd w:fill="F1F5FA" w:val="clear"/>
            <w:tcMar>
              <w:top w:type="dxa" w:w="70"/>
              <w:left w:type="dxa" w:w="90"/>
              <w:bottom w:type="dxa" w:w="70"/>
              <w:right w:type="dxa" w:w="90"/>
            </w:tcMar>
            <w:vAlign w:val="center"/>
          </w:tcPr>
          <w:p>
            <w:pPr>
              <w:spacing w:line="232"/>
            </w:pPr>
            <w:r>
              <w:rPr>
                <w:rFonts w:ascii="Calibri" w:cs="Calibri" w:eastAsia="Calibri" w:hAnsi="Calibri"/>
                <w:color w:val="222222"/>
                <w:sz w:val="17"/>
                <w:szCs w:val="17"/>
              </w:rPr>
              <w:t xml:space="preserve">Not built-in — requires a custom exporter and hand-written rules, engineered from scratch</w:t>
            </w:r>
          </w:p>
        </w:tc>
        <w:tc>
          <w:tcPr>
            <w:tcW w:type="dxa" w:w="3910"/>
            <w:tcBorders>
              <w:top w:val="single" w:color="D8E0E8" w:sz="2"/>
              <w:left w:val="none" w:color="FFFFFF" w:sz="0"/>
              <w:bottom w:val="single" w:color="D8E0E8" w:sz="2"/>
              <w:right w:val="none" w:color="FFFFFF" w:sz="0"/>
            </w:tcBorders>
            <w:shd w:fill="F1F5FA" w:val="clear"/>
            <w:tcMar>
              <w:top w:type="dxa" w:w="70"/>
              <w:left w:type="dxa" w:w="90"/>
              <w:bottom w:type="dxa" w:w="70"/>
              <w:right w:type="dxa" w:w="90"/>
            </w:tcMar>
            <w:vAlign w:val="center"/>
          </w:tcPr>
          <w:p>
            <w:pPr>
              <w:spacing w:line="232"/>
            </w:pPr>
            <w:r>
              <w:rPr>
                <w:rFonts w:ascii="Calibri" w:cs="Calibri" w:eastAsia="Calibri" w:hAnsi="Calibri"/>
                <w:color w:val="222222"/>
                <w:sz w:val="17"/>
                <w:szCs w:val="17"/>
              </w:rPr>
              <w:t xml:space="preserve">Built-in today, purpose-made for this exact data model</w:t>
            </w:r>
          </w:p>
        </w:tc>
      </w:tr>
      <w:tr>
        <w:tc>
          <w:tcPr>
            <w:tcW w:type="dxa" w:w="3100"/>
            <w:tcBorders>
              <w:top w:val="single" w:color="D8E0E8" w:sz="2"/>
              <w:left w:val="none" w:color="FFFFFF" w:sz="0"/>
              <w:bottom w:val="single" w:color="D8E0E8" w:sz="2"/>
              <w:right w:val="none" w:color="FFFFFF" w:sz="0"/>
            </w:tcBorders>
            <w:shd w:fill="FFFFFF" w:val="clear"/>
            <w:tcMar>
              <w:top w:type="dxa" w:w="70"/>
              <w:left w:type="dxa" w:w="90"/>
              <w:bottom w:type="dxa" w:w="70"/>
              <w:right w:type="dxa" w:w="90"/>
            </w:tcMar>
            <w:vAlign w:val="center"/>
          </w:tcPr>
          <w:p>
            <w:pPr>
              <w:spacing w:line="232"/>
            </w:pPr>
            <w:r>
              <w:rPr>
                <w:rFonts w:ascii="Calibri" w:cs="Calibri" w:eastAsia="Calibri" w:hAnsi="Calibri"/>
                <w:color w:val="222222"/>
                <w:sz w:val="17"/>
                <w:szCs w:val="17"/>
              </w:rPr>
              <w:t xml:space="preserve">Licensing &amp; hosting cost</w:t>
            </w:r>
          </w:p>
        </w:tc>
        <w:tc>
          <w:tcPr>
            <w:tcW w:type="dxa" w:w="3910"/>
            <w:tcBorders>
              <w:top w:val="single" w:color="D8E0E8" w:sz="2"/>
              <w:left w:val="none" w:color="FFFFFF" w:sz="0"/>
              <w:bottom w:val="single" w:color="D8E0E8" w:sz="2"/>
              <w:right w:val="none" w:color="FFFFFF" w:sz="0"/>
            </w:tcBorders>
            <w:shd w:fill="FFFFFF" w:val="clear"/>
            <w:tcMar>
              <w:top w:type="dxa" w:w="70"/>
              <w:left w:type="dxa" w:w="90"/>
              <w:bottom w:type="dxa" w:w="70"/>
              <w:right w:type="dxa" w:w="90"/>
            </w:tcMar>
            <w:vAlign w:val="center"/>
          </w:tcPr>
          <w:p>
            <w:pPr>
              <w:spacing w:line="232"/>
            </w:pPr>
            <w:r>
              <w:rPr>
                <w:rFonts w:ascii="Calibri" w:cs="Calibri" w:eastAsia="Calibri" w:hAnsi="Calibri"/>
                <w:color w:val="222222"/>
                <w:sz w:val="17"/>
                <w:szCs w:val="17"/>
              </w:rPr>
              <w:t xml:space="preserve">New platform to buy/host (Enterprise/Cloud seats, or self-hosted stack + exporters)</w:t>
            </w:r>
          </w:p>
        </w:tc>
        <w:tc>
          <w:tcPr>
            <w:tcW w:type="dxa" w:w="3910"/>
            <w:tcBorders>
              <w:top w:val="single" w:color="D8E0E8" w:sz="2"/>
              <w:left w:val="none" w:color="FFFFFF" w:sz="0"/>
              <w:bottom w:val="single" w:color="D8E0E8" w:sz="2"/>
              <w:right w:val="none" w:color="FFFFFF" w:sz="0"/>
            </w:tcBorders>
            <w:shd w:fill="FFFFFF" w:val="clear"/>
            <w:tcMar>
              <w:top w:type="dxa" w:w="70"/>
              <w:left w:type="dxa" w:w="90"/>
              <w:bottom w:type="dxa" w:w="70"/>
              <w:right w:type="dxa" w:w="90"/>
            </w:tcMar>
            <w:vAlign w:val="center"/>
          </w:tcPr>
          <w:p>
            <w:pPr>
              <w:spacing w:line="232"/>
            </w:pPr>
            <w:r>
              <w:rPr>
                <w:rFonts w:ascii="Calibri" w:cs="Calibri" w:eastAsia="Calibri" w:hAnsi="Calibri"/>
                <w:color w:val="222222"/>
                <w:sz w:val="17"/>
                <w:szCs w:val="17"/>
              </w:rPr>
              <w:t xml:space="preserve">Zero extra licensing — lightweight Node/React app + optional SQLite collector on infra already in use</w:t>
            </w:r>
          </w:p>
        </w:tc>
      </w:tr>
      <w:tr>
        <w:tc>
          <w:tcPr>
            <w:tcW w:type="dxa" w:w="3100"/>
            <w:tcBorders>
              <w:top w:val="single" w:color="D8E0E8" w:sz="2"/>
              <w:left w:val="none" w:color="FFFFFF" w:sz="0"/>
              <w:bottom w:val="single" w:color="D8E0E8" w:sz="2"/>
              <w:right w:val="none" w:color="FFFFFF" w:sz="0"/>
            </w:tcBorders>
            <w:shd w:fill="F1F5FA" w:val="clear"/>
            <w:tcMar>
              <w:top w:type="dxa" w:w="70"/>
              <w:left w:type="dxa" w:w="90"/>
              <w:bottom w:type="dxa" w:w="70"/>
              <w:right w:type="dxa" w:w="90"/>
            </w:tcMar>
            <w:vAlign w:val="center"/>
          </w:tcPr>
          <w:p>
            <w:pPr>
              <w:spacing w:line="232"/>
            </w:pPr>
            <w:r>
              <w:rPr>
                <w:rFonts w:ascii="Calibri" w:cs="Calibri" w:eastAsia="Calibri" w:hAnsi="Calibri"/>
                <w:color w:val="222222"/>
                <w:sz w:val="17"/>
                <w:szCs w:val="17"/>
              </w:rPr>
              <w:t xml:space="preserve">Security model</w:t>
            </w:r>
          </w:p>
        </w:tc>
        <w:tc>
          <w:tcPr>
            <w:tcW w:type="dxa" w:w="3910"/>
            <w:tcBorders>
              <w:top w:val="single" w:color="D8E0E8" w:sz="2"/>
              <w:left w:val="none" w:color="FFFFFF" w:sz="0"/>
              <w:bottom w:val="single" w:color="D8E0E8" w:sz="2"/>
              <w:right w:val="none" w:color="FFFFFF" w:sz="0"/>
            </w:tcBorders>
            <w:shd w:fill="F1F5FA" w:val="clear"/>
            <w:tcMar>
              <w:top w:type="dxa" w:w="70"/>
              <w:left w:type="dxa" w:w="90"/>
              <w:bottom w:type="dxa" w:w="70"/>
              <w:right w:type="dxa" w:w="90"/>
            </w:tcMar>
            <w:vAlign w:val="center"/>
          </w:tcPr>
          <w:p>
            <w:pPr>
              <w:spacing w:line="232"/>
            </w:pPr>
            <w:r>
              <w:rPr>
                <w:rFonts w:ascii="Calibri" w:cs="Calibri" w:eastAsia="Calibri" w:hAnsi="Calibri"/>
                <w:color w:val="222222"/>
                <w:sz w:val="17"/>
                <w:szCs w:val="17"/>
              </w:rPr>
              <w:t xml:space="preserve">Auth / least-privilege to Graph must still be designed and wired by hand</w:t>
            </w:r>
          </w:p>
        </w:tc>
        <w:tc>
          <w:tcPr>
            <w:tcW w:type="dxa" w:w="3910"/>
            <w:tcBorders>
              <w:top w:val="single" w:color="D8E0E8" w:sz="2"/>
              <w:left w:val="none" w:color="FFFFFF" w:sz="0"/>
              <w:bottom w:val="single" w:color="D8E0E8" w:sz="2"/>
              <w:right w:val="none" w:color="FFFFFF" w:sz="0"/>
            </w:tcBorders>
            <w:shd w:fill="F1F5FA" w:val="clear"/>
            <w:tcMar>
              <w:top w:type="dxa" w:w="70"/>
              <w:left w:type="dxa" w:w="90"/>
              <w:bottom w:type="dxa" w:w="70"/>
              <w:right w:type="dxa" w:w="90"/>
            </w:tcMar>
            <w:vAlign w:val="center"/>
          </w:tcPr>
          <w:p>
            <w:pPr>
              <w:spacing w:line="232"/>
            </w:pPr>
            <w:r>
              <w:rPr>
                <w:rFonts w:ascii="Calibri" w:cs="Calibri" w:eastAsia="Calibri" w:hAnsi="Calibri"/>
                <w:color w:val="222222"/>
                <w:sz w:val="17"/>
                <w:szCs w:val="17"/>
              </w:rPr>
              <w:t xml:space="preserve">Least-privilege, read-only Graph scopes; cert-based app-only auth; documented threat model</w:t>
            </w:r>
          </w:p>
        </w:tc>
      </w:tr>
      <w:tr>
        <w:tc>
          <w:tcPr>
            <w:tcW w:type="dxa" w:w="3100"/>
            <w:tcBorders>
              <w:top w:val="single" w:color="D8E0E8" w:sz="2"/>
              <w:left w:val="none" w:color="FFFFFF" w:sz="0"/>
              <w:bottom w:val="single" w:color="D8E0E8" w:sz="2"/>
              <w:right w:val="none" w:color="FFFFFF" w:sz="0"/>
            </w:tcBorders>
            <w:shd w:fill="FFFFFF" w:val="clear"/>
            <w:tcMar>
              <w:top w:type="dxa" w:w="70"/>
              <w:left w:type="dxa" w:w="90"/>
              <w:bottom w:type="dxa" w:w="70"/>
              <w:right w:type="dxa" w:w="90"/>
            </w:tcMar>
            <w:vAlign w:val="center"/>
          </w:tcPr>
          <w:p>
            <w:pPr>
              <w:spacing w:line="232"/>
            </w:pPr>
            <w:r>
              <w:rPr>
                <w:rFonts w:ascii="Calibri" w:cs="Calibri" w:eastAsia="Calibri" w:hAnsi="Calibri"/>
                <w:color w:val="222222"/>
                <w:sz w:val="17"/>
                <w:szCs w:val="17"/>
              </w:rPr>
              <w:t xml:space="preserve">Time to value</w:t>
            </w:r>
          </w:p>
        </w:tc>
        <w:tc>
          <w:tcPr>
            <w:tcW w:type="dxa" w:w="3910"/>
            <w:tcBorders>
              <w:top w:val="single" w:color="D8E0E8" w:sz="2"/>
              <w:left w:val="none" w:color="FFFFFF" w:sz="0"/>
              <w:bottom w:val="single" w:color="D8E0E8" w:sz="2"/>
              <w:right w:val="none" w:color="FFFFFF" w:sz="0"/>
            </w:tcBorders>
            <w:shd w:fill="FFFFFF" w:val="clear"/>
            <w:tcMar>
              <w:top w:type="dxa" w:w="70"/>
              <w:left w:type="dxa" w:w="90"/>
              <w:bottom w:type="dxa" w:w="70"/>
              <w:right w:type="dxa" w:w="90"/>
            </w:tcMar>
            <w:vAlign w:val="center"/>
          </w:tcPr>
          <w:p>
            <w:pPr>
              <w:spacing w:line="232"/>
            </w:pPr>
            <w:r>
              <w:rPr>
                <w:rFonts w:ascii="Calibri" w:cs="Calibri" w:eastAsia="Calibri" w:hAnsi="Calibri"/>
                <w:color w:val="222222"/>
                <w:sz w:val="17"/>
                <w:szCs w:val="17"/>
              </w:rPr>
              <w:t xml:space="preserve">Weeks of exporter + dashboard engineering before the first useful view</w:t>
            </w:r>
          </w:p>
        </w:tc>
        <w:tc>
          <w:tcPr>
            <w:tcW w:type="dxa" w:w="3910"/>
            <w:tcBorders>
              <w:top w:val="single" w:color="D8E0E8" w:sz="2"/>
              <w:left w:val="none" w:color="FFFFFF" w:sz="0"/>
              <w:bottom w:val="single" w:color="D8E0E8" w:sz="2"/>
              <w:right w:val="none" w:color="FFFFFF" w:sz="0"/>
            </w:tcBorders>
            <w:shd w:fill="FFFFFF" w:val="clear"/>
            <w:tcMar>
              <w:top w:type="dxa" w:w="70"/>
              <w:left w:type="dxa" w:w="90"/>
              <w:bottom w:type="dxa" w:w="70"/>
              <w:right w:type="dxa" w:w="90"/>
            </w:tcMar>
            <w:vAlign w:val="center"/>
          </w:tcPr>
          <w:p>
            <w:pPr>
              <w:spacing w:line="232"/>
            </w:pPr>
            <w:r>
              <w:rPr>
                <w:rFonts w:ascii="Calibri" w:cs="Calibri" w:eastAsia="Calibri" w:hAnsi="Calibri"/>
                <w:color w:val="222222"/>
                <w:sz w:val="17"/>
                <w:szCs w:val="17"/>
              </w:rPr>
              <w:t xml:space="preserve">Already running in production today</w:t>
            </w:r>
          </w:p>
        </w:tc>
      </w:tr>
    </w:tbl>
    <w:p>
      <w:pPr>
        <w:pBdr>
          <w:bottom w:val="single" w:color="1B4C87" w:sz="4" w:space="3"/>
        </w:pBdr>
        <w:spacing w:after="60" w:before="160"/>
      </w:pPr>
      <w:r>
        <w:rPr>
          <w:rFonts w:ascii="Calibri" w:cs="Calibri" w:eastAsia="Calibri" w:hAnsi="Calibri"/>
          <w:b/>
          <w:bCs/>
          <w:color w:val="8B96A2"/>
          <w:sz w:val="21"/>
          <w:szCs w:val="21"/>
        </w:rPr>
        <w:t xml:space="preserve">3.  </w:t>
      </w:r>
      <w:r>
        <w:rPr>
          <w:rFonts w:ascii="Calibri" w:cs="Calibri" w:eastAsia="Calibri" w:hAnsi="Calibri"/>
          <w:b/>
          <w:bCs/>
          <w:color w:val="1B4C87"/>
          <w:spacing w:val="6"/>
          <w:sz w:val="21"/>
          <w:szCs w:val="21"/>
        </w:rPr>
        <w:t xml:space="preserve">SCOPE</w:t>
      </w:r>
    </w:p>
    <w:p>
      <w:pPr>
        <w:spacing w:after="40" w:line="252"/>
      </w:pPr>
      <w:r>
        <w:rPr>
          <w:rFonts w:ascii="Calibri" w:cs="Calibri" w:eastAsia="Calibri" w:hAnsi="Calibri"/>
          <w:color w:val="222222"/>
          <w:sz w:val="19"/>
          <w:szCs w:val="19"/>
        </w:rPr>
        <w:t xml:space="preserve">In scope: read-only identity intelligence and reporting for Microsoft Entra ID — Users, Groups, Devices, Applications, Sign-ins, Risky Users, MFA coverage, Privileged/PIM access, Conditional Access, Non-Human Identities, Toxic Combinations, Legacy Auth, and a shared Risk Register — plus scheduled/on-demand CSV &amp; email reports, and a System Health view for self-diagnosis.</w:t>
      </w:r>
    </w:p>
    <w:p>
      <w:pPr>
        <w:spacing w:after="0" w:line="252"/>
      </w:pPr>
      <w:r>
        <w:rPr>
          <w:rFonts w:ascii="Calibri" w:cs="Calibri" w:eastAsia="Calibri" w:hAnsi="Calibri"/>
          <w:color w:val="222222"/>
          <w:sz w:val="19"/>
          <w:szCs w:val="19"/>
        </w:rPr>
        <w:t xml:space="preserve">Out of scope, by design: not a SIEM, not a general infrastructure/observability platform, and not an automated remediation or ticketing system. Every action beyond viewing requires explicit, human-approved consent — least privilege first.</w:t>
      </w:r>
    </w:p>
    <w:p>
      <w:pPr>
        <w:pBdr>
          <w:bottom w:val="single" w:color="1B4C87" w:sz="4" w:space="3"/>
        </w:pBdr>
        <w:spacing w:after="60" w:before="160"/>
      </w:pPr>
      <w:r>
        <w:rPr>
          <w:rFonts w:ascii="Calibri" w:cs="Calibri" w:eastAsia="Calibri" w:hAnsi="Calibri"/>
          <w:b/>
          <w:bCs/>
          <w:color w:val="8B96A2"/>
          <w:sz w:val="21"/>
          <w:szCs w:val="21"/>
        </w:rPr>
        <w:t xml:space="preserve">4.  </w:t>
      </w:r>
      <w:r>
        <w:rPr>
          <w:rFonts w:ascii="Calibri" w:cs="Calibri" w:eastAsia="Calibri" w:hAnsi="Calibri"/>
          <w:b/>
          <w:bCs/>
          <w:color w:val="1B4C87"/>
          <w:spacing w:val="6"/>
          <w:sz w:val="21"/>
          <w:szCs w:val="21"/>
        </w:rPr>
        <w:t xml:space="preserve">RETURN ON INVESTMENT</w:t>
      </w:r>
    </w:p>
    <w:p>
      <w:pPr>
        <w:pStyle w:val="ListParagraph"/>
        <w:numPr>
          <w:ilvl w:val="0"/>
          <w:numId w:val="2"/>
        </w:numPr>
        <w:spacing w:after="36" w:line="246"/>
      </w:pPr>
      <w:r>
        <w:rPr>
          <w:rFonts w:ascii="Calibri" w:cs="Calibri" w:eastAsia="Calibri" w:hAnsi="Calibri"/>
          <w:b/>
          <w:bCs/>
          <w:color w:val="1B4C87"/>
          <w:sz w:val="19"/>
          <w:szCs w:val="19"/>
        </w:rPr>
        <w:t xml:space="preserve">Admin time back — </w:t>
      </w:r>
      <w:r>
        <w:rPr>
          <w:rFonts w:ascii="Calibri" w:cs="Calibri" w:eastAsia="Calibri" w:hAnsi="Calibri"/>
          <w:color w:val="222222"/>
          <w:sz w:val="19"/>
          <w:szCs w:val="19"/>
        </w:rPr>
        <w:t xml:space="preserve">eliminates the recurring manual portal/PowerShell pull for every identity review; the same real-time data is available on demand for every admin, at zero incremental Graph cost via the local collector.</w:t>
      </w:r>
    </w:p>
    <w:p>
      <w:pPr>
        <w:pStyle w:val="ListParagraph"/>
        <w:numPr>
          <w:ilvl w:val="0"/>
          <w:numId w:val="2"/>
        </w:numPr>
        <w:spacing w:after="36" w:line="246"/>
      </w:pPr>
      <w:r>
        <w:rPr>
          <w:rFonts w:ascii="Calibri" w:cs="Calibri" w:eastAsia="Calibri" w:hAnsi="Calibri"/>
          <w:b/>
          <w:bCs/>
          <w:color w:val="1B4C87"/>
          <w:sz w:val="19"/>
          <w:szCs w:val="19"/>
        </w:rPr>
        <w:t xml:space="preserve">Risk caught earlier — </w:t>
      </w:r>
      <w:r>
        <w:rPr>
          <w:rFonts w:ascii="Calibri" w:cs="Calibri" w:eastAsia="Calibri" w:hAnsi="Calibri"/>
          <w:color w:val="222222"/>
          <w:sz w:val="19"/>
          <w:szCs w:val="19"/>
        </w:rPr>
        <w:t xml:space="preserve">expiring app credentials, stale accounts, and toxic role/risk combinations now surface proactively instead of during an audit or breach post-mortem.</w:t>
      </w:r>
    </w:p>
    <w:p>
      <w:pPr>
        <w:pStyle w:val="ListParagraph"/>
        <w:numPr>
          <w:ilvl w:val="0"/>
          <w:numId w:val="2"/>
        </w:numPr>
        <w:spacing w:after="36" w:line="246"/>
      </w:pPr>
      <w:r>
        <w:rPr>
          <w:rFonts w:ascii="Calibri" w:cs="Calibri" w:eastAsia="Calibri" w:hAnsi="Calibri"/>
          <w:b/>
          <w:bCs/>
          <w:color w:val="1B4C87"/>
          <w:sz w:val="19"/>
          <w:szCs w:val="19"/>
        </w:rPr>
        <w:t xml:space="preserve">No new licensing spend — </w:t>
      </w:r>
      <w:r>
        <w:rPr>
          <w:rFonts w:ascii="Calibri" w:cs="Calibri" w:eastAsia="Calibri" w:hAnsi="Calibri"/>
          <w:color w:val="222222"/>
          <w:sz w:val="19"/>
          <w:szCs w:val="19"/>
        </w:rPr>
        <w:t xml:space="preserve">runs on infrastructure already provisioned; no per-seat observability platform cost, no new vendor contract.</w:t>
      </w:r>
    </w:p>
    <w:p>
      <w:pPr>
        <w:pStyle w:val="ListParagraph"/>
        <w:numPr>
          <w:ilvl w:val="0"/>
          <w:numId w:val="2"/>
        </w:numPr>
        <w:spacing w:after="36" w:line="246"/>
      </w:pPr>
      <w:r>
        <w:rPr>
          <w:rFonts w:ascii="Calibri" w:cs="Calibri" w:eastAsia="Calibri" w:hAnsi="Calibri"/>
          <w:b/>
          <w:bCs/>
          <w:color w:val="1B4C87"/>
          <w:sz w:val="19"/>
          <w:szCs w:val="19"/>
        </w:rPr>
        <w:t xml:space="preserve">Proven to scale — </w:t>
      </w:r>
      <w:r>
        <w:rPr>
          <w:rFonts w:ascii="Calibri" w:cs="Calibri" w:eastAsia="Calibri" w:hAnsi="Calibri"/>
          <w:color w:val="222222"/>
          <w:sz w:val="19"/>
          <w:szCs w:val="19"/>
        </w:rPr>
        <w:t xml:space="preserve">handles 100+ concurrent viewers today via local snapshot caching and jittered refresh, with no added Microsoft Graph throttling risk as the org grows.</w:t>
      </w:r>
    </w:p>
    <w:p>
      <w:pPr>
        <w:pBdr>
          <w:bottom w:val="single" w:color="1B4C87" w:sz="4" w:space="3"/>
        </w:pBdr>
        <w:spacing w:after="60" w:before="160"/>
      </w:pPr>
      <w:r>
        <w:rPr>
          <w:rFonts w:ascii="Calibri" w:cs="Calibri" w:eastAsia="Calibri" w:hAnsi="Calibri"/>
          <w:b/>
          <w:bCs/>
          <w:color w:val="8B96A2"/>
          <w:sz w:val="21"/>
          <w:szCs w:val="21"/>
        </w:rPr>
        <w:t xml:space="preserve">5.  </w:t>
      </w:r>
      <w:r>
        <w:rPr>
          <w:rFonts w:ascii="Calibri" w:cs="Calibri" w:eastAsia="Calibri" w:hAnsi="Calibri"/>
          <w:b/>
          <w:bCs/>
          <w:color w:val="1B4C87"/>
          <w:spacing w:val="6"/>
          <w:sz w:val="21"/>
          <w:szCs w:val="21"/>
        </w:rPr>
        <w:t xml:space="preserve">RECOMMENDATION</w:t>
      </w:r>
    </w:p>
    <w:p>
      <w:pPr>
        <w:spacing w:after="0" w:line="252"/>
      </w:pPr>
      <w:r>
        <w:rPr>
          <w:rFonts w:ascii="Calibri" w:cs="Calibri" w:eastAsia="Calibri" w:hAnsi="Calibri"/>
          <w:color w:val="222222"/>
          <w:sz w:val="19"/>
          <w:szCs w:val="19"/>
        </w:rPr>
        <w:t xml:space="preserve">This is not a proposal to build something new — it is already built, deployed, and running against the production tenant. The ask is to formally adopt it as the standard identity-intelligence tool for Aspire iTECH Solutions and fund its continued hardening (multi-tenant rollout, alerting, broader audience access), rather than evaluate a generic observability platform that would need the same identity-specific engineering built on top of it anyway.</w:t>
      </w:r>
    </w:p>
    <w:sectPr>
      <w:footerReference w:type="default" r:id="rId7"/>
      <w:pgSz w:w="12240" w:h="15840" w:orient="portrait"/>
      <w:pgMar w:top="560" w:right="640" w:bottom="700" w:left="640" w:header="708" w:footer="2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0E8" w:sz="2" w:space="4"/>
      </w:pBdr>
      <w:tabs>
        <w:tab w:val="right" w:pos="9026"/>
      </w:tabs>
    </w:pPr>
    <w:r>
      <w:rPr>
        <w:rFonts w:ascii="Calibri" w:cs="Calibri" w:eastAsia="Calibri" w:hAnsi="Calibri"/>
        <w:color w:val="8B96A2"/>
        <w:sz w:val="14"/>
        <w:szCs w:val="14"/>
      </w:rPr>
      <w:t xml:space="preserve">Confidential – Aspire iTECH Solutions</w:t>
    </w:r>
    <w:r>
      <w:rPr>
        <w:sz w:val="14"/>
        <w:szCs w:val="14"/>
      </w:rPr>
      <w:t xml:space="preserve">	</w:t>
    </w:r>
    <w:r>
      <w:rPr>
        <w:rFonts w:ascii="Calibri" w:cs="Calibri" w:eastAsia="Calibri" w:hAnsi="Calibri"/>
        <w:color w:val="8B96A2"/>
        <w:sz w:val="14"/>
        <w:szCs w:val="14"/>
      </w:rPr>
      <w:t xml:space="preserve">RFC-2026-01  •  Page </w:t>
    </w:r>
    <w:r>
      <w:rPr>
        <w:rFonts w:ascii="Calibri" w:cs="Calibri" w:eastAsia="Calibri" w:hAnsi="Calibri"/>
        <w:color w:val="8B96A2"/>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0" w:hanging="220"/>
      </w:pPr>
      <w:rPr>
        <w:rFonts w:ascii="Calibri" w:cs="Calibri" w:eastAsia="Calibri" w:hAnsi="Calibri"/>
        <w:color w:val="1B4C8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2026-09-09T18:26:15.697Z</dcterms:created>
  <dcterms:modified xsi:type="dcterms:W3CDTF">2026-09-09T18:26:15.715Z</dcterms:modified>
</cp:coreProperties>
</file>

<file path=docProps/custom.xml><?xml version="1.0" encoding="utf-8"?>
<Properties xmlns="http://schemas.openxmlformats.org/officeDocument/2006/custom-properties" xmlns:vt="http://schemas.openxmlformats.org/officeDocument/2006/docPropsVTypes"/>
</file>