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Enron Submission Free-Response Questions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your evaluator looks at your responses, he or she will use a specific list of rubric items to assess your answers. Here is the link to that rubric: </w:t>
      </w:r>
      <w:hyperlink r:id="rId5">
        <w:r w:rsidDel="00000000" w:rsidR="00000000" w:rsidRPr="00000000">
          <w:rPr>
            <w:color w:val="1155cc"/>
            <w:u w:val="single"/>
            <w:rtl w:val="0"/>
          </w:rPr>
          <w:t xml:space="preserve">Link to the rubric</w:t>
        </w:r>
      </w:hyperlink>
      <w:r w:rsidDel="00000000" w:rsidR="00000000" w:rsidRPr="00000000">
        <w:rPr>
          <w:rtl w:val="0"/>
        </w:rPr>
        <w:t xml:space="preserve">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Once you’ve submitted your responses, your coach will take a look and may ask a few more focused follow-up questions on one or more of your answers.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can’t wait to see what you’ve put together for this project!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algorithm did you end up using? What other one(s) did you try? How did model performance differ between algorithms?  [relevant rubric item: “pick an algorithm”]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What is validation, and what’s a classic mistake you can make if you do it wrong? How did you validate your analysis?  [relevant rubric item: “validation strategy”]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knowlabs.com/document/d/17-JwNQH1aRxtqMkJ6zpCL_68kh5F6uSbDXcJS26vZWY/pub" TargetMode="External"/></Relationships>
</file>