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BITÁCORA DE TRAZABILIDAD DEL PROGRAMA DE MANEJO FORESTAL</w:t>
      </w:r>
    </w:p>
    <w:p>
      <w:pPr>
        <w:spacing w:after="160" w:line="240"/>
        <w:jc w:val="center"/>
      </w:pPr>
      <w:r>
        <w:rPr>
          <w:i/>
          <w:iCs/>
          <w:color w:val="000000"/>
          <w:sz w:val="18"/>
          <w:szCs w:val="18"/>
        </w:rPr>
        <w:t xml:space="preserve">Documento de trabajo vivo. Registra decisiones, banderas técnicas, estado de insumos espaciales y avance por capítulo, para evitar vacíos involuntarios. Se actualiza en cada sesión.</w:t>
      </w:r>
    </w:p>
    <w:p>
      <w:pPr>
        <w:pStyle w:val="Heading2"/>
        <w:spacing w:after="100" w:before="240"/>
      </w:pPr>
      <w:r>
        <w:rPr>
          <w:b/>
          <w:bCs/>
          <w:color w:val="000000"/>
          <w:sz w:val="24"/>
          <w:szCs w:val="24"/>
        </w:rPr>
        <w:t xml:space="preserve">1. Identificación del predio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6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Concepto</w:t>
            </w:r>
          </w:p>
        </w:tc>
        <w:tc>
          <w:tcPr>
            <w:tcW w:type="pct" w:w="72%"/>
            <w:shd w:fill="E6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Predio</w:t>
            </w:r>
          </w:p>
        </w:tc>
        <w:tc>
          <w:tcPr>
            <w:tcW w:type="pct" w:w="7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Comunidad Indígena de San Juan de los Potreros</w:t>
            </w:r>
          </w:p>
        </w:tc>
      </w:tr>
      <w:tr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Municipio</w:t>
            </w:r>
          </w:p>
        </w:tc>
        <w:tc>
          <w:tcPr>
            <w:tcW w:type="pct" w:w="7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Chimaltitán, Jalisco</w:t>
            </w:r>
          </w:p>
        </w:tc>
      </w:tr>
      <w:tr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Núcleo agrario (RAN)</w:t>
            </w:r>
          </w:p>
        </w:tc>
        <w:tc>
          <w:tcPr>
            <w:tcW w:type="pct" w:w="7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Clave 14031001; superficie comunal 16,126.72 ha</w:t>
            </w:r>
          </w:p>
        </w:tc>
      </w:tr>
      <w:tr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Superficie bajo manejo</w:t>
            </w:r>
          </w:p>
        </w:tc>
        <w:tc>
          <w:tcPr>
            <w:tcW w:type="pct" w:w="7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4,968.51 ha; 157 unidades de manejo (versión validada 23-may-2026)</w:t>
            </w:r>
          </w:p>
        </w:tc>
      </w:tr>
      <w:tr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Aprovechamiento</w:t>
            </w:r>
          </w:p>
        </w:tc>
        <w:tc>
          <w:tcPr>
            <w:tcW w:type="pct" w:w="7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Maderable, género Quercus (primer aprovechamiento)</w:t>
            </w:r>
          </w:p>
        </w:tc>
      </w:tr>
      <w:tr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Sistema silvícola</w:t>
            </w:r>
          </w:p>
        </w:tc>
        <w:tc>
          <w:tcPr>
            <w:tcW w:type="pct" w:w="7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Bosque irregular con predominancia de Quercus</w:t>
            </w:r>
          </w:p>
        </w:tc>
      </w:tr>
      <w:tr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Ciclo de corta</w:t>
            </w:r>
          </w:p>
        </w:tc>
        <w:tc>
          <w:tcPr>
            <w:tcW w:type="pct" w:w="7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2027–2036 (10 años)</w:t>
            </w:r>
          </w:p>
        </w:tc>
      </w:tr>
      <w:tr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Norma aplicable</w:t>
            </w:r>
          </w:p>
        </w:tc>
        <w:tc>
          <w:tcPr>
            <w:tcW w:type="pct" w:w="7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NOM-152-SEMARNAT-2023</w:t>
            </w:r>
          </w:p>
        </w:tc>
      </w:tr>
      <w:tr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Sistema de referencia</w:t>
            </w:r>
          </w:p>
        </w:tc>
        <w:tc>
          <w:tcPr>
            <w:tcW w:type="pct" w:w="7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EPSG:32613 (WGS84 UTM 13N)</w:t>
            </w:r>
          </w:p>
        </w:tc>
      </w:tr>
      <w:tr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Actualización de la bitácora</w:t>
            </w:r>
          </w:p>
        </w:tc>
        <w:tc>
          <w:tcPr>
            <w:tcW w:type="pct" w:w="7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10 de junio de 2026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00000"/>
          <w:sz w:val="24"/>
          <w:szCs w:val="24"/>
        </w:rPr>
        <w:t xml:space="preserve">2. Decisiones cerradas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6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N.º</w:t>
            </w:r>
          </w:p>
        </w:tc>
        <w:tc>
          <w:tcPr>
            <w:tcW w:type="pct" w:w="34%"/>
            <w:shd w:fill="E6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Decisión</w:t>
            </w:r>
          </w:p>
        </w:tc>
        <w:tc>
          <w:tcPr>
            <w:tcW w:type="pct" w:w="58%"/>
            <w:shd w:fill="E6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Efecto o fundamento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pct" w:w="34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Primer aprovechamiento</w:t>
            </w:r>
          </w:p>
        </w:tc>
        <w:tc>
          <w:tcPr>
            <w:tcW w:type="pct" w:w="5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El apartado 4.6 se omite y se sustituye por justificación documentada.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pct" w:w="34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Restauración definida por bajas existencias</w:t>
            </w:r>
          </w:p>
        </w:tc>
        <w:tc>
          <w:tcPr>
            <w:tcW w:type="pct" w:w="5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El renglón de restauración del 4.7 y todo el 4.17 esperan resultados del SIPLAFOR.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W w:type="pct" w:w="34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Inicio de la redacción</w:t>
            </w:r>
          </w:p>
        </w:tc>
        <w:tc>
          <w:tcPr>
            <w:tcW w:type="pct" w:w="5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Se comienza por el 4.2 (objetivos).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C4</w:t>
            </w:r>
          </w:p>
        </w:tc>
        <w:tc>
          <w:tcPr>
            <w:tcW w:type="pct" w:w="34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Shapefile oficial de unidades</w:t>
            </w:r>
          </w:p>
        </w:tc>
        <w:tc>
          <w:tcPr>
            <w:tcW w:type="pct" w:w="5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Versión validada de 157 UM, 4,968.51 ha, reenumerada y con atributos (23-may-2026). Se descarta la capa “rodales” (151 pol, 5,032 ha, sin atributos).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C5</w:t>
            </w:r>
          </w:p>
        </w:tc>
        <w:tc>
          <w:tcPr>
            <w:tcW w:type="pct" w:w="34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Alcance del Cuadro 2</w:t>
            </w:r>
          </w:p>
        </w:tc>
        <w:tc>
          <w:tcPr>
            <w:tcW w:type="pct" w:w="5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Sobre las 16,126.72 ha del polígono comunal. Las UM se reservan para SIPLAFOR.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C6</w:t>
            </w:r>
          </w:p>
        </w:tc>
        <w:tc>
          <w:tcPr>
            <w:tcW w:type="pct" w:w="34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Caminos</w:t>
            </w:r>
          </w:p>
        </w:tc>
        <w:tc>
          <w:tcPr>
            <w:tcW w:type="pct" w:w="5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Se usa la capa de INEGI tal cual, sin ajuste de campo.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C7</w:t>
            </w:r>
          </w:p>
        </w:tc>
        <w:tc>
          <w:tcPr>
            <w:tcW w:type="pct" w:w="34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Impacto ambiental</w:t>
            </w:r>
          </w:p>
        </w:tc>
        <w:tc>
          <w:tcPr>
            <w:tcW w:type="pct" w:w="5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No existe resolución; no se requiere.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C8</w:t>
            </w:r>
          </w:p>
        </w:tc>
        <w:tc>
          <w:tcPr>
            <w:tcW w:type="pct" w:w="34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Objetivos del 4.2</w:t>
            </w:r>
          </w:p>
        </w:tc>
        <w:tc>
          <w:tcPr>
            <w:tcW w:type="pct" w:w="5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General: aprovechamiento maderable de Quercus. Específicos: siete (cinco habituales más asesoramiento/capacitación e impacto social y económico).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C9</w:t>
            </w:r>
          </w:p>
        </w:tc>
        <w:tc>
          <w:tcPr>
            <w:tcW w:type="pct" w:w="34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Agente fitosanitario</w:t>
            </w:r>
          </w:p>
        </w:tc>
        <w:tc>
          <w:tcPr>
            <w:tcW w:type="pct" w:w="5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Se nombra a Phytophthora cinnamomi como agente del decaimiento de encinos en el documento.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C10</w:t>
            </w:r>
          </w:p>
        </w:tc>
        <w:tc>
          <w:tcPr>
            <w:tcW w:type="pct" w:w="34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Estrategia ante zonas afectadas</w:t>
            </w:r>
          </w:p>
        </w:tc>
        <w:tc>
          <w:tcPr>
            <w:tcW w:type="pct" w:w="5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Saneamiento más reconversión con Pinus nativos presentes, condicionada a verificación de tolerancia (se detalla en 4.11 y 4.17).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00000"/>
          <w:sz w:val="24"/>
          <w:szCs w:val="24"/>
        </w:rPr>
        <w:t xml:space="preserve">3. Decisiones abiertas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E6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N.º</w:t>
            </w:r>
          </w:p>
        </w:tc>
        <w:tc>
          <w:tcPr>
            <w:tcW w:type="pct" w:w="41%"/>
            <w:shd w:fill="E6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Asunto</w:t>
            </w:r>
          </w:p>
        </w:tc>
        <w:tc>
          <w:tcPr>
            <w:tcW w:type="pct" w:w="16%"/>
            <w:shd w:fill="E6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Destraba</w:t>
            </w:r>
          </w:p>
        </w:tc>
        <w:tc>
          <w:tcPr>
            <w:tcW w:type="pct" w:w="36%"/>
            <w:shd w:fill="E6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Pendiente de</w:t>
            </w:r>
          </w:p>
        </w:tc>
      </w:tr>
      <w:tr>
        <w:tc>
          <w:tcPr>
            <w:tcW w:type="pct" w:w="7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A1</w:t>
            </w:r>
          </w:p>
        </w:tc>
        <w:tc>
          <w:tcPr>
            <w:tcW w:type="pct" w:w="41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Umbral de generalización de la zonificación (25,044 fragmentos)</w:t>
            </w:r>
          </w:p>
        </w:tc>
        <w:tc>
          <w:tcPr>
            <w:tcW w:type="pct" w:w="16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4.7 (Cuadro 2)</w:t>
            </w:r>
          </w:p>
        </w:tc>
        <w:tc>
          <w:tcPr>
            <w:tcW w:type="pct" w:w="36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Definir umbral. No llenar el Cuadro 2 hasta entonces.</w:t>
            </w:r>
          </w:p>
        </w:tc>
      </w:tr>
      <w:tr>
        <w:tc>
          <w:tcPr>
            <w:tcW w:type="pct" w:w="7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A2</w:t>
            </w:r>
          </w:p>
        </w:tc>
        <w:tc>
          <w:tcPr>
            <w:tcW w:type="pct" w:w="41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Revisión de SUBCLAS por UM (a/b)</w:t>
            </w:r>
          </w:p>
        </w:tc>
        <w:tc>
          <w:tcPr>
            <w:tcW w:type="pct" w:w="16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4.7</w:t>
            </w:r>
          </w:p>
        </w:tc>
        <w:tc>
          <w:tcPr>
            <w:tcW w:type="pct" w:w="36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Revisión de José Juan en la tabla de atributos.</w:t>
            </w:r>
          </w:p>
        </w:tc>
      </w:tr>
      <w:tr>
        <w:tc>
          <w:tcPr>
            <w:tcW w:type="pct" w:w="7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A3</w:t>
            </w:r>
          </w:p>
        </w:tc>
        <w:tc>
          <w:tcPr>
            <w:tcW w:type="pct" w:w="41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Posible rebalanceo de ANUALIDAD</w:t>
            </w:r>
          </w:p>
        </w:tc>
        <w:tc>
          <w:tcPr>
            <w:tcW w:type="pct" w:w="16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Plan de cortas</w:t>
            </w:r>
          </w:p>
        </w:tc>
        <w:tc>
          <w:tcPr>
            <w:tcW w:type="pct" w:w="36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Decidir si se relaja el orden geográfico estricto.</w:t>
            </w:r>
          </w:p>
        </w:tc>
      </w:tr>
      <w:tr>
        <w:tc>
          <w:tcPr>
            <w:tcW w:type="pct" w:w="7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A4</w:t>
            </w:r>
          </w:p>
        </w:tc>
        <w:tc>
          <w:tcPr>
            <w:tcW w:type="pct" w:w="41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Confirmación en laboratorio de Phytophthora cinnamomi sobre encino del predio</w:t>
            </w:r>
          </w:p>
        </w:tc>
        <w:tc>
          <w:tcPr>
            <w:tcW w:type="pct" w:w="16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4.2 / 4.15 / 4.17</w:t>
            </w:r>
          </w:p>
        </w:tc>
        <w:tc>
          <w:tcPr>
            <w:tcW w:type="pct" w:w="36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Diagnóstico fitopatológico (blinda el documento).</w:t>
            </w:r>
          </w:p>
        </w:tc>
      </w:tr>
      <w:tr>
        <w:tc>
          <w:tcPr>
            <w:tcW w:type="pct" w:w="7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A5</w:t>
            </w:r>
          </w:p>
        </w:tc>
        <w:tc>
          <w:tcPr>
            <w:tcW w:type="pct" w:w="41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Tolerancia de Pinus lumholtzii, P. oocarpa y P. devoniana al patógeno</w:t>
            </w:r>
          </w:p>
        </w:tc>
        <w:tc>
          <w:tcPr>
            <w:tcW w:type="pct" w:w="16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4.11 / 4.17</w:t>
            </w:r>
          </w:p>
        </w:tc>
        <w:tc>
          <w:tcPr>
            <w:tcW w:type="pct" w:w="36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Verificar antes de comprometer la especie de reconversión.</w:t>
            </w:r>
          </w:p>
        </w:tc>
      </w:tr>
      <w:tr>
        <w:tc>
          <w:tcPr>
            <w:tcW w:type="pct" w:w="7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A6</w:t>
            </w:r>
          </w:p>
        </w:tc>
        <w:tc>
          <w:tcPr>
            <w:tcW w:type="pct" w:w="41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Reconciliar “saneamiento” de la zonificación (118.65 ha) con la afectación real</w:t>
            </w:r>
          </w:p>
        </w:tc>
        <w:tc>
          <w:tcPr>
            <w:tcW w:type="pct" w:w="16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4.7 / 4.17</w:t>
            </w:r>
          </w:p>
        </w:tc>
        <w:tc>
          <w:tcPr>
            <w:tcW w:type="pct" w:w="36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Cuantificación en campo de la superficie afectada.</w:t>
            </w:r>
          </w:p>
        </w:tc>
      </w:tr>
      <w:tr>
        <w:tc>
          <w:tcPr>
            <w:tcW w:type="pct" w:w="7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A7</w:t>
            </w:r>
          </w:p>
        </w:tc>
        <w:tc>
          <w:tcPr>
            <w:tcW w:type="pct" w:w="41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Re-subir el ZIP de las 157 UM (sesión 23-may)</w:t>
            </w:r>
          </w:p>
        </w:tc>
        <w:tc>
          <w:tcPr>
            <w:tcW w:type="pct" w:w="16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4.7</w:t>
            </w:r>
          </w:p>
        </w:tc>
        <w:tc>
          <w:tcPr>
            <w:tcW w:type="pct" w:w="36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Cargar al espacio de trabajo cuando se trabaje la clasificación.</w:t>
            </w:r>
          </w:p>
        </w:tc>
      </w:tr>
      <w:tr>
        <w:tc>
          <w:tcPr>
            <w:tcW w:type="pct" w:w="7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A8</w:t>
            </w:r>
          </w:p>
        </w:tc>
        <w:tc>
          <w:tcPr>
            <w:tcW w:type="pct" w:w="41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Insumos espaciales por entregar (MDE y sitios de muestreo)</w:t>
            </w:r>
          </w:p>
        </w:tc>
        <w:tc>
          <w:tcPr>
            <w:tcW w:type="pct" w:w="16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4.8 / 4.9 / 4.19</w:t>
            </w:r>
          </w:p>
        </w:tc>
        <w:tc>
          <w:tcPr>
            <w:tcW w:type="pct" w:w="36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Entregar el modelo de elevación y los puntos de los sitios.</w:t>
            </w:r>
          </w:p>
        </w:tc>
      </w:tr>
      <w:tr>
        <w:tc>
          <w:tcPr>
            <w:tcW w:type="pct" w:w="7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A9</w:t>
            </w:r>
          </w:p>
        </w:tc>
        <w:tc>
          <w:tcPr>
            <w:tcW w:type="pct" w:w="41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Salvedad de tolerancia en el objetivo de restauración del 4.2</w:t>
            </w:r>
          </w:p>
        </w:tc>
        <w:tc>
          <w:tcPr>
            <w:tcW w:type="pct" w:w="16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pct" w:w="36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Confirmar si se conserva (recomendado) o se elimina.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00000"/>
          <w:sz w:val="24"/>
          <w:szCs w:val="24"/>
        </w:rPr>
        <w:t xml:space="preserve">4. Banderas técnicas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%"/>
            <w:shd w:fill="E6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N.º</w:t>
            </w:r>
          </w:p>
        </w:tc>
        <w:tc>
          <w:tcPr>
            <w:tcW w:type="pct" w:w="93%"/>
            <w:shd w:fill="E6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pct" w:w="7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B1</w:t>
            </w:r>
          </w:p>
        </w:tc>
        <w:tc>
          <w:tcPr>
            <w:tcW w:type="pct" w:w="93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Phytophthora cinnamomi infecta también pinos; la susceptibilidad es específica de especie. Pinos mexicanos (P. patula, P. pseudostrobus) están documentados como afectados, y no hay datos para las tres especies propuestas. Reforestar suelo infestado con especie no verificada es un riesgo; acompañar con saneamiento, manejo del drenaje, higiene y, en su caso, fosfito.</w:t>
            </w:r>
          </w:p>
        </w:tc>
      </w:tr>
      <w:tr>
        <w:tc>
          <w:tcPr>
            <w:tcW w:type="pct" w:w="7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B2</w:t>
            </w:r>
          </w:p>
        </w:tc>
        <w:tc>
          <w:tcPr>
            <w:tcW w:type="pct" w:w="93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El campo HAS heredado del shape no es confiable; usar siempre la superficie geométrica.</w:t>
            </w:r>
          </w:p>
        </w:tc>
      </w:tr>
      <w:tr>
        <w:tc>
          <w:tcPr>
            <w:tcW w:type="pct" w:w="7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B3</w:t>
            </w:r>
          </w:p>
        </w:tc>
        <w:tc>
          <w:tcPr>
            <w:tcW w:type="pct" w:w="93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La zonificación es inutilizable sin generalización previa (86 % de los fragmentos menores a 1,000 m²).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00000"/>
          <w:sz w:val="24"/>
          <w:szCs w:val="24"/>
        </w:rPr>
        <w:t xml:space="preserve">5. Estado de los insumos espaciales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E6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Capa</w:t>
            </w:r>
          </w:p>
        </w:tc>
        <w:tc>
          <w:tcPr>
            <w:tcW w:type="pct" w:w="11%"/>
            <w:shd w:fill="E6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EPSG</w:t>
            </w:r>
          </w:p>
        </w:tc>
        <w:tc>
          <w:tcPr>
            <w:tcW w:type="pct" w:w="35%"/>
            <w:shd w:fill="E6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Características</w:t>
            </w:r>
          </w:p>
        </w:tc>
        <w:tc>
          <w:tcPr>
            <w:tcW w:type="pct" w:w="30%"/>
            <w:shd w:fill="E6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pct" w:w="24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Polígono RAN comunal</w:t>
            </w:r>
          </w:p>
        </w:tc>
        <w:tc>
          <w:tcPr>
            <w:tcW w:type="pct" w:w="11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32613</w:t>
            </w:r>
          </w:p>
        </w:tc>
        <w:tc>
          <w:tcPr>
            <w:tcW w:type="pct" w:w="35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1 pol; 16,126.72 ha; válido</w:t>
            </w:r>
          </w:p>
        </w:tc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Firme. Base del Cuadro 2.</w:t>
            </w:r>
          </w:p>
        </w:tc>
      </w:tr>
      <w:tr>
        <w:tc>
          <w:tcPr>
            <w:tcW w:type="pct" w:w="24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Unidades de manejo (validada, 157)</w:t>
            </w:r>
          </w:p>
        </w:tc>
        <w:tc>
          <w:tcPr>
            <w:tcW w:type="pct" w:w="11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32613</w:t>
            </w:r>
          </w:p>
        </w:tc>
        <w:tc>
          <w:tcPr>
            <w:tcW w:type="pct" w:w="35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4,968.51 ha; atributos completos</w:t>
            </w:r>
          </w:p>
        </w:tc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Oficial, pero NO está en el espacio de trabajo; re-subir.</w:t>
            </w:r>
          </w:p>
        </w:tc>
      </w:tr>
      <w:tr>
        <w:tc>
          <w:tcPr>
            <w:tcW w:type="pct" w:w="24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“rodales” (subido 10-jun)</w:t>
            </w:r>
          </w:p>
        </w:tc>
        <w:tc>
          <w:tcPr>
            <w:tcW w:type="pct" w:w="11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32613</w:t>
            </w:r>
          </w:p>
        </w:tc>
        <w:tc>
          <w:tcPr>
            <w:tcW w:type="pct" w:w="35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151 pol; 5,032 ha; sin atributos; 1 inválida</w:t>
            </w:r>
          </w:p>
        </w:tc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Descartado como base.</w:t>
            </w:r>
          </w:p>
        </w:tc>
      </w:tr>
      <w:tr>
        <w:tc>
          <w:tcPr>
            <w:tcW w:type="pct" w:w="24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Zonificación borrador</w:t>
            </w:r>
          </w:p>
        </w:tc>
        <w:tc>
          <w:tcPr>
            <w:tcW w:type="pct" w:w="11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32613</w:t>
            </w:r>
          </w:p>
        </w:tc>
        <w:tc>
          <w:tcPr>
            <w:tcW w:type="pct" w:w="35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25,044 frag.; 16,126.70 ha; categorías Cuadro 2</w:t>
            </w:r>
          </w:p>
        </w:tc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Requiere generalización antes de uso.</w:t>
            </w:r>
          </w:p>
        </w:tc>
      </w:tr>
      <w:tr>
        <w:tc>
          <w:tcPr>
            <w:tcW w:type="pct" w:w="24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Red hidrográfica</w:t>
            </w:r>
          </w:p>
        </w:tc>
        <w:tc>
          <w:tcPr>
            <w:tcW w:type="pct" w:w="11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4326</w:t>
            </w:r>
          </w:p>
        </w:tc>
        <w:tc>
          <w:tcPr>
            <w:tcW w:type="pct" w:w="35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Regional; 433.60 km dentro del comunal; perenne/intermitente</w:t>
            </w:r>
          </w:p>
        </w:tc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Usable tras reproyectar y recortar. Para 4.7 y 4.8.</w:t>
            </w:r>
          </w:p>
        </w:tc>
      </w:tr>
      <w:tr>
        <w:tc>
          <w:tcPr>
            <w:tcW w:type="pct" w:w="24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Caminos</w:t>
            </w:r>
          </w:p>
        </w:tc>
        <w:tc>
          <w:tcPr>
            <w:tcW w:type="pct" w:w="11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6365 (geog.)</w:t>
            </w:r>
          </w:p>
        </w:tc>
        <w:tc>
          <w:tcPr>
            <w:tcW w:type="pct" w:w="35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71 tramos; 69.30 km; atributos INEGI</w:t>
            </w:r>
          </w:p>
        </w:tc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Usable tras reproyectar. Para 4.13 y otros usos del 4.7.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00000"/>
          <w:sz w:val="24"/>
          <w:szCs w:val="24"/>
        </w:rPr>
        <w:t xml:space="preserve">6. Avance por capítulo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6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Apartado</w:t>
            </w:r>
          </w:p>
        </w:tc>
        <w:tc>
          <w:tcPr>
            <w:tcW w:type="pct" w:w="30%"/>
            <w:shd w:fill="E6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Capítulo</w:t>
            </w:r>
          </w:p>
        </w:tc>
        <w:tc>
          <w:tcPr>
            <w:tcW w:type="pct" w:w="18%"/>
            <w:shd w:fill="E6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¿Depende del SIPLAFOR?</w:t>
            </w:r>
          </w:p>
        </w:tc>
        <w:tc>
          <w:tcPr>
            <w:tcW w:type="pct" w:w="42%"/>
            <w:shd w:fill="E6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Portada, contenido, resumen</w:t>
            </w:r>
          </w:p>
        </w:tc>
        <w:tc>
          <w:tcPr>
            <w:tcW w:type="pct" w:w="1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Solo el resumen</w:t>
            </w:r>
          </w:p>
        </w:tc>
        <w:tc>
          <w:tcPr>
            <w:tcW w:type="pct" w:w="4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Estructura ahora; resumen al final.</w:t>
            </w:r>
          </w:p>
        </w:tc>
      </w:tr>
      <w:tr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Objetivos</w:t>
            </w:r>
          </w:p>
        </w:tc>
        <w:tc>
          <w:tcPr>
            <w:tcW w:type="pct" w:w="1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4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Redactado (borrador 10-jun).</w:t>
            </w:r>
          </w:p>
        </w:tc>
      </w:tr>
      <w:tr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4.6</w:t>
            </w:r>
          </w:p>
        </w:tc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Antecedentes</w:t>
            </w:r>
          </w:p>
        </w:tc>
        <w:tc>
          <w:tcPr>
            <w:tcW w:type="pct" w:w="1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4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Se omite; redactar justificación breve.</w:t>
            </w:r>
          </w:p>
        </w:tc>
      </w:tr>
      <w:tr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4.7</w:t>
            </w:r>
          </w:p>
        </w:tc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Clasificación de superficies</w:t>
            </w:r>
          </w:p>
        </w:tc>
        <w:tc>
          <w:tcPr>
            <w:tcW w:type="pct" w:w="1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Parcial</w:t>
            </w:r>
          </w:p>
        </w:tc>
        <w:tc>
          <w:tcPr>
            <w:tcW w:type="pct" w:w="4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Estructura ahora; Cuadro 2 tras umbral (A1).</w:t>
            </w:r>
          </w:p>
        </w:tc>
      </w:tr>
      <w:tr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4.8</w:t>
            </w:r>
          </w:p>
        </w:tc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Diagnóstico físico-biológico</w:t>
            </w:r>
          </w:p>
        </w:tc>
        <w:tc>
          <w:tcPr>
            <w:tcW w:type="pct" w:w="1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4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Siguiente a redactar.</w:t>
            </w:r>
          </w:p>
        </w:tc>
      </w:tr>
      <w:tr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4.9</w:t>
            </w:r>
          </w:p>
        </w:tc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Inventario y dasometría</w:t>
            </w:r>
          </w:p>
        </w:tc>
        <w:tc>
          <w:tcPr>
            <w:tcW w:type="pct" w:w="1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Parcial</w:t>
            </w:r>
          </w:p>
        </w:tc>
        <w:tc>
          <w:tcPr>
            <w:tcW w:type="pct" w:w="4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Descripción de muestreo ahora; resultados esperan SIPLAFOR.</w:t>
            </w:r>
          </w:p>
        </w:tc>
      </w:tr>
      <w:tr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4.10</w:t>
            </w:r>
          </w:p>
        </w:tc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Información por UMM</w:t>
            </w:r>
          </w:p>
        </w:tc>
        <w:tc>
          <w:tcPr>
            <w:tcW w:type="pct" w:w="1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pct" w:w="4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Espera SIPLAFOR.</w:t>
            </w:r>
          </w:p>
        </w:tc>
      </w:tr>
      <w:tr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4.11</w:t>
            </w:r>
          </w:p>
        </w:tc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Sistema silvícola</w:t>
            </w:r>
          </w:p>
        </w:tc>
        <w:tc>
          <w:tcPr>
            <w:tcW w:type="pct" w:w="1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Parcial</w:t>
            </w:r>
          </w:p>
        </w:tc>
        <w:tc>
          <w:tcPr>
            <w:tcW w:type="pct" w:w="4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Marco ahora; detalle por UM espera dasometría.</w:t>
            </w:r>
          </w:p>
        </w:tc>
      </w:tr>
      <w:tr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4.12</w:t>
            </w:r>
          </w:p>
        </w:tc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Posibilidad</w:t>
            </w:r>
          </w:p>
        </w:tc>
        <w:tc>
          <w:tcPr>
            <w:tcW w:type="pct" w:w="1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pct" w:w="4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Espera SIPLAFOR.</w:t>
            </w:r>
          </w:p>
        </w:tc>
      </w:tr>
      <w:tr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4.13</w:t>
            </w:r>
          </w:p>
        </w:tc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Infraestructura</w:t>
            </w:r>
          </w:p>
        </w:tc>
        <w:tc>
          <w:tcPr>
            <w:tcW w:type="pct" w:w="1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4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Caminos existentes ahora.</w:t>
            </w:r>
          </w:p>
        </w:tc>
      </w:tr>
      <w:tr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4.14</w:t>
            </w:r>
          </w:p>
        </w:tc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Reforestación</w:t>
            </w:r>
          </w:p>
        </w:tc>
        <w:tc>
          <w:tcPr>
            <w:tcW w:type="pct" w:w="1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Parcial</w:t>
            </w:r>
          </w:p>
        </w:tc>
        <w:tc>
          <w:tcPr>
            <w:tcW w:type="pct" w:w="4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Marco ahora; determinación por regeneración espera SIPLAFOR.</w:t>
            </w:r>
          </w:p>
        </w:tc>
      </w:tr>
      <w:tr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4.15</w:t>
            </w:r>
          </w:p>
        </w:tc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Incendios, plagas y enfermedades</w:t>
            </w:r>
          </w:p>
        </w:tc>
        <w:tc>
          <w:tcPr>
            <w:tcW w:type="pct" w:w="1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4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Ahora; incluye estrategia fitosanitaria.</w:t>
            </w:r>
          </w:p>
        </w:tc>
      </w:tr>
      <w:tr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4.16</w:t>
            </w:r>
          </w:p>
        </w:tc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Prevención y mitigación de impactos</w:t>
            </w:r>
          </w:p>
        </w:tc>
        <w:tc>
          <w:tcPr>
            <w:tcW w:type="pct" w:w="1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4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Ahora.</w:t>
            </w:r>
          </w:p>
        </w:tc>
      </w:tr>
      <w:tr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4.17</w:t>
            </w:r>
          </w:p>
        </w:tc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Restauración</w:t>
            </w:r>
          </w:p>
        </w:tc>
        <w:tc>
          <w:tcPr>
            <w:tcW w:type="pct" w:w="1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pct" w:w="4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Espera SIPLAFOR y cuantificación fitosanitaria.</w:t>
            </w:r>
          </w:p>
        </w:tc>
      </w:tr>
      <w:tr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4.18</w:t>
            </w:r>
          </w:p>
        </w:tc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Método de marqueo</w:t>
            </w:r>
          </w:p>
        </w:tc>
        <w:tc>
          <w:tcPr>
            <w:tcW w:type="pct" w:w="1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4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Ahora.</w:t>
            </w:r>
          </w:p>
        </w:tc>
      </w:tr>
      <w:tr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4.19</w:t>
            </w:r>
          </w:p>
        </w:tc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Planos</w:t>
            </w:r>
          </w:p>
        </w:tc>
        <w:tc>
          <w:tcPr>
            <w:tcW w:type="pct" w:w="18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Parcial</w:t>
            </w:r>
          </w:p>
        </w:tc>
        <w:tc>
          <w:tcPr>
            <w:tcW w:type="pct" w:w="42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line="240"/>
              <w:jc w:val="left"/>
            </w:pPr>
            <w:r>
              <w:rPr>
                <w:color w:val="000000"/>
                <w:sz w:val="18"/>
                <w:szCs w:val="18"/>
              </w:rPr>
              <w:t xml:space="preserve">Clasificación, infraestructura y diseño de muestreo ahora; áreas de corta tras posibilidad.</w:t>
            </w:r>
          </w:p>
        </w:tc>
      </w:tr>
    </w:tbl>
    <w:p>
      <w:pPr>
        <w:spacing w:after="120"/>
      </w:pPr>
    </w:p>
    <w:p>
      <w:pPr>
        <w:spacing w:after="40" w:line="240"/>
        <w:jc w:val="left"/>
      </w:pPr>
      <w:r>
        <w:rPr>
          <w:b/>
          <w:bCs/>
          <w:color w:val="000000"/>
          <w:sz w:val="18"/>
          <w:szCs w:val="18"/>
        </w:rPr>
        <w:t xml:space="preserve">Nota. </w:t>
      </w:r>
      <w:r>
        <w:rPr>
          <w:i/>
          <w:iCs/>
          <w:color w:val="000000"/>
          <w:sz w:val="18"/>
          <w:szCs w:val="18"/>
        </w:rPr>
        <w:t xml:space="preserve">El orden y la numeración de los apartados toman como base la NOM-152-SEMARNAT-2023; la estructura definitiva de presentación del PMF se fijará más adelante.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4"/>
      </w:pBdr>
      <w:spacing w:before="40"/>
      <w:jc w:val="center"/>
    </w:pPr>
    <w:r>
      <w:rPr>
        <w:color w:val="000000"/>
        <w:sz w:val="16"/>
        <w:szCs w:val="16"/>
      </w:rPr>
      <w:t xml:space="preserve">Actualización 10-jun-2026   |   Pág. </w:t>
    </w:r>
    <w:r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4"/>
      </w:pBdr>
      <w:spacing w:after="40"/>
      <w:jc w:val="right"/>
    </w:pPr>
    <w:r>
      <w:rPr>
        <w:color w:val="000000"/>
        <w:sz w:val="16"/>
        <w:szCs w:val="16"/>
      </w:rPr>
      <w:t xml:space="preserve">Bitácora de trazabilidad — PMF San Juan de los Potreros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/>
      <w:jc w:val="center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2026-06-11T01:16:48.585Z</dcterms:created>
  <dcterms:modified xsi:type="dcterms:W3CDTF">2026-06-11T01:16:48.598Z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