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ACTUALIZACIÓN DE APARTADOS 4.8.2 Y 4.8.5</w:t>
      </w:r>
    </w:p>
    <w:p>
      <w:pPr>
        <w:spacing w:after="200" w:line="276"/>
        <w:jc w:val="both"/>
      </w:pPr>
      <w:r>
        <w:rPr>
          <w:b/>
          <w:bCs/>
        </w:rPr>
        <w:t xml:space="preserve">Nota de integración. </w:t>
      </w:r>
      <w:r>
        <w:t xml:space="preserve">Este documento contiene la versión actualizada de los apartados 4.8.2 (fisiografía y relieve) y 4.8.5.1 (tipos de vegetación) con datos a nivel de predio, para sustituir el contenido correspondiente en el capítulo 4.8. Los valores se derivan del Continuo de Elevaciones Mexicano de INEGI (15 m) y de la carta de vegetación INEGI Serie VII, en EPSG:32613.</w:t>
      </w:r>
    </w:p>
    <w:p>
      <w:pPr>
        <w:pStyle w:val="Heading2"/>
      </w:pPr>
      <w:r>
        <w:t xml:space="preserve">4.8.2  Fisiografía y relieve</w:t>
      </w:r>
    </w:p>
    <w:p>
      <w:pPr>
        <w:spacing w:after="150" w:line="276"/>
        <w:jc w:val="both"/>
      </w:pPr>
      <w:r>
        <w:t xml:space="preserve">El predio se ubica en la provincia fisiográfica Sierra Madre Occidental, en la región del Cañón de Bolaños. A partir del Continuo de Elevaciones Mexicano de INEGI (resolución de 15 metros, reproyectado a EPSG:32613), la altitud del predio varía entre 1,676 y 2,412 metros sobre el nivel del mar, con una media de 2,108 y una mediana de 2,119 metros. El predio no presenta superficies por encima de los 3,000 msnm.</w:t>
      </w:r>
    </w:p>
    <w:p>
      <w:pPr>
        <w:spacing w:after="150" w:line="276"/>
        <w:jc w:val="both"/>
      </w:pPr>
      <w:r>
        <w:t xml:space="preserve">La pendiente se calculó mediante el algoritmo de Horn y se clasificó conforme al sistema de Van Zuidam. La pendiente media del predio es de 13.6 grados (aproximadamente 24 por ciento) y la máxima de 72.7 grados. El relieve es predominantemente montañoso: los terrenos fuertemente inclinados a moderadamente escarpados (15 a 70 por ciento de pendiente) concentran cerca del 65 por ciento de la superficie, lo que es congruente con el carácter fragmentado de la masa forestal y con el planteamiento de un aprovechamiento conservador.</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4860"/>
        <w:gridCol w:w="2500"/>
        <w:gridCol w:w="2000"/>
      </w:tblGrid>
      <w:tr>
        <w:trPr>
          <w:tblHeader/>
        </w:trPr>
        <w:tc>
          <w:tcPr>
            <w:tcW w:type="dxa" w:w="4860"/>
            <w:shd w:fill="D9D9D9" w:color="auto" w:val="clear"/>
            <w:tcMar>
              <w:top w:type="dxa" w:w="40"/>
              <w:left w:type="dxa" w:w="90"/>
              <w:bottom w:type="dxa" w:w="40"/>
              <w:right w:type="dxa" w:w="90"/>
            </w:tcMar>
          </w:tcPr>
          <w:p>
            <w:pPr>
              <w:spacing w:after="0" w:line="240"/>
              <w:jc w:val="left"/>
            </w:pPr>
            <w:r>
              <w:rPr>
                <w:b/>
                <w:bCs/>
                <w:sz w:val="18"/>
                <w:szCs w:val="18"/>
              </w:rPr>
              <w:t xml:space="preserve">Clase de pendiente (%) — Van Zuidam</w:t>
            </w:r>
          </w:p>
        </w:tc>
        <w:tc>
          <w:tcPr>
            <w:tcW w:type="dxa" w:w="2500"/>
            <w:shd w:fill="D9D9D9" w:color="auto" w:val="clear"/>
            <w:tcMar>
              <w:top w:type="dxa" w:w="40"/>
              <w:left w:type="dxa" w:w="90"/>
              <w:bottom w:type="dxa" w:w="40"/>
              <w:right w:type="dxa" w:w="90"/>
            </w:tcMar>
          </w:tcPr>
          <w:p>
            <w:pPr>
              <w:spacing w:after="0" w:line="240"/>
              <w:jc w:val="right"/>
            </w:pPr>
            <w:r>
              <w:rPr>
                <w:b/>
                <w:bCs/>
                <w:sz w:val="18"/>
                <w:szCs w:val="18"/>
              </w:rPr>
              <w:t xml:space="preserve">Superficie (ha)</w:t>
            </w:r>
          </w:p>
        </w:tc>
        <w:tc>
          <w:tcPr>
            <w:tcW w:type="dxa" w:w="2000"/>
            <w:shd w:fill="D9D9D9" w:color="auto" w:val="clear"/>
            <w:tcMar>
              <w:top w:type="dxa" w:w="40"/>
              <w:left w:type="dxa" w:w="90"/>
              <w:bottom w:type="dxa" w:w="40"/>
              <w:right w:type="dxa" w:w="90"/>
            </w:tcMar>
          </w:tcPr>
          <w:p>
            <w:pPr>
              <w:spacing w:after="0" w:line="240"/>
              <w:jc w:val="right"/>
            </w:pPr>
            <w:r>
              <w:rPr>
                <w:b/>
                <w:bCs/>
                <w:sz w:val="18"/>
                <w:szCs w:val="18"/>
              </w:rPr>
              <w:t xml:space="preserve">% del predio</w:t>
            </w:r>
          </w:p>
        </w:tc>
      </w:tr>
      <w:tr>
        <w:tc>
          <w:tcPr>
            <w:tcW w:type="dxa" w:w="4860"/>
            <w:tcMar>
              <w:top w:type="dxa" w:w="40"/>
              <w:left w:type="dxa" w:w="90"/>
              <w:bottom w:type="dxa" w:w="40"/>
              <w:right w:type="dxa" w:w="90"/>
            </w:tcMar>
          </w:tcPr>
          <w:p>
            <w:pPr>
              <w:spacing w:after="0" w:line="240"/>
              <w:jc w:val="left"/>
            </w:pPr>
            <w:r>
              <w:rPr>
                <w:b w:val="false"/>
                <w:bCs w:val="false"/>
                <w:sz w:val="18"/>
                <w:szCs w:val="18"/>
              </w:rPr>
              <w:t xml:space="preserve">0–2  plano a casi plano</w:t>
            </w:r>
          </w:p>
        </w:tc>
        <w:tc>
          <w:tcPr>
            <w:tcW w:type="dxa" w:w="2500"/>
            <w:tcMar>
              <w:top w:type="dxa" w:w="40"/>
              <w:left w:type="dxa" w:w="90"/>
              <w:bottom w:type="dxa" w:w="40"/>
              <w:right w:type="dxa" w:w="90"/>
            </w:tcMar>
          </w:tcPr>
          <w:p>
            <w:pPr>
              <w:spacing w:after="0" w:line="240"/>
              <w:jc w:val="right"/>
            </w:pPr>
            <w:r>
              <w:rPr>
                <w:b w:val="false"/>
                <w:bCs w:val="false"/>
                <w:sz w:val="18"/>
                <w:szCs w:val="18"/>
              </w:rPr>
              <w:t xml:space="preserve">290.1</w:t>
            </w:r>
          </w:p>
        </w:tc>
        <w:tc>
          <w:tcPr>
            <w:tcW w:type="dxa" w:w="2000"/>
            <w:tcMar>
              <w:top w:type="dxa" w:w="40"/>
              <w:left w:type="dxa" w:w="90"/>
              <w:bottom w:type="dxa" w:w="40"/>
              <w:right w:type="dxa" w:w="90"/>
            </w:tcMar>
          </w:tcPr>
          <w:p>
            <w:pPr>
              <w:spacing w:after="0" w:line="240"/>
              <w:jc w:val="right"/>
            </w:pPr>
            <w:r>
              <w:rPr>
                <w:b w:val="false"/>
                <w:bCs w:val="false"/>
                <w:sz w:val="18"/>
                <w:szCs w:val="18"/>
              </w:rPr>
              <w:t xml:space="preserve">1.80</w:t>
            </w:r>
          </w:p>
        </w:tc>
      </w:tr>
      <w:tr>
        <w:tc>
          <w:tcPr>
            <w:tcW w:type="dxa" w:w="4860"/>
            <w:tcMar>
              <w:top w:type="dxa" w:w="40"/>
              <w:left w:type="dxa" w:w="90"/>
              <w:bottom w:type="dxa" w:w="40"/>
              <w:right w:type="dxa" w:w="90"/>
            </w:tcMar>
          </w:tcPr>
          <w:p>
            <w:pPr>
              <w:spacing w:after="0" w:line="240"/>
              <w:jc w:val="left"/>
            </w:pPr>
            <w:r>
              <w:rPr>
                <w:b w:val="false"/>
                <w:bCs w:val="false"/>
                <w:sz w:val="18"/>
                <w:szCs w:val="18"/>
              </w:rPr>
              <w:t xml:space="preserve">2–7  suavemente inclinado</w:t>
            </w:r>
          </w:p>
        </w:tc>
        <w:tc>
          <w:tcPr>
            <w:tcW w:type="dxa" w:w="2500"/>
            <w:tcMar>
              <w:top w:type="dxa" w:w="40"/>
              <w:left w:type="dxa" w:w="90"/>
              <w:bottom w:type="dxa" w:w="40"/>
              <w:right w:type="dxa" w:w="90"/>
            </w:tcMar>
          </w:tcPr>
          <w:p>
            <w:pPr>
              <w:spacing w:after="0" w:line="240"/>
              <w:jc w:val="right"/>
            </w:pPr>
            <w:r>
              <w:rPr>
                <w:b w:val="false"/>
                <w:bCs w:val="false"/>
                <w:sz w:val="18"/>
                <w:szCs w:val="18"/>
              </w:rPr>
              <w:t xml:space="preserve">1,993.6</w:t>
            </w:r>
          </w:p>
        </w:tc>
        <w:tc>
          <w:tcPr>
            <w:tcW w:type="dxa" w:w="2000"/>
            <w:tcMar>
              <w:top w:type="dxa" w:w="40"/>
              <w:left w:type="dxa" w:w="90"/>
              <w:bottom w:type="dxa" w:w="40"/>
              <w:right w:type="dxa" w:w="90"/>
            </w:tcMar>
          </w:tcPr>
          <w:p>
            <w:pPr>
              <w:spacing w:after="0" w:line="240"/>
              <w:jc w:val="right"/>
            </w:pPr>
            <w:r>
              <w:rPr>
                <w:b w:val="false"/>
                <w:bCs w:val="false"/>
                <w:sz w:val="18"/>
                <w:szCs w:val="18"/>
              </w:rPr>
              <w:t xml:space="preserve">12.36</w:t>
            </w:r>
          </w:p>
        </w:tc>
      </w:tr>
      <w:tr>
        <w:tc>
          <w:tcPr>
            <w:tcW w:type="dxa" w:w="4860"/>
            <w:tcMar>
              <w:top w:type="dxa" w:w="40"/>
              <w:left w:type="dxa" w:w="90"/>
              <w:bottom w:type="dxa" w:w="40"/>
              <w:right w:type="dxa" w:w="90"/>
            </w:tcMar>
          </w:tcPr>
          <w:p>
            <w:pPr>
              <w:spacing w:after="0" w:line="240"/>
              <w:jc w:val="left"/>
            </w:pPr>
            <w:r>
              <w:rPr>
                <w:b w:val="false"/>
                <w:bCs w:val="false"/>
                <w:sz w:val="18"/>
                <w:szCs w:val="18"/>
              </w:rPr>
              <w:t xml:space="preserve">7–15  inclinado</w:t>
            </w:r>
          </w:p>
        </w:tc>
        <w:tc>
          <w:tcPr>
            <w:tcW w:type="dxa" w:w="2500"/>
            <w:tcMar>
              <w:top w:type="dxa" w:w="40"/>
              <w:left w:type="dxa" w:w="90"/>
              <w:bottom w:type="dxa" w:w="40"/>
              <w:right w:type="dxa" w:w="90"/>
            </w:tcMar>
          </w:tcPr>
          <w:p>
            <w:pPr>
              <w:spacing w:after="0" w:line="240"/>
              <w:jc w:val="right"/>
            </w:pPr>
            <w:r>
              <w:rPr>
                <w:b w:val="false"/>
                <w:bCs w:val="false"/>
                <w:sz w:val="18"/>
                <w:szCs w:val="18"/>
              </w:rPr>
              <w:t xml:space="preserve">3,251.9</w:t>
            </w:r>
          </w:p>
        </w:tc>
        <w:tc>
          <w:tcPr>
            <w:tcW w:type="dxa" w:w="2000"/>
            <w:tcMar>
              <w:top w:type="dxa" w:w="40"/>
              <w:left w:type="dxa" w:w="90"/>
              <w:bottom w:type="dxa" w:w="40"/>
              <w:right w:type="dxa" w:w="90"/>
            </w:tcMar>
          </w:tcPr>
          <w:p>
            <w:pPr>
              <w:spacing w:after="0" w:line="240"/>
              <w:jc w:val="right"/>
            </w:pPr>
            <w:r>
              <w:rPr>
                <w:b w:val="false"/>
                <w:bCs w:val="false"/>
                <w:sz w:val="18"/>
                <w:szCs w:val="18"/>
              </w:rPr>
              <w:t xml:space="preserve">20.16</w:t>
            </w:r>
          </w:p>
        </w:tc>
      </w:tr>
      <w:tr>
        <w:tc>
          <w:tcPr>
            <w:tcW w:type="dxa" w:w="4860"/>
            <w:tcMar>
              <w:top w:type="dxa" w:w="40"/>
              <w:left w:type="dxa" w:w="90"/>
              <w:bottom w:type="dxa" w:w="40"/>
              <w:right w:type="dxa" w:w="90"/>
            </w:tcMar>
          </w:tcPr>
          <w:p>
            <w:pPr>
              <w:spacing w:after="0" w:line="240"/>
              <w:jc w:val="left"/>
            </w:pPr>
            <w:r>
              <w:rPr>
                <w:b w:val="false"/>
                <w:bCs w:val="false"/>
                <w:sz w:val="18"/>
                <w:szCs w:val="18"/>
              </w:rPr>
              <w:t xml:space="preserve">15–30  fuertemente inclinado</w:t>
            </w:r>
          </w:p>
        </w:tc>
        <w:tc>
          <w:tcPr>
            <w:tcW w:type="dxa" w:w="2500"/>
            <w:tcMar>
              <w:top w:type="dxa" w:w="40"/>
              <w:left w:type="dxa" w:w="90"/>
              <w:bottom w:type="dxa" w:w="40"/>
              <w:right w:type="dxa" w:w="90"/>
            </w:tcMar>
          </w:tcPr>
          <w:p>
            <w:pPr>
              <w:spacing w:after="0" w:line="240"/>
              <w:jc w:val="right"/>
            </w:pPr>
            <w:r>
              <w:rPr>
                <w:b w:val="false"/>
                <w:bCs w:val="false"/>
                <w:sz w:val="18"/>
                <w:szCs w:val="18"/>
              </w:rPr>
              <w:t xml:space="preserve">4,872.8</w:t>
            </w:r>
          </w:p>
        </w:tc>
        <w:tc>
          <w:tcPr>
            <w:tcW w:type="dxa" w:w="2000"/>
            <w:tcMar>
              <w:top w:type="dxa" w:w="40"/>
              <w:left w:type="dxa" w:w="90"/>
              <w:bottom w:type="dxa" w:w="40"/>
              <w:right w:type="dxa" w:w="90"/>
            </w:tcMar>
          </w:tcPr>
          <w:p>
            <w:pPr>
              <w:spacing w:after="0" w:line="240"/>
              <w:jc w:val="right"/>
            </w:pPr>
            <w:r>
              <w:rPr>
                <w:b w:val="false"/>
                <w:bCs w:val="false"/>
                <w:sz w:val="18"/>
                <w:szCs w:val="18"/>
              </w:rPr>
              <w:t xml:space="preserve">30.22</w:t>
            </w:r>
          </w:p>
        </w:tc>
      </w:tr>
      <w:tr>
        <w:tc>
          <w:tcPr>
            <w:tcW w:type="dxa" w:w="4860"/>
            <w:tcMar>
              <w:top w:type="dxa" w:w="40"/>
              <w:left w:type="dxa" w:w="90"/>
              <w:bottom w:type="dxa" w:w="40"/>
              <w:right w:type="dxa" w:w="90"/>
            </w:tcMar>
          </w:tcPr>
          <w:p>
            <w:pPr>
              <w:spacing w:after="0" w:line="240"/>
              <w:jc w:val="left"/>
            </w:pPr>
            <w:r>
              <w:rPr>
                <w:b w:val="false"/>
                <w:bCs w:val="false"/>
                <w:sz w:val="18"/>
                <w:szCs w:val="18"/>
              </w:rPr>
              <w:t xml:space="preserve">30–70  moderadamente escarpado</w:t>
            </w:r>
          </w:p>
        </w:tc>
        <w:tc>
          <w:tcPr>
            <w:tcW w:type="dxa" w:w="2500"/>
            <w:tcMar>
              <w:top w:type="dxa" w:w="40"/>
              <w:left w:type="dxa" w:w="90"/>
              <w:bottom w:type="dxa" w:w="40"/>
              <w:right w:type="dxa" w:w="90"/>
            </w:tcMar>
          </w:tcPr>
          <w:p>
            <w:pPr>
              <w:spacing w:after="0" w:line="240"/>
              <w:jc w:val="right"/>
            </w:pPr>
            <w:r>
              <w:rPr>
                <w:b w:val="false"/>
                <w:bCs w:val="false"/>
                <w:sz w:val="18"/>
                <w:szCs w:val="18"/>
              </w:rPr>
              <w:t xml:space="preserve">5,582.2</w:t>
            </w:r>
          </w:p>
        </w:tc>
        <w:tc>
          <w:tcPr>
            <w:tcW w:type="dxa" w:w="2000"/>
            <w:tcMar>
              <w:top w:type="dxa" w:w="40"/>
              <w:left w:type="dxa" w:w="90"/>
              <w:bottom w:type="dxa" w:w="40"/>
              <w:right w:type="dxa" w:w="90"/>
            </w:tcMar>
          </w:tcPr>
          <w:p>
            <w:pPr>
              <w:spacing w:after="0" w:line="240"/>
              <w:jc w:val="right"/>
            </w:pPr>
            <w:r>
              <w:rPr>
                <w:b w:val="false"/>
                <w:bCs w:val="false"/>
                <w:sz w:val="18"/>
                <w:szCs w:val="18"/>
              </w:rPr>
              <w:t xml:space="preserve">34.62</w:t>
            </w:r>
          </w:p>
        </w:tc>
      </w:tr>
      <w:tr>
        <w:tc>
          <w:tcPr>
            <w:tcW w:type="dxa" w:w="4860"/>
            <w:tcMar>
              <w:top w:type="dxa" w:w="40"/>
              <w:left w:type="dxa" w:w="90"/>
              <w:bottom w:type="dxa" w:w="40"/>
              <w:right w:type="dxa" w:w="90"/>
            </w:tcMar>
          </w:tcPr>
          <w:p>
            <w:pPr>
              <w:spacing w:after="0" w:line="240"/>
              <w:jc w:val="left"/>
            </w:pPr>
            <w:r>
              <w:rPr>
                <w:b w:val="false"/>
                <w:bCs w:val="false"/>
                <w:sz w:val="18"/>
                <w:szCs w:val="18"/>
              </w:rPr>
              <w:t xml:space="preserve">70–140  escarpado</w:t>
            </w:r>
          </w:p>
        </w:tc>
        <w:tc>
          <w:tcPr>
            <w:tcW w:type="dxa" w:w="2500"/>
            <w:tcMar>
              <w:top w:type="dxa" w:w="40"/>
              <w:left w:type="dxa" w:w="90"/>
              <w:bottom w:type="dxa" w:w="40"/>
              <w:right w:type="dxa" w:w="90"/>
            </w:tcMar>
          </w:tcPr>
          <w:p>
            <w:pPr>
              <w:spacing w:after="0" w:line="240"/>
              <w:jc w:val="right"/>
            </w:pPr>
            <w:r>
              <w:rPr>
                <w:b w:val="false"/>
                <w:bCs w:val="false"/>
                <w:sz w:val="18"/>
                <w:szCs w:val="18"/>
              </w:rPr>
              <w:t xml:space="preserve">132.0</w:t>
            </w:r>
          </w:p>
        </w:tc>
        <w:tc>
          <w:tcPr>
            <w:tcW w:type="dxa" w:w="2000"/>
            <w:tcMar>
              <w:top w:type="dxa" w:w="40"/>
              <w:left w:type="dxa" w:w="90"/>
              <w:bottom w:type="dxa" w:w="40"/>
              <w:right w:type="dxa" w:w="90"/>
            </w:tcMar>
          </w:tcPr>
          <w:p>
            <w:pPr>
              <w:spacing w:after="0" w:line="240"/>
              <w:jc w:val="right"/>
            </w:pPr>
            <w:r>
              <w:rPr>
                <w:b w:val="false"/>
                <w:bCs w:val="false"/>
                <w:sz w:val="18"/>
                <w:szCs w:val="18"/>
              </w:rPr>
              <w:t xml:space="preserve">0.82</w:t>
            </w:r>
          </w:p>
        </w:tc>
      </w:tr>
      <w:tr>
        <w:tc>
          <w:tcPr>
            <w:tcW w:type="dxa" w:w="4860"/>
            <w:tcMar>
              <w:top w:type="dxa" w:w="40"/>
              <w:left w:type="dxa" w:w="90"/>
              <w:bottom w:type="dxa" w:w="40"/>
              <w:right w:type="dxa" w:w="90"/>
            </w:tcMar>
          </w:tcPr>
          <w:p>
            <w:pPr>
              <w:spacing w:after="0" w:line="240"/>
              <w:jc w:val="left"/>
            </w:pPr>
            <w:r>
              <w:rPr>
                <w:b w:val="false"/>
                <w:bCs w:val="false"/>
                <w:sz w:val="18"/>
                <w:szCs w:val="18"/>
              </w:rPr>
              <w:t xml:space="preserve">&gt;140  muy escarpado</w:t>
            </w:r>
          </w:p>
        </w:tc>
        <w:tc>
          <w:tcPr>
            <w:tcW w:type="dxa" w:w="2500"/>
            <w:tcMar>
              <w:top w:type="dxa" w:w="40"/>
              <w:left w:type="dxa" w:w="90"/>
              <w:bottom w:type="dxa" w:w="40"/>
              <w:right w:type="dxa" w:w="90"/>
            </w:tcMar>
          </w:tcPr>
          <w:p>
            <w:pPr>
              <w:spacing w:after="0" w:line="240"/>
              <w:jc w:val="right"/>
            </w:pPr>
            <w:r>
              <w:rPr>
                <w:b w:val="false"/>
                <w:bCs w:val="false"/>
                <w:sz w:val="18"/>
                <w:szCs w:val="18"/>
              </w:rPr>
              <w:t xml:space="preserve">3.9</w:t>
            </w:r>
          </w:p>
        </w:tc>
        <w:tc>
          <w:tcPr>
            <w:tcW w:type="dxa" w:w="2000"/>
            <w:tcMar>
              <w:top w:type="dxa" w:w="40"/>
              <w:left w:type="dxa" w:w="90"/>
              <w:bottom w:type="dxa" w:w="40"/>
              <w:right w:type="dxa" w:w="90"/>
            </w:tcMar>
          </w:tcPr>
          <w:p>
            <w:pPr>
              <w:spacing w:after="0" w:line="240"/>
              <w:jc w:val="right"/>
            </w:pPr>
            <w:r>
              <w:rPr>
                <w:b w:val="false"/>
                <w:bCs w:val="false"/>
                <w:sz w:val="18"/>
                <w:szCs w:val="18"/>
              </w:rPr>
              <w:t xml:space="preserve">0.02</w:t>
            </w:r>
          </w:p>
        </w:tc>
      </w:tr>
      <w:tr>
        <w:tc>
          <w:tcPr>
            <w:tcW w:type="dxa" w:w="4860"/>
            <w:tcMar>
              <w:top w:type="dxa" w:w="40"/>
              <w:left w:type="dxa" w:w="90"/>
              <w:bottom w:type="dxa" w:w="40"/>
              <w:right w:type="dxa" w:w="90"/>
            </w:tcMar>
          </w:tcPr>
          <w:p>
            <w:pPr>
              <w:spacing w:after="0" w:line="240"/>
              <w:jc w:val="left"/>
            </w:pPr>
            <w:r>
              <w:rPr>
                <w:b/>
                <w:bCs/>
                <w:sz w:val="18"/>
                <w:szCs w:val="18"/>
              </w:rPr>
              <w:t xml:space="preserve">Total</w:t>
            </w:r>
          </w:p>
        </w:tc>
        <w:tc>
          <w:tcPr>
            <w:tcW w:type="dxa" w:w="2500"/>
            <w:tcMar>
              <w:top w:type="dxa" w:w="40"/>
              <w:left w:type="dxa" w:w="90"/>
              <w:bottom w:type="dxa" w:w="40"/>
              <w:right w:type="dxa" w:w="90"/>
            </w:tcMar>
          </w:tcPr>
          <w:p>
            <w:pPr>
              <w:spacing w:after="0" w:line="240"/>
              <w:jc w:val="right"/>
            </w:pPr>
            <w:r>
              <w:rPr>
                <w:b/>
                <w:bCs/>
                <w:sz w:val="18"/>
                <w:szCs w:val="18"/>
              </w:rPr>
              <w:t xml:space="preserve">16,126.4</w:t>
            </w:r>
          </w:p>
        </w:tc>
        <w:tc>
          <w:tcPr>
            <w:tcW w:type="dxa" w:w="2000"/>
            <w:tcMar>
              <w:top w:type="dxa" w:w="40"/>
              <w:left w:type="dxa" w:w="90"/>
              <w:bottom w:type="dxa" w:w="40"/>
              <w:right w:type="dxa" w:w="90"/>
            </w:tcMar>
          </w:tcPr>
          <w:p>
            <w:pPr>
              <w:spacing w:after="0" w:line="240"/>
              <w:jc w:val="right"/>
            </w:pPr>
            <w:r>
              <w:rPr>
                <w:b/>
                <w:bCs/>
                <w:sz w:val="18"/>
                <w:szCs w:val="18"/>
              </w:rPr>
              <w:t xml:space="preserve">100.00</w:t>
            </w:r>
          </w:p>
        </w:tc>
      </w:tr>
    </w:tbl>
    <w:p>
      <w:pPr>
        <w:spacing w:after="160" w:line="276"/>
        <w:jc w:val="both"/>
      </w:pPr>
      <w:r>
        <w:rPr>
          <w:b/>
          <w:bCs/>
          <w:sz w:val="18"/>
          <w:szCs w:val="18"/>
        </w:rPr>
        <w:t xml:space="preserve">Fuente: </w:t>
      </w:r>
      <w:r>
        <w:rPr>
          <w:sz w:val="18"/>
          <w:szCs w:val="18"/>
        </w:rPr>
        <w:t xml:space="preserve">Continuo de Elevaciones Mexicano, INEGI, 15 m; pendiente por el método de Horn; clasificación de Van Zuidam. Las superficies con pendiente mayor al 100% (45°), 3.98 ha, se reportan en la clasificación de superficies (apartado 4.7) como áreas de aprovechamiento restringido.</w:t>
      </w:r>
    </w:p>
    <w:p>
      <w:pPr>
        <w:pStyle w:val="Heading2"/>
      </w:pPr>
      <w:r>
        <w:t xml:space="preserve">4.8.5.1  Tipos de vegetación y uso del suelo</w:t>
      </w:r>
    </w:p>
    <w:p>
      <w:pPr>
        <w:spacing w:after="150" w:line="276"/>
        <w:jc w:val="both"/>
      </w:pPr>
      <w:r>
        <w:t xml:space="preserve">Conforme a la carta de uso del suelo y vegetación INEGI Serie VII, fuente normativa para este apartado, el predio presenta los tipos de vegetación y uso del suelo que se resumen en la tabla siguiente. La cartografía cubre la totalidad de la superficie comunal, incluida la fracción que se localiza en el estado de Zacatecas, y suma 16,126.61 hectáreas, consistente con la superficie del predio.</w:t>
      </w:r>
    </w:p>
    <w:tbl>
      <w:tblPr>
        <w:tblW w:type="dxa" w:w="9360"/>
        <w:tblBorders>
          <w:top w:val="single" w:color="808080" w:sz="4"/>
          <w:left w:val="single" w:color="808080" w:sz="4"/>
          <w:bottom w:val="single" w:color="808080" w:sz="4"/>
          <w:right w:val="single" w:color="808080" w:sz="4"/>
          <w:insideH w:val="single" w:color="808080" w:sz="4"/>
          <w:insideV w:val="single" w:color="808080" w:sz="4"/>
        </w:tblBorders>
      </w:tblPr>
      <w:tblGrid>
        <w:gridCol w:w="5260"/>
        <w:gridCol w:w="2100"/>
        <w:gridCol w:w="2000"/>
      </w:tblGrid>
      <w:tr>
        <w:trPr>
          <w:tblHeader/>
        </w:trPr>
        <w:tc>
          <w:tcPr>
            <w:tcW w:type="dxa" w:w="5260"/>
            <w:shd w:fill="D9D9D9" w:color="auto" w:val="clear"/>
            <w:tcMar>
              <w:top w:type="dxa" w:w="40"/>
              <w:left w:type="dxa" w:w="90"/>
              <w:bottom w:type="dxa" w:w="40"/>
              <w:right w:type="dxa" w:w="90"/>
            </w:tcMar>
          </w:tcPr>
          <w:p>
            <w:pPr>
              <w:spacing w:after="0" w:line="240"/>
              <w:jc w:val="left"/>
            </w:pPr>
            <w:r>
              <w:rPr>
                <w:b/>
                <w:bCs/>
                <w:sz w:val="18"/>
                <w:szCs w:val="18"/>
              </w:rPr>
              <w:t xml:space="preserve">Tipo de vegetación y uso del suelo (INEGI Serie VII)</w:t>
            </w:r>
          </w:p>
        </w:tc>
        <w:tc>
          <w:tcPr>
            <w:tcW w:type="dxa" w:w="2100"/>
            <w:shd w:fill="D9D9D9" w:color="auto" w:val="clear"/>
            <w:tcMar>
              <w:top w:type="dxa" w:w="40"/>
              <w:left w:type="dxa" w:w="90"/>
              <w:bottom w:type="dxa" w:w="40"/>
              <w:right w:type="dxa" w:w="90"/>
            </w:tcMar>
          </w:tcPr>
          <w:p>
            <w:pPr>
              <w:spacing w:after="0" w:line="240"/>
              <w:jc w:val="right"/>
            </w:pPr>
            <w:r>
              <w:rPr>
                <w:b/>
                <w:bCs/>
                <w:sz w:val="18"/>
                <w:szCs w:val="18"/>
              </w:rPr>
              <w:t xml:space="preserve">Superficie (ha)</w:t>
            </w:r>
          </w:p>
        </w:tc>
        <w:tc>
          <w:tcPr>
            <w:tcW w:type="dxa" w:w="2000"/>
            <w:shd w:fill="D9D9D9" w:color="auto" w:val="clear"/>
            <w:tcMar>
              <w:top w:type="dxa" w:w="40"/>
              <w:left w:type="dxa" w:w="90"/>
              <w:bottom w:type="dxa" w:w="40"/>
              <w:right w:type="dxa" w:w="90"/>
            </w:tcMar>
          </w:tcPr>
          <w:p>
            <w:pPr>
              <w:spacing w:after="0" w:line="240"/>
              <w:jc w:val="right"/>
            </w:pPr>
            <w:r>
              <w:rPr>
                <w:b/>
                <w:bCs/>
                <w:sz w:val="18"/>
                <w:szCs w:val="18"/>
              </w:rPr>
              <w:t xml:space="preserve">% del predio</w:t>
            </w:r>
          </w:p>
        </w:tc>
      </w:tr>
      <w:tr>
        <w:tc>
          <w:tcPr>
            <w:tcW w:type="dxa" w:w="5260"/>
            <w:tcMar>
              <w:top w:type="dxa" w:w="40"/>
              <w:left w:type="dxa" w:w="90"/>
              <w:bottom w:type="dxa" w:w="40"/>
              <w:right w:type="dxa" w:w="90"/>
            </w:tcMar>
          </w:tcPr>
          <w:p>
            <w:pPr>
              <w:spacing w:after="0" w:line="240"/>
              <w:jc w:val="left"/>
            </w:pPr>
            <w:r>
              <w:rPr>
                <w:b w:val="false"/>
                <w:bCs w:val="false"/>
                <w:sz w:val="18"/>
                <w:szCs w:val="18"/>
              </w:rPr>
              <w:t xml:space="preserve">Bosque de encino (BQ)</w:t>
            </w:r>
          </w:p>
        </w:tc>
        <w:tc>
          <w:tcPr>
            <w:tcW w:type="dxa" w:w="2100"/>
            <w:tcMar>
              <w:top w:type="dxa" w:w="40"/>
              <w:left w:type="dxa" w:w="90"/>
              <w:bottom w:type="dxa" w:w="40"/>
              <w:right w:type="dxa" w:w="90"/>
            </w:tcMar>
          </w:tcPr>
          <w:p>
            <w:pPr>
              <w:spacing w:after="0" w:line="240"/>
              <w:jc w:val="right"/>
            </w:pPr>
            <w:r>
              <w:rPr>
                <w:b w:val="false"/>
                <w:bCs w:val="false"/>
                <w:sz w:val="18"/>
                <w:szCs w:val="18"/>
              </w:rPr>
              <w:t xml:space="preserve">4,204.16</w:t>
            </w:r>
          </w:p>
        </w:tc>
        <w:tc>
          <w:tcPr>
            <w:tcW w:type="dxa" w:w="2000"/>
            <w:tcMar>
              <w:top w:type="dxa" w:w="40"/>
              <w:left w:type="dxa" w:w="90"/>
              <w:bottom w:type="dxa" w:w="40"/>
              <w:right w:type="dxa" w:w="90"/>
            </w:tcMar>
          </w:tcPr>
          <w:p>
            <w:pPr>
              <w:spacing w:after="0" w:line="240"/>
              <w:jc w:val="right"/>
            </w:pPr>
            <w:r>
              <w:rPr>
                <w:b w:val="false"/>
                <w:bCs w:val="false"/>
                <w:sz w:val="18"/>
                <w:szCs w:val="18"/>
              </w:rPr>
              <w:t xml:space="preserve">26.07</w:t>
            </w:r>
          </w:p>
        </w:tc>
      </w:tr>
      <w:tr>
        <w:tc>
          <w:tcPr>
            <w:tcW w:type="dxa" w:w="5260"/>
            <w:tcMar>
              <w:top w:type="dxa" w:w="40"/>
              <w:left w:type="dxa" w:w="90"/>
              <w:bottom w:type="dxa" w:w="40"/>
              <w:right w:type="dxa" w:w="90"/>
            </w:tcMar>
          </w:tcPr>
          <w:p>
            <w:pPr>
              <w:spacing w:after="0" w:line="240"/>
              <w:jc w:val="left"/>
            </w:pPr>
            <w:r>
              <w:rPr>
                <w:b w:val="false"/>
                <w:bCs w:val="false"/>
                <w:sz w:val="18"/>
                <w:szCs w:val="18"/>
              </w:rPr>
              <w:t xml:space="preserve">Bosque de pino-encino (BPQ)</w:t>
            </w:r>
          </w:p>
        </w:tc>
        <w:tc>
          <w:tcPr>
            <w:tcW w:type="dxa" w:w="2100"/>
            <w:tcMar>
              <w:top w:type="dxa" w:w="40"/>
              <w:left w:type="dxa" w:w="90"/>
              <w:bottom w:type="dxa" w:w="40"/>
              <w:right w:type="dxa" w:w="90"/>
            </w:tcMar>
          </w:tcPr>
          <w:p>
            <w:pPr>
              <w:spacing w:after="0" w:line="240"/>
              <w:jc w:val="right"/>
            </w:pPr>
            <w:r>
              <w:rPr>
                <w:b w:val="false"/>
                <w:bCs w:val="false"/>
                <w:sz w:val="18"/>
                <w:szCs w:val="18"/>
              </w:rPr>
              <w:t xml:space="preserve">3,888.84</w:t>
            </w:r>
          </w:p>
        </w:tc>
        <w:tc>
          <w:tcPr>
            <w:tcW w:type="dxa" w:w="2000"/>
            <w:tcMar>
              <w:top w:type="dxa" w:w="40"/>
              <w:left w:type="dxa" w:w="90"/>
              <w:bottom w:type="dxa" w:w="40"/>
              <w:right w:type="dxa" w:w="90"/>
            </w:tcMar>
          </w:tcPr>
          <w:p>
            <w:pPr>
              <w:spacing w:after="0" w:line="240"/>
              <w:jc w:val="right"/>
            </w:pPr>
            <w:r>
              <w:rPr>
                <w:b w:val="false"/>
                <w:bCs w:val="false"/>
                <w:sz w:val="18"/>
                <w:szCs w:val="18"/>
              </w:rPr>
              <w:t xml:space="preserve">24.11</w:t>
            </w:r>
          </w:p>
        </w:tc>
      </w:tr>
      <w:tr>
        <w:tc>
          <w:tcPr>
            <w:tcW w:type="dxa" w:w="5260"/>
            <w:tcMar>
              <w:top w:type="dxa" w:w="40"/>
              <w:left w:type="dxa" w:w="90"/>
              <w:bottom w:type="dxa" w:w="40"/>
              <w:right w:type="dxa" w:w="90"/>
            </w:tcMar>
          </w:tcPr>
          <w:p>
            <w:pPr>
              <w:spacing w:after="0" w:line="240"/>
              <w:jc w:val="left"/>
            </w:pPr>
            <w:r>
              <w:rPr>
                <w:b w:val="false"/>
                <w:bCs w:val="false"/>
                <w:sz w:val="18"/>
                <w:szCs w:val="18"/>
              </w:rPr>
              <w:t xml:space="preserve">Bosque de encino-pino (BQP)</w:t>
            </w:r>
          </w:p>
        </w:tc>
        <w:tc>
          <w:tcPr>
            <w:tcW w:type="dxa" w:w="2100"/>
            <w:tcMar>
              <w:top w:type="dxa" w:w="40"/>
              <w:left w:type="dxa" w:w="90"/>
              <w:bottom w:type="dxa" w:w="40"/>
              <w:right w:type="dxa" w:w="90"/>
            </w:tcMar>
          </w:tcPr>
          <w:p>
            <w:pPr>
              <w:spacing w:after="0" w:line="240"/>
              <w:jc w:val="right"/>
            </w:pPr>
            <w:r>
              <w:rPr>
                <w:b w:val="false"/>
                <w:bCs w:val="false"/>
                <w:sz w:val="18"/>
                <w:szCs w:val="18"/>
              </w:rPr>
              <w:t xml:space="preserve">3,572.04</w:t>
            </w:r>
          </w:p>
        </w:tc>
        <w:tc>
          <w:tcPr>
            <w:tcW w:type="dxa" w:w="2000"/>
            <w:tcMar>
              <w:top w:type="dxa" w:w="40"/>
              <w:left w:type="dxa" w:w="90"/>
              <w:bottom w:type="dxa" w:w="40"/>
              <w:right w:type="dxa" w:w="90"/>
            </w:tcMar>
          </w:tcPr>
          <w:p>
            <w:pPr>
              <w:spacing w:after="0" w:line="240"/>
              <w:jc w:val="right"/>
            </w:pPr>
            <w:r>
              <w:rPr>
                <w:b w:val="false"/>
                <w:bCs w:val="false"/>
                <w:sz w:val="18"/>
                <w:szCs w:val="18"/>
              </w:rPr>
              <w:t xml:space="preserve">22.15</w:t>
            </w:r>
          </w:p>
        </w:tc>
      </w:tr>
      <w:tr>
        <w:tc>
          <w:tcPr>
            <w:tcW w:type="dxa" w:w="5260"/>
            <w:tcMar>
              <w:top w:type="dxa" w:w="40"/>
              <w:left w:type="dxa" w:w="90"/>
              <w:bottom w:type="dxa" w:w="40"/>
              <w:right w:type="dxa" w:w="90"/>
            </w:tcMar>
          </w:tcPr>
          <w:p>
            <w:pPr>
              <w:spacing w:after="0" w:line="240"/>
              <w:jc w:val="left"/>
            </w:pPr>
            <w:r>
              <w:rPr>
                <w:b w:val="false"/>
                <w:bCs w:val="false"/>
                <w:sz w:val="18"/>
                <w:szCs w:val="18"/>
              </w:rPr>
              <w:t xml:space="preserve">Pastizal inducido (PI)</w:t>
            </w:r>
          </w:p>
        </w:tc>
        <w:tc>
          <w:tcPr>
            <w:tcW w:type="dxa" w:w="2100"/>
            <w:tcMar>
              <w:top w:type="dxa" w:w="40"/>
              <w:left w:type="dxa" w:w="90"/>
              <w:bottom w:type="dxa" w:w="40"/>
              <w:right w:type="dxa" w:w="90"/>
            </w:tcMar>
          </w:tcPr>
          <w:p>
            <w:pPr>
              <w:spacing w:after="0" w:line="240"/>
              <w:jc w:val="right"/>
            </w:pPr>
            <w:r>
              <w:rPr>
                <w:b w:val="false"/>
                <w:bCs w:val="false"/>
                <w:sz w:val="18"/>
                <w:szCs w:val="18"/>
              </w:rPr>
              <w:t xml:space="preserve">2,119.97</w:t>
            </w:r>
          </w:p>
        </w:tc>
        <w:tc>
          <w:tcPr>
            <w:tcW w:type="dxa" w:w="2000"/>
            <w:tcMar>
              <w:top w:type="dxa" w:w="40"/>
              <w:left w:type="dxa" w:w="90"/>
              <w:bottom w:type="dxa" w:w="40"/>
              <w:right w:type="dxa" w:w="90"/>
            </w:tcMar>
          </w:tcPr>
          <w:p>
            <w:pPr>
              <w:spacing w:after="0" w:line="240"/>
              <w:jc w:val="right"/>
            </w:pPr>
            <w:r>
              <w:rPr>
                <w:b w:val="false"/>
                <w:bCs w:val="false"/>
                <w:sz w:val="18"/>
                <w:szCs w:val="18"/>
              </w:rPr>
              <w:t xml:space="preserve">13.14</w:t>
            </w:r>
          </w:p>
        </w:tc>
      </w:tr>
      <w:tr>
        <w:tc>
          <w:tcPr>
            <w:tcW w:type="dxa" w:w="5260"/>
            <w:tcMar>
              <w:top w:type="dxa" w:w="40"/>
              <w:left w:type="dxa" w:w="90"/>
              <w:bottom w:type="dxa" w:w="40"/>
              <w:right w:type="dxa" w:w="90"/>
            </w:tcMar>
          </w:tcPr>
          <w:p>
            <w:pPr>
              <w:spacing w:after="0" w:line="240"/>
              <w:jc w:val="left"/>
            </w:pPr>
            <w:r>
              <w:rPr>
                <w:b w:val="false"/>
                <w:bCs w:val="false"/>
                <w:sz w:val="18"/>
                <w:szCs w:val="18"/>
              </w:rPr>
              <w:t xml:space="preserve">Agricultura de temporal anual (TA)</w:t>
            </w:r>
          </w:p>
        </w:tc>
        <w:tc>
          <w:tcPr>
            <w:tcW w:type="dxa" w:w="2100"/>
            <w:tcMar>
              <w:top w:type="dxa" w:w="40"/>
              <w:left w:type="dxa" w:w="90"/>
              <w:bottom w:type="dxa" w:w="40"/>
              <w:right w:type="dxa" w:w="90"/>
            </w:tcMar>
          </w:tcPr>
          <w:p>
            <w:pPr>
              <w:spacing w:after="0" w:line="240"/>
              <w:jc w:val="right"/>
            </w:pPr>
            <w:r>
              <w:rPr>
                <w:b w:val="false"/>
                <w:bCs w:val="false"/>
                <w:sz w:val="18"/>
                <w:szCs w:val="18"/>
              </w:rPr>
              <w:t xml:space="preserve">1,647.15</w:t>
            </w:r>
          </w:p>
        </w:tc>
        <w:tc>
          <w:tcPr>
            <w:tcW w:type="dxa" w:w="2000"/>
            <w:tcMar>
              <w:top w:type="dxa" w:w="40"/>
              <w:left w:type="dxa" w:w="90"/>
              <w:bottom w:type="dxa" w:w="40"/>
              <w:right w:type="dxa" w:w="90"/>
            </w:tcMar>
          </w:tcPr>
          <w:p>
            <w:pPr>
              <w:spacing w:after="0" w:line="240"/>
              <w:jc w:val="right"/>
            </w:pPr>
            <w:r>
              <w:rPr>
                <w:b w:val="false"/>
                <w:bCs w:val="false"/>
                <w:sz w:val="18"/>
                <w:szCs w:val="18"/>
              </w:rPr>
              <w:t xml:space="preserve">10.21</w:t>
            </w:r>
          </w:p>
        </w:tc>
      </w:tr>
      <w:tr>
        <w:tc>
          <w:tcPr>
            <w:tcW w:type="dxa" w:w="5260"/>
            <w:tcMar>
              <w:top w:type="dxa" w:w="40"/>
              <w:left w:type="dxa" w:w="90"/>
              <w:bottom w:type="dxa" w:w="40"/>
              <w:right w:type="dxa" w:w="90"/>
            </w:tcMar>
          </w:tcPr>
          <w:p>
            <w:pPr>
              <w:spacing w:after="0" w:line="240"/>
              <w:jc w:val="left"/>
            </w:pPr>
            <w:r>
              <w:rPr>
                <w:b w:val="false"/>
                <w:bCs w:val="false"/>
                <w:sz w:val="18"/>
                <w:szCs w:val="18"/>
              </w:rPr>
              <w:t xml:space="preserve">Vegetación secundaria arbustiva de pastizal (VSa/PN)</w:t>
            </w:r>
          </w:p>
        </w:tc>
        <w:tc>
          <w:tcPr>
            <w:tcW w:type="dxa" w:w="2100"/>
            <w:tcMar>
              <w:top w:type="dxa" w:w="40"/>
              <w:left w:type="dxa" w:w="90"/>
              <w:bottom w:type="dxa" w:w="40"/>
              <w:right w:type="dxa" w:w="90"/>
            </w:tcMar>
          </w:tcPr>
          <w:p>
            <w:pPr>
              <w:spacing w:after="0" w:line="240"/>
              <w:jc w:val="right"/>
            </w:pPr>
            <w:r>
              <w:rPr>
                <w:b w:val="false"/>
                <w:bCs w:val="false"/>
                <w:sz w:val="18"/>
                <w:szCs w:val="18"/>
              </w:rPr>
              <w:t xml:space="preserve">438.52</w:t>
            </w:r>
          </w:p>
        </w:tc>
        <w:tc>
          <w:tcPr>
            <w:tcW w:type="dxa" w:w="2000"/>
            <w:tcMar>
              <w:top w:type="dxa" w:w="40"/>
              <w:left w:type="dxa" w:w="90"/>
              <w:bottom w:type="dxa" w:w="40"/>
              <w:right w:type="dxa" w:w="90"/>
            </w:tcMar>
          </w:tcPr>
          <w:p>
            <w:pPr>
              <w:spacing w:after="0" w:line="240"/>
              <w:jc w:val="right"/>
            </w:pPr>
            <w:r>
              <w:rPr>
                <w:b w:val="false"/>
                <w:bCs w:val="false"/>
                <w:sz w:val="18"/>
                <w:szCs w:val="18"/>
              </w:rPr>
              <w:t xml:space="preserve">2.72</w:t>
            </w:r>
          </w:p>
        </w:tc>
      </w:tr>
      <w:tr>
        <w:tc>
          <w:tcPr>
            <w:tcW w:type="dxa" w:w="5260"/>
            <w:tcMar>
              <w:top w:type="dxa" w:w="40"/>
              <w:left w:type="dxa" w:w="90"/>
              <w:bottom w:type="dxa" w:w="40"/>
              <w:right w:type="dxa" w:w="90"/>
            </w:tcMar>
          </w:tcPr>
          <w:p>
            <w:pPr>
              <w:spacing w:after="0" w:line="240"/>
              <w:jc w:val="left"/>
            </w:pPr>
            <w:r>
              <w:rPr>
                <w:b w:val="false"/>
                <w:bCs w:val="false"/>
                <w:sz w:val="18"/>
                <w:szCs w:val="18"/>
              </w:rPr>
              <w:t xml:space="preserve">Vegetación secundaria arbustiva de selva baja (VSa/SBC)</w:t>
            </w:r>
          </w:p>
        </w:tc>
        <w:tc>
          <w:tcPr>
            <w:tcW w:type="dxa" w:w="2100"/>
            <w:tcMar>
              <w:top w:type="dxa" w:w="40"/>
              <w:left w:type="dxa" w:w="90"/>
              <w:bottom w:type="dxa" w:w="40"/>
              <w:right w:type="dxa" w:w="90"/>
            </w:tcMar>
          </w:tcPr>
          <w:p>
            <w:pPr>
              <w:spacing w:after="0" w:line="240"/>
              <w:jc w:val="right"/>
            </w:pPr>
            <w:r>
              <w:rPr>
                <w:b w:val="false"/>
                <w:bCs w:val="false"/>
                <w:sz w:val="18"/>
                <w:szCs w:val="18"/>
              </w:rPr>
              <w:t xml:space="preserve">255.93</w:t>
            </w:r>
          </w:p>
        </w:tc>
        <w:tc>
          <w:tcPr>
            <w:tcW w:type="dxa" w:w="2000"/>
            <w:tcMar>
              <w:top w:type="dxa" w:w="40"/>
              <w:left w:type="dxa" w:w="90"/>
              <w:bottom w:type="dxa" w:w="40"/>
              <w:right w:type="dxa" w:w="90"/>
            </w:tcMar>
          </w:tcPr>
          <w:p>
            <w:pPr>
              <w:spacing w:after="0" w:line="240"/>
              <w:jc w:val="right"/>
            </w:pPr>
            <w:r>
              <w:rPr>
                <w:b w:val="false"/>
                <w:bCs w:val="false"/>
                <w:sz w:val="18"/>
                <w:szCs w:val="18"/>
              </w:rPr>
              <w:t xml:space="preserve">1.59</w:t>
            </w:r>
          </w:p>
        </w:tc>
      </w:tr>
      <w:tr>
        <w:tc>
          <w:tcPr>
            <w:tcW w:type="dxa" w:w="5260"/>
            <w:tcMar>
              <w:top w:type="dxa" w:w="40"/>
              <w:left w:type="dxa" w:w="90"/>
              <w:bottom w:type="dxa" w:w="40"/>
              <w:right w:type="dxa" w:w="90"/>
            </w:tcMar>
          </w:tcPr>
          <w:p>
            <w:pPr>
              <w:spacing w:after="0" w:line="240"/>
              <w:jc w:val="left"/>
            </w:pPr>
            <w:r>
              <w:rPr>
                <w:b/>
                <w:bCs/>
                <w:sz w:val="18"/>
                <w:szCs w:val="18"/>
              </w:rPr>
              <w:t xml:space="preserve">Total</w:t>
            </w:r>
          </w:p>
        </w:tc>
        <w:tc>
          <w:tcPr>
            <w:tcW w:type="dxa" w:w="2100"/>
            <w:tcMar>
              <w:top w:type="dxa" w:w="40"/>
              <w:left w:type="dxa" w:w="90"/>
              <w:bottom w:type="dxa" w:w="40"/>
              <w:right w:type="dxa" w:w="90"/>
            </w:tcMar>
          </w:tcPr>
          <w:p>
            <w:pPr>
              <w:spacing w:after="0" w:line="240"/>
              <w:jc w:val="right"/>
            </w:pPr>
            <w:r>
              <w:rPr>
                <w:b/>
                <w:bCs/>
                <w:sz w:val="18"/>
                <w:szCs w:val="18"/>
              </w:rPr>
              <w:t xml:space="preserve">16,126.61</w:t>
            </w:r>
          </w:p>
        </w:tc>
        <w:tc>
          <w:tcPr>
            <w:tcW w:type="dxa" w:w="2000"/>
            <w:tcMar>
              <w:top w:type="dxa" w:w="40"/>
              <w:left w:type="dxa" w:w="90"/>
              <w:bottom w:type="dxa" w:w="40"/>
              <w:right w:type="dxa" w:w="90"/>
            </w:tcMar>
          </w:tcPr>
          <w:p>
            <w:pPr>
              <w:spacing w:after="0" w:line="240"/>
              <w:jc w:val="right"/>
            </w:pPr>
            <w:r>
              <w:rPr>
                <w:b/>
                <w:bCs/>
                <w:sz w:val="18"/>
                <w:szCs w:val="18"/>
              </w:rPr>
              <w:t xml:space="preserve">100.00</w:t>
            </w:r>
          </w:p>
        </w:tc>
      </w:tr>
    </w:tbl>
    <w:p>
      <w:pPr>
        <w:spacing w:after="150" w:line="276"/>
        <w:jc w:val="both"/>
      </w:pPr>
      <w:r>
        <w:t xml:space="preserve">La vegetación forestal es dominantemente de bosque de encino y de bosque de pino-encino y encino-pino, que en conjunto suman 11,665.04 hectáreas, es decir el 72.3 por ciento del predio. Esta composición sustenta el aprovechamiento maderable del género Quercus bajo el sistema irregular propuesto. Las superficies de pastizal inducido, agricultura de temporal y vegetación secundaria arbustiva reflejan las zonas de uso agropecuario y de disturbio dentro del territorio comunal.</w:t>
      </w:r>
    </w:p>
    <w:p>
      <w:pPr>
        <w:spacing w:after="0" w:line="276"/>
        <w:jc w:val="both"/>
      </w:pPr>
      <w:r>
        <w:rPr>
          <w:b/>
          <w:bCs/>
          <w:sz w:val="18"/>
          <w:szCs w:val="18"/>
        </w:rPr>
        <w:t xml:space="preserve">Fuente: </w:t>
      </w:r>
      <w:r>
        <w:rPr>
          <w:sz w:val="18"/>
          <w:szCs w:val="18"/>
        </w:rPr>
        <w:t xml:space="preserve">INEGI, carta de uso del suelo y vegetación Serie VII; CONAFOR 1:5,000 como fuente complementaria. La cartografía de cobertura del suelo 2020 (SAMOF, estatal de Jalisco) se emplea únicamente como verificación; por su alcance estatal no cubre la fracción del predio en Zacatecas, diferencia que en la Serie VII no se presenta.</w:t>
      </w:r>
    </w:p>
    <w:p>
      <w:pPr>
        <w:pBdr>
          <w:top w:val="single" w:color="000000" w:sz="4" w:space="6"/>
        </w:pBdr>
        <w:spacing w:after="0" w:before="300"/>
      </w:pPr>
      <w:r>
        <w:rPr>
          <w:b/>
          <w:bCs/>
        </w:rPr>
        <w:t xml:space="preserve">Fundamento. </w:t>
      </w:r>
      <w:r>
        <w:rPr>
          <w:sz w:val="20"/>
          <w:szCs w:val="20"/>
        </w:rPr>
        <w:t xml:space="preserve">El presente contenido se elabora con base en la NOM-152-SEMARNAT-2023 y demás disposiciones aplicables en materia forestal.</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0000" w:sz="4" w:space="4"/>
      </w:pBdr>
      <w:spacing w:before="60"/>
      <w:jc w:val="center"/>
    </w:pPr>
    <w:r>
      <w:rPr>
        <w:color w:val="000000"/>
        <w:sz w:val="16"/>
        <w:szCs w:val="16"/>
      </w:rPr>
      <w:t xml:space="preserve">Chimaltitán, Jalisco   |   Pág. </w:t>
    </w:r>
    <w:r>
      <w:rPr>
        <w:color w:val="000000"/>
        <w:sz w:val="16"/>
        <w:szCs w:val="16"/>
      </w:rPr>
      <w:fldChar w:fldCharType="begin"/>
    </w:r>
    <w:r>
      <w:rPr>
        <w:color w:val="000000"/>
        <w:sz w:val="16"/>
        <w:szCs w:val="16"/>
      </w:rPr>
      <w:instrText xml:space="preserve">PAGE</w:instrText>
    </w:r>
    <w:r>
      <w:rPr>
        <w:color w:val="000000"/>
        <w:sz w:val="16"/>
        <w:szCs w:val="16"/>
      </w:rPr>
      <w:fldChar w:fldCharType="separate"/>
    </w:r>
    <w:r>
      <w:rPr>
        <w:color w:val="000000"/>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4" w:space="4"/>
      </w:pBdr>
      <w:spacing w:after="60"/>
      <w:jc w:val="right"/>
    </w:pPr>
    <w:r>
      <w:rPr>
        <w:color w:val="000000"/>
        <w:sz w:val="16"/>
        <w:szCs w:val="16"/>
      </w:rPr>
      <w:t xml:space="preserve">PMF San Juan de los Potreros — Actualización de apartados del 4.8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000000"/>
        <w:sz w:val="24"/>
        <w:szCs w:val="24"/>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40"/>
    </w:pPr>
  </w:style>
  <w:style w:type="paragraph" w:styleId="TOC3">
    <w:name w:val="toc 3"/>
    <w:basedOn w:val="Normal"/>
    <w:next w:val="Normal"/>
    <w:uiPriority w:val="39"/>
    <w:semiHidden/>
    <w:unhideWhenUsed/>
    <w:pPr>
      <w:spacing w:after="100"/>
      <w:ind w:left="480"/>
    </w:pPr>
  </w:style>
  <w:style w:type="paragraph" w:styleId="TOC4">
    <w:name w:val="toc 4"/>
    <w:basedOn w:val="Normal"/>
    <w:next w:val="Normal"/>
    <w:uiPriority w:val="39"/>
    <w:semiHidden/>
    <w:unhideWhenUsed/>
    <w:pPr>
      <w:spacing w:after="100"/>
      <w:ind w:left="720"/>
    </w:pPr>
  </w:style>
  <w:style w:type="paragraph" w:styleId="TOC5">
    <w:name w:val="toc 5"/>
    <w:basedOn w:val="Normal"/>
    <w:next w:val="Normal"/>
    <w:uiPriority w:val="39"/>
    <w:semiHidden/>
    <w:unhideWhenUsed/>
    <w:pPr>
      <w:spacing w:after="100"/>
      <w:ind w:left="960"/>
    </w:pPr>
  </w:style>
  <w:style w:type="paragraph" w:styleId="TOC6">
    <w:name w:val="toc 6"/>
    <w:basedOn w:val="Normal"/>
    <w:next w:val="Normal"/>
    <w:uiPriority w:val="39"/>
    <w:semiHidden/>
    <w:unhideWhenUsed/>
    <w:pPr>
      <w:spacing w:after="100"/>
      <w:ind w:left="1200"/>
    </w:pPr>
  </w:style>
  <w:style w:type="paragraph" w:styleId="TOC7">
    <w:name w:val="toc 7"/>
    <w:basedOn w:val="Normal"/>
    <w:next w:val="Normal"/>
    <w:uiPriority w:val="39"/>
    <w:semiHidden/>
    <w:unhideWhenUsed/>
    <w:pPr>
      <w:spacing w:after="100"/>
      <w:ind w:left="1440"/>
    </w:pPr>
  </w:style>
  <w:style w:type="paragraph" w:styleId="TOC8">
    <w:name w:val="toc 8"/>
    <w:basedOn w:val="Normal"/>
    <w:next w:val="Normal"/>
    <w:uiPriority w:val="39"/>
    <w:semiHidden/>
    <w:unhideWhenUsed/>
    <w:pPr>
      <w:spacing w:after="100"/>
      <w:ind w:left="1680"/>
    </w:pPr>
  </w:style>
  <w:style w:type="paragraph" w:styleId="TOC9">
    <w:name w:val="toc 9"/>
    <w:basedOn w:val="Normal"/>
    <w:next w:val="Normal"/>
    <w:uiPriority w:val="39"/>
    <w:semiHidden/>
    <w:unhideWhenUsed/>
    <w:pPr>
      <w:spacing w:after="100"/>
      <w:ind w:left="192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100" w:before="120"/>
      <w:jc w:val="center"/>
    </w:pPr>
    <w:rPr>
      <w:rFonts w:ascii="Arial" w:cs="Arial" w:eastAsia="Arial" w:hAnsi="Arial"/>
      <w:b/>
      <w:bCs/>
      <w:color w:val="000000"/>
      <w:sz w:val="28"/>
      <w:szCs w:val="28"/>
    </w:rPr>
  </w:style>
  <w:style w:type="paragraph" w:styleId="Heading2">
    <w:name w:val="Heading 2"/>
    <w:basedOn w:val="Normal"/>
    <w:next w:val="Normal"/>
    <w:qFormat/>
    <w:pPr>
      <w:spacing w:after="100" w:before="220"/>
    </w:pPr>
    <w:rPr>
      <w:rFonts w:ascii="Arial" w:cs="Arial" w:eastAsia="Arial" w:hAnsi="Arial"/>
      <w:b/>
      <w:bCs/>
      <w:color w:val="000000"/>
      <w:sz w:val="25"/>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2026-10-24T01:07:09.484Z</dcterms:created>
  <dcterms:modified xsi:type="dcterms:W3CDTF">2026-10-24T01:07:09.484Z</dcterms:modified>
</cp:coreProperties>
</file>

<file path=docProps/custom.xml><?xml version="1.0" encoding="utf-8"?>
<Properties xmlns="http://schemas.openxmlformats.org/officeDocument/2006/custom-properties" xmlns:vt="http://schemas.openxmlformats.org/officeDocument/2006/docPropsVTypes"/>
</file>