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4.7  CLASIFICACIÓN Y CUANTIFICACIÓN DE SUPERFICIES</w:t>
      </w:r>
    </w:p>
    <w:p>
      <w:pPr>
        <w:spacing w:after="150" w:line="276"/>
        <w:jc w:val="both"/>
      </w:pPr>
      <w:r>
        <w:t xml:space="preserve">La clasificación de las superficies del predio de la Comunidad Indígena de San Juan de los Potreros, municipio de Chimaltitán, Jalisco (núcleo agrario RAN 14031001), se realiza sobre la totalidad de la superficie comunal, 16,126.72 hectáreas, conforme a las categorías establecidas en el artículo 40 del Reglamento de la Ley General de Desarrollo Forestal Sustentable. La clasificación se construyó a partir de la capa de zonificación del predio y del diagnóstico físico y biológico (apartado 4.8), y se verificó de manera cruzada con la cartografía de cobertura del suelo 2020.</w:t>
      </w:r>
    </w:p>
    <w:p>
      <w:pPr>
        <w:spacing w:after="150" w:line="276"/>
        <w:jc w:val="both"/>
      </w:pPr>
      <w:r>
        <w:t xml:space="preserve">Las superficies se obtuvieron de la geometría de las capas en el sistema de referencia EPSG:32613 (WGS84 UTM zona 13N), no del campo de superficie heredado de los archivos. Las pendientes y la altitud se derivaron del Continuo de Elevaciones Mexicano de INEGI, resolución de 15 metros, mediante el algoritmo de Horn; la franja protectora de vegetación ribereña se clasificó como subclase 1c, al seguir la red de drenaje del predio.</w:t>
      </w:r>
    </w:p>
    <w:p>
      <w:pPr>
        <w:pStyle w:val="Heading2"/>
      </w:pPr>
      <w:r>
        <w:t xml:space="preserve">Cuadro 2. Clasificación y cuantificación de superficies del predio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000"/>
        <w:gridCol w:w="1760"/>
        <w:gridCol w:w="1600"/>
      </w:tblGrid>
      <w:tr>
        <w:tc>
          <w:tcPr>
            <w:tcW w:type="dxa" w:w="6000"/>
            <w:shd w:fill="D9D9D9" w:color="auto" w:val="clear"/>
            <w:tcMar>
              <w:top w:type="dxa" w:w="40"/>
              <w:left w:type="dxa" w:w="90"/>
              <w:bottom w:type="dxa" w:w="40"/>
              <w:right w:type="dxa" w:w="90"/>
            </w:tcMar>
          </w:tcPr>
          <w:p>
            <w:pPr>
              <w:spacing w:after="0" w:line="240"/>
              <w:jc w:val="left"/>
            </w:pPr>
            <w:r>
              <w:rPr>
                <w:b/>
                <w:bCs/>
                <w:sz w:val="18"/>
                <w:szCs w:val="18"/>
              </w:rPr>
              <w:t xml:space="preserve">Clasificación de superficies</w:t>
            </w:r>
          </w:p>
        </w:tc>
        <w:tc>
          <w:tcPr>
            <w:tcW w:type="dxa" w:w="1760"/>
            <w:shd w:fill="D9D9D9" w:color="auto" w:val="clear"/>
            <w:tcMar>
              <w:top w:type="dxa" w:w="40"/>
              <w:left w:type="dxa" w:w="90"/>
              <w:bottom w:type="dxa" w:w="40"/>
              <w:right w:type="dxa" w:w="90"/>
            </w:tcMar>
          </w:tcPr>
          <w:p>
            <w:pPr>
              <w:spacing w:after="0" w:line="240"/>
              <w:jc w:val="right"/>
            </w:pPr>
            <w:r>
              <w:rPr>
                <w:b/>
                <w:bCs/>
                <w:sz w:val="18"/>
                <w:szCs w:val="18"/>
              </w:rPr>
              <w:t xml:space="preserve">Superficie (ha)</w:t>
            </w:r>
          </w:p>
        </w:tc>
        <w:tc>
          <w:tcPr>
            <w:tcW w:type="dxa" w:w="1600"/>
            <w:shd w:fill="D9D9D9" w:color="auto" w:val="clear"/>
            <w:tcMar>
              <w:top w:type="dxa" w:w="40"/>
              <w:left w:type="dxa" w:w="90"/>
              <w:bottom w:type="dxa" w:w="40"/>
              <w:right w:type="dxa" w:w="90"/>
            </w:tcMar>
          </w:tcPr>
          <w:p>
            <w:pPr>
              <w:spacing w:after="0" w:line="240"/>
              <w:jc w:val="right"/>
            </w:pPr>
            <w:r>
              <w:rPr>
                <w:b/>
                <w:bCs/>
                <w:sz w:val="18"/>
                <w:szCs w:val="18"/>
              </w:rPr>
              <w:t xml:space="preserve">% del predio</w:t>
            </w:r>
          </w:p>
        </w:tc>
      </w:tr>
      <w:tr>
        <w:tc>
          <w:tcPr>
            <w:tcW w:type="dxa" w:w="6000"/>
            <w:shd w:fill="F2F2F2" w:color="auto" w:val="clear"/>
            <w:tcMar>
              <w:top w:type="dxa" w:w="40"/>
              <w:left w:type="dxa" w:w="90"/>
              <w:bottom w:type="dxa" w:w="40"/>
              <w:right w:type="dxa" w:w="90"/>
            </w:tcMar>
          </w:tcPr>
          <w:p>
            <w:pPr>
              <w:spacing w:after="0" w:line="240"/>
              <w:jc w:val="left"/>
            </w:pPr>
            <w:r>
              <w:rPr>
                <w:b/>
                <w:bCs/>
                <w:sz w:val="18"/>
                <w:szCs w:val="18"/>
              </w:rPr>
              <w:t xml:space="preserve">I. Áreas de conservación y aprovechamiento restringido</w:t>
            </w:r>
          </w:p>
        </w:tc>
        <w:tc>
          <w:tcPr>
            <w:tcW w:type="dxa" w:w="1760"/>
            <w:shd w:fill="F2F2F2" w:color="auto" w:val="clear"/>
            <w:tcMar>
              <w:top w:type="dxa" w:w="40"/>
              <w:left w:type="dxa" w:w="90"/>
              <w:bottom w:type="dxa" w:w="40"/>
              <w:right w:type="dxa" w:w="90"/>
            </w:tcMar>
          </w:tcPr>
          <w:p>
            <w:pPr>
              <w:spacing w:after="0" w:line="240"/>
              <w:jc w:val="right"/>
            </w:pPr>
            <w:r>
              <w:rPr>
                <w:b/>
                <w:bCs/>
                <w:sz w:val="18"/>
                <w:szCs w:val="18"/>
              </w:rPr>
              <w:t xml:space="preserve">1,387.42</w:t>
            </w:r>
          </w:p>
        </w:tc>
        <w:tc>
          <w:tcPr>
            <w:tcW w:type="dxa" w:w="1600"/>
            <w:shd w:fill="F2F2F2" w:color="auto" w:val="clear"/>
            <w:tcMar>
              <w:top w:type="dxa" w:w="40"/>
              <w:left w:type="dxa" w:w="90"/>
              <w:bottom w:type="dxa" w:w="40"/>
              <w:right w:type="dxa" w:w="90"/>
            </w:tcMar>
          </w:tcPr>
          <w:p>
            <w:pPr>
              <w:spacing w:after="0" w:line="240"/>
              <w:jc w:val="right"/>
            </w:pPr>
            <w:r>
              <w:rPr>
                <w:b/>
                <w:bCs/>
                <w:sz w:val="18"/>
                <w:szCs w:val="18"/>
              </w:rPr>
              <w:t xml:space="preserve">8.60</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a) Áreas naturales protegidas</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0.00</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0.00</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Áreas de conservación comunitaria</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375.86</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2.33</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c) Franja protectora de vegetación ribereña (subclase 1c)</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1,007.58</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6.25</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d) Superficies con pendientes mayores al 100% (45°)</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3.98</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0.02</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e) Superficies arriba de los 3,000 msnm</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0.00</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0.00</w:t>
            </w:r>
          </w:p>
        </w:tc>
      </w:tr>
      <w:tr>
        <w:tc>
          <w:tcPr>
            <w:tcW w:type="dxa" w:w="6000"/>
            <w:tcMar>
              <w:top w:type="dxa" w:w="40"/>
              <w:left w:type="dxa" w:w="260"/>
              <w:bottom w:type="dxa" w:w="40"/>
              <w:right w:type="dxa" w:w="90"/>
            </w:tcMar>
          </w:tcPr>
          <w:p>
            <w:pPr>
              <w:spacing w:after="0" w:line="240"/>
              <w:jc w:val="left"/>
            </w:pPr>
            <w:r>
              <w:rPr>
                <w:b w:val="false"/>
                <w:bCs w:val="false"/>
                <w:sz w:val="18"/>
                <w:szCs w:val="18"/>
              </w:rPr>
              <w:t xml:space="preserve">f) Vegetación de manglar y bosque mesófilo de montaña</w:t>
            </w:r>
          </w:p>
        </w:tc>
        <w:tc>
          <w:tcPr>
            <w:tcW w:type="dxa" w:w="1760"/>
            <w:tcMar>
              <w:top w:type="dxa" w:w="40"/>
              <w:left w:type="dxa" w:w="90"/>
              <w:bottom w:type="dxa" w:w="40"/>
              <w:right w:type="dxa" w:w="90"/>
            </w:tcMar>
          </w:tcPr>
          <w:p>
            <w:pPr>
              <w:spacing w:after="0" w:line="240"/>
              <w:jc w:val="right"/>
            </w:pPr>
            <w:r>
              <w:rPr>
                <w:b w:val="false"/>
                <w:bCs w:val="false"/>
                <w:sz w:val="18"/>
                <w:szCs w:val="18"/>
              </w:rPr>
              <w:t xml:space="preserve">0.00</w:t>
            </w:r>
          </w:p>
        </w:tc>
        <w:tc>
          <w:tcPr>
            <w:tcW w:type="dxa" w:w="1600"/>
            <w:tcMar>
              <w:top w:type="dxa" w:w="40"/>
              <w:left w:type="dxa" w:w="90"/>
              <w:bottom w:type="dxa" w:w="40"/>
              <w:right w:type="dxa" w:w="90"/>
            </w:tcMar>
          </w:tcPr>
          <w:p>
            <w:pPr>
              <w:spacing w:after="0" w:line="240"/>
              <w:jc w:val="right"/>
            </w:pPr>
            <w:r>
              <w:rPr>
                <w:b w:val="false"/>
                <w:bCs w:val="false"/>
                <w:sz w:val="18"/>
                <w:szCs w:val="18"/>
              </w:rPr>
              <w:t xml:space="preserve">0.00</w:t>
            </w:r>
          </w:p>
        </w:tc>
      </w:tr>
      <w:tr>
        <w:tc>
          <w:tcPr>
            <w:tcW w:type="dxa" w:w="6000"/>
            <w:shd w:fill="F2F2F2" w:color="auto" w:val="clear"/>
            <w:tcMar>
              <w:top w:type="dxa" w:w="40"/>
              <w:left w:type="dxa" w:w="90"/>
              <w:bottom w:type="dxa" w:w="40"/>
              <w:right w:type="dxa" w:w="90"/>
            </w:tcMar>
          </w:tcPr>
          <w:p>
            <w:pPr>
              <w:spacing w:after="0" w:line="240"/>
              <w:jc w:val="left"/>
            </w:pPr>
            <w:r>
              <w:rPr>
                <w:b/>
                <w:bCs/>
                <w:sz w:val="18"/>
                <w:szCs w:val="18"/>
              </w:rPr>
              <w:t xml:space="preserve">II. Áreas de producción</w:t>
            </w:r>
          </w:p>
        </w:tc>
        <w:tc>
          <w:tcPr>
            <w:tcW w:type="dxa" w:w="1760"/>
            <w:shd w:fill="F2F2F2" w:color="auto" w:val="clear"/>
            <w:tcMar>
              <w:top w:type="dxa" w:w="40"/>
              <w:left w:type="dxa" w:w="90"/>
              <w:bottom w:type="dxa" w:w="40"/>
              <w:right w:type="dxa" w:w="90"/>
            </w:tcMar>
          </w:tcPr>
          <w:p>
            <w:pPr>
              <w:spacing w:after="0" w:line="240"/>
              <w:jc w:val="right"/>
            </w:pPr>
            <w:r>
              <w:rPr>
                <w:b/>
                <w:bCs/>
                <w:sz w:val="18"/>
                <w:szCs w:val="18"/>
              </w:rPr>
              <w:t xml:space="preserve">8,507.67</w:t>
            </w:r>
          </w:p>
        </w:tc>
        <w:tc>
          <w:tcPr>
            <w:tcW w:type="dxa" w:w="1600"/>
            <w:shd w:fill="F2F2F2" w:color="auto" w:val="clear"/>
            <w:tcMar>
              <w:top w:type="dxa" w:w="40"/>
              <w:left w:type="dxa" w:w="90"/>
              <w:bottom w:type="dxa" w:w="40"/>
              <w:right w:type="dxa" w:w="90"/>
            </w:tcMar>
          </w:tcPr>
          <w:p>
            <w:pPr>
              <w:spacing w:after="0" w:line="240"/>
              <w:jc w:val="right"/>
            </w:pPr>
            <w:r>
              <w:rPr>
                <w:b/>
                <w:bCs/>
                <w:sz w:val="18"/>
                <w:szCs w:val="18"/>
              </w:rPr>
              <w:t xml:space="preserve">52.76</w:t>
            </w:r>
          </w:p>
        </w:tc>
      </w:tr>
      <w:tr>
        <w:tc>
          <w:tcPr>
            <w:tcW w:type="dxa" w:w="6000"/>
            <w:shd w:fill="F2F2F2" w:color="auto" w:val="clear"/>
            <w:tcMar>
              <w:top w:type="dxa" w:w="40"/>
              <w:left w:type="dxa" w:w="90"/>
              <w:bottom w:type="dxa" w:w="40"/>
              <w:right w:type="dxa" w:w="90"/>
            </w:tcMar>
          </w:tcPr>
          <w:p>
            <w:pPr>
              <w:spacing w:after="0" w:line="240"/>
              <w:jc w:val="left"/>
            </w:pPr>
            <w:r>
              <w:rPr>
                <w:b/>
                <w:bCs/>
                <w:sz w:val="18"/>
                <w:szCs w:val="18"/>
              </w:rPr>
              <w:t xml:space="preserve">III. Áreas de restauración (incluye 118.65 ha de saneamiento)</w:t>
            </w:r>
          </w:p>
        </w:tc>
        <w:tc>
          <w:tcPr>
            <w:tcW w:type="dxa" w:w="1760"/>
            <w:shd w:fill="F2F2F2" w:color="auto" w:val="clear"/>
            <w:tcMar>
              <w:top w:type="dxa" w:w="40"/>
              <w:left w:type="dxa" w:w="90"/>
              <w:bottom w:type="dxa" w:w="40"/>
              <w:right w:type="dxa" w:w="90"/>
            </w:tcMar>
          </w:tcPr>
          <w:p>
            <w:pPr>
              <w:spacing w:after="0" w:line="240"/>
              <w:jc w:val="right"/>
            </w:pPr>
            <w:r>
              <w:rPr>
                <w:b/>
                <w:bCs/>
                <w:sz w:val="18"/>
                <w:szCs w:val="18"/>
              </w:rPr>
              <w:t xml:space="preserve">4,608.01</w:t>
            </w:r>
          </w:p>
        </w:tc>
        <w:tc>
          <w:tcPr>
            <w:tcW w:type="dxa" w:w="1600"/>
            <w:shd w:fill="F2F2F2" w:color="auto" w:val="clear"/>
            <w:tcMar>
              <w:top w:type="dxa" w:w="40"/>
              <w:left w:type="dxa" w:w="90"/>
              <w:bottom w:type="dxa" w:w="40"/>
              <w:right w:type="dxa" w:w="90"/>
            </w:tcMar>
          </w:tcPr>
          <w:p>
            <w:pPr>
              <w:spacing w:after="0" w:line="240"/>
              <w:jc w:val="right"/>
            </w:pPr>
            <w:r>
              <w:rPr>
                <w:b/>
                <w:bCs/>
                <w:sz w:val="18"/>
                <w:szCs w:val="18"/>
              </w:rPr>
              <w:t xml:space="preserve">28.57</w:t>
            </w:r>
          </w:p>
        </w:tc>
      </w:tr>
      <w:tr>
        <w:tc>
          <w:tcPr>
            <w:tcW w:type="dxa" w:w="6000"/>
            <w:shd w:fill="F2F2F2" w:color="auto" w:val="clear"/>
            <w:tcMar>
              <w:top w:type="dxa" w:w="40"/>
              <w:left w:type="dxa" w:w="90"/>
              <w:bottom w:type="dxa" w:w="40"/>
              <w:right w:type="dxa" w:w="90"/>
            </w:tcMar>
          </w:tcPr>
          <w:p>
            <w:pPr>
              <w:spacing w:after="0" w:line="240"/>
              <w:jc w:val="left"/>
            </w:pPr>
            <w:r>
              <w:rPr>
                <w:b/>
                <w:bCs/>
                <w:sz w:val="18"/>
                <w:szCs w:val="18"/>
              </w:rPr>
              <w:t xml:space="preserve">IV. Áreas de protección forestal declaradas por la Secretaría</w:t>
            </w:r>
          </w:p>
        </w:tc>
        <w:tc>
          <w:tcPr>
            <w:tcW w:type="dxa" w:w="1760"/>
            <w:shd w:fill="F2F2F2" w:color="auto" w:val="clear"/>
            <w:tcMar>
              <w:top w:type="dxa" w:w="40"/>
              <w:left w:type="dxa" w:w="90"/>
              <w:bottom w:type="dxa" w:w="40"/>
              <w:right w:type="dxa" w:w="90"/>
            </w:tcMar>
          </w:tcPr>
          <w:p>
            <w:pPr>
              <w:spacing w:after="0" w:line="240"/>
              <w:jc w:val="right"/>
            </w:pPr>
            <w:r>
              <w:rPr>
                <w:b/>
                <w:bCs/>
                <w:sz w:val="18"/>
                <w:szCs w:val="18"/>
              </w:rPr>
              <w:t xml:space="preserve">0.00</w:t>
            </w:r>
          </w:p>
        </w:tc>
        <w:tc>
          <w:tcPr>
            <w:tcW w:type="dxa" w:w="1600"/>
            <w:shd w:fill="F2F2F2" w:color="auto" w:val="clear"/>
            <w:tcMar>
              <w:top w:type="dxa" w:w="40"/>
              <w:left w:type="dxa" w:w="90"/>
              <w:bottom w:type="dxa" w:w="40"/>
              <w:right w:type="dxa" w:w="90"/>
            </w:tcMar>
          </w:tcPr>
          <w:p>
            <w:pPr>
              <w:spacing w:after="0" w:line="240"/>
              <w:jc w:val="right"/>
            </w:pPr>
            <w:r>
              <w:rPr>
                <w:b/>
                <w:bCs/>
                <w:sz w:val="18"/>
                <w:szCs w:val="18"/>
              </w:rPr>
              <w:t xml:space="preserve">0.00</w:t>
            </w:r>
          </w:p>
        </w:tc>
      </w:tr>
      <w:tr>
        <w:tc>
          <w:tcPr>
            <w:tcW w:type="dxa" w:w="6000"/>
            <w:shd w:fill="F2F2F2" w:color="auto" w:val="clear"/>
            <w:tcMar>
              <w:top w:type="dxa" w:w="40"/>
              <w:left w:type="dxa" w:w="90"/>
              <w:bottom w:type="dxa" w:w="40"/>
              <w:right w:type="dxa" w:w="90"/>
            </w:tcMar>
          </w:tcPr>
          <w:p>
            <w:pPr>
              <w:spacing w:after="0" w:line="240"/>
              <w:jc w:val="left"/>
            </w:pPr>
            <w:r>
              <w:rPr>
                <w:b/>
                <w:bCs/>
                <w:sz w:val="18"/>
                <w:szCs w:val="18"/>
              </w:rPr>
              <w:t xml:space="preserve">V. Áreas de otros usos</w:t>
            </w:r>
          </w:p>
        </w:tc>
        <w:tc>
          <w:tcPr>
            <w:tcW w:type="dxa" w:w="1760"/>
            <w:shd w:fill="F2F2F2" w:color="auto" w:val="clear"/>
            <w:tcMar>
              <w:top w:type="dxa" w:w="40"/>
              <w:left w:type="dxa" w:w="90"/>
              <w:bottom w:type="dxa" w:w="40"/>
              <w:right w:type="dxa" w:w="90"/>
            </w:tcMar>
          </w:tcPr>
          <w:p>
            <w:pPr>
              <w:spacing w:after="0" w:line="240"/>
              <w:jc w:val="right"/>
            </w:pPr>
            <w:r>
              <w:rPr>
                <w:b/>
                <w:bCs/>
                <w:sz w:val="18"/>
                <w:szCs w:val="18"/>
              </w:rPr>
              <w:t xml:space="preserve">1,623.60</w:t>
            </w:r>
          </w:p>
        </w:tc>
        <w:tc>
          <w:tcPr>
            <w:tcW w:type="dxa" w:w="1600"/>
            <w:shd w:fill="F2F2F2" w:color="auto" w:val="clear"/>
            <w:tcMar>
              <w:top w:type="dxa" w:w="40"/>
              <w:left w:type="dxa" w:w="90"/>
              <w:bottom w:type="dxa" w:w="40"/>
              <w:right w:type="dxa" w:w="90"/>
            </w:tcMar>
          </w:tcPr>
          <w:p>
            <w:pPr>
              <w:spacing w:after="0" w:line="240"/>
              <w:jc w:val="right"/>
            </w:pPr>
            <w:r>
              <w:rPr>
                <w:b/>
                <w:bCs/>
                <w:sz w:val="18"/>
                <w:szCs w:val="18"/>
              </w:rPr>
              <w:t xml:space="preserve">10.07</w:t>
            </w:r>
          </w:p>
        </w:tc>
      </w:tr>
      <w:tr>
        <w:tc>
          <w:tcPr>
            <w:tcW w:type="dxa" w:w="6000"/>
            <w:shd w:fill="D9D9D9" w:color="auto" w:val="clear"/>
            <w:tcMar>
              <w:top w:type="dxa" w:w="40"/>
              <w:left w:type="dxa" w:w="90"/>
              <w:bottom w:type="dxa" w:w="40"/>
              <w:right w:type="dxa" w:w="90"/>
            </w:tcMar>
          </w:tcPr>
          <w:p>
            <w:pPr>
              <w:spacing w:after="0" w:line="240"/>
              <w:jc w:val="left"/>
            </w:pPr>
            <w:r>
              <w:rPr>
                <w:b/>
                <w:bCs/>
                <w:sz w:val="18"/>
                <w:szCs w:val="18"/>
              </w:rPr>
              <w:t xml:space="preserve">Superficie total</w:t>
            </w:r>
          </w:p>
        </w:tc>
        <w:tc>
          <w:tcPr>
            <w:tcW w:type="dxa" w:w="1760"/>
            <w:shd w:fill="D9D9D9" w:color="auto" w:val="clear"/>
            <w:tcMar>
              <w:top w:type="dxa" w:w="40"/>
              <w:left w:type="dxa" w:w="90"/>
              <w:bottom w:type="dxa" w:w="40"/>
              <w:right w:type="dxa" w:w="90"/>
            </w:tcMar>
          </w:tcPr>
          <w:p>
            <w:pPr>
              <w:spacing w:after="0" w:line="240"/>
              <w:jc w:val="right"/>
            </w:pPr>
            <w:r>
              <w:rPr>
                <w:b/>
                <w:bCs/>
                <w:sz w:val="18"/>
                <w:szCs w:val="18"/>
              </w:rPr>
              <w:t xml:space="preserve">16,126.70</w:t>
            </w:r>
          </w:p>
        </w:tc>
        <w:tc>
          <w:tcPr>
            <w:tcW w:type="dxa" w:w="1600"/>
            <w:shd w:fill="D9D9D9" w:color="auto" w:val="clear"/>
            <w:tcMar>
              <w:top w:type="dxa" w:w="40"/>
              <w:left w:type="dxa" w:w="90"/>
              <w:bottom w:type="dxa" w:w="40"/>
              <w:right w:type="dxa" w:w="90"/>
            </w:tcMar>
          </w:tcPr>
          <w:p>
            <w:pPr>
              <w:spacing w:after="0" w:line="240"/>
              <w:jc w:val="right"/>
            </w:pPr>
            <w:r>
              <w:rPr>
                <w:b/>
                <w:bCs/>
                <w:sz w:val="18"/>
                <w:szCs w:val="18"/>
              </w:rPr>
              <w:t xml:space="preserve">100.00</w:t>
            </w:r>
          </w:p>
        </w:tc>
      </w:tr>
    </w:tbl>
    <w:p>
      <w:pPr>
        <w:spacing w:after="180" w:line="276"/>
        <w:jc w:val="both"/>
      </w:pPr>
      <w:r>
        <w:rPr>
          <w:b/>
          <w:bCs/>
          <w:sz w:val="18"/>
          <w:szCs w:val="18"/>
        </w:rPr>
        <w:t xml:space="preserve">Notas. </w:t>
      </w:r>
      <w:r>
        <w:rPr>
          <w:sz w:val="18"/>
          <w:szCs w:val="18"/>
        </w:rPr>
        <w:t xml:space="preserve">Por tratarse del primer aprovechamiento forestal autorizado en el predio, las columnas de “situación anterior” y “variación” de la tabla normativa no aplican; se reporta únicamente la situación actual. La suma geométrica es de 16,126.70 ha frente a 16,126.72 ha del polígono RAN; la diferencia de 0.02 ha corresponde a redondeo geométrico y no a superficie sin clasificar.</w:t>
      </w:r>
    </w:p>
    <w:p>
      <w:pPr>
        <w:pStyle w:val="Heading2"/>
      </w:pPr>
      <w:r>
        <w:t xml:space="preserve">4.7.1  Áreas naturales protegidas</w:t>
      </w:r>
    </w:p>
    <w:p>
      <w:pPr>
        <w:spacing w:after="150" w:line="276"/>
        <w:jc w:val="both"/>
      </w:pPr>
      <w:r>
        <w:t xml:space="preserve">El predio no se traslapa con ningún Área Natural Protegida de carácter federal, estatal o municipal, por lo que esta categoría se reporta con valor cero.</w:t>
      </w:r>
    </w:p>
    <w:p>
      <w:pPr>
        <w:pStyle w:val="Heading2"/>
      </w:pPr>
      <w:r>
        <w:t xml:space="preserve">4.7.2  Áreas de conservación comunitaria</w:t>
      </w:r>
    </w:p>
    <w:p>
      <w:pPr>
        <w:spacing w:after="150" w:line="276"/>
        <w:jc w:val="both"/>
      </w:pPr>
      <w:r>
        <w:t xml:space="preserve">Corresponden a 375.86 hectáreas que la comunidad destina a conservación dentro de la clase de conservación y aprovechamiento restringido. Su delimitación específica y las estrategias de conservación asociadas se describen en los apartados correspondientes del Programa.</w:t>
      </w:r>
    </w:p>
    <w:p>
      <w:pPr>
        <w:pStyle w:val="Heading2"/>
      </w:pPr>
      <w:r>
        <w:t xml:space="preserve">4.7.3  Franja protectora de vegetación ribereña</w:t>
      </w:r>
    </w:p>
    <w:p>
      <w:pPr>
        <w:spacing w:after="150" w:line="276"/>
        <w:jc w:val="both"/>
      </w:pPr>
      <w:r>
        <w:t xml:space="preserve">Se clasifican 1,007.58 hectáreas como franja protectora de vegetación ribereña, subclase 1c, siguiendo la red de drenaje del predio. Conforme a la normatividad, las franjas serán como mínimo de 20 metros en cauces y cuerpos de agua permanentes y de 10 metros en los temporales, medidos a partir de las orillas; la red hidrográfica del predio es marcadamente estacional, con predominio de corrientes intermitentes (apartado 4.8.5, hidrología). En esta franja se identificarán, en su caso, los Altos Valores de Conservación presentes.</w:t>
      </w:r>
    </w:p>
    <w:p>
      <w:pPr>
        <w:pStyle w:val="Heading2"/>
      </w:pPr>
      <w:r>
        <w:t xml:space="preserve">4.7.4  Superficies con restricción por pendiente y altitud</w:t>
      </w:r>
    </w:p>
    <w:p>
      <w:pPr>
        <w:spacing w:after="150" w:line="276"/>
        <w:jc w:val="both"/>
      </w:pPr>
      <w:r>
        <w:t xml:space="preserve">Del análisis del modelo digital de elevación, 3.98 hectáreas presentan pendientes mayores al 100% (45°) y se incorporan a la clase de conservación y aprovechamiento restringido. El predio no presenta superficies por encima de los 3,000 msnm (altitud máxima de 2,412 m), ni vegetación de manglar o bosque mesófilo de montaña, por lo que esas subcategorías se reportan con valor cero.</w:t>
      </w:r>
    </w:p>
    <w:p>
      <w:pPr>
        <w:pStyle w:val="Heading2"/>
      </w:pPr>
      <w:r>
        <w:t xml:space="preserve">4.7.5  Áreas de producción</w:t>
      </w:r>
    </w:p>
    <w:p>
      <w:pPr>
        <w:spacing w:after="150" w:line="276"/>
        <w:jc w:val="both"/>
      </w:pPr>
      <w:r>
        <w:t xml:space="preserve">Las áreas de producción comprenden 8,507.67 hectáreas con aptitud para el aprovechamiento maderable del género Quercus. No toda esta superficie se incorpora al aprovechamiento en el presente ciclo: se subdivide en áreas bajo aprovechamiento (subclase a), correspondientes a las unidades de manejo, y áreas de producción no incorporadas al aprovechamiento (subclase b). La asignación definitiva de subclases por unidad de manejo se establece en la tabla de atributos una vez cerrada la rodalización y procesado el inventario en el SIPLAFOR.</w:t>
      </w:r>
    </w:p>
    <w:p>
      <w:pPr>
        <w:pStyle w:val="Heading2"/>
      </w:pPr>
      <w:r>
        <w:t xml:space="preserve">4.7.6  Áreas de restauración</w:t>
      </w:r>
    </w:p>
    <w:p>
      <w:pPr>
        <w:spacing w:after="150" w:line="276"/>
        <w:jc w:val="both"/>
      </w:pPr>
      <w:r>
        <w:t xml:space="preserve">Se clasifican 4,608.01 hectáreas como áreas de restauración, de las cuales 118.65 hectáreas corresponden a superficies de saneamiento prioritario. La delimitación y cuantificación definitivas de las áreas de restauración por bajas existencias dependen de los resultados del inventario (apartados 4.9 y 4.17).</w:t>
      </w:r>
    </w:p>
    <w:p>
      <w:pPr>
        <w:pStyle w:val="Heading2"/>
      </w:pPr>
      <w:r>
        <w:t xml:space="preserve">4.7.7  Áreas de otros usos</w:t>
      </w:r>
    </w:p>
    <w:p>
      <w:pPr>
        <w:spacing w:after="150" w:line="276"/>
        <w:jc w:val="both"/>
      </w:pPr>
      <w:r>
        <w:t xml:space="preserve">Las áreas de otros usos suman 1,623.60 hectáreas e incluyen superficies agrícolas, pastizales, asentamientos y cuerpos de agua. La cartografía de cobertura del suelo 2020 registra una superficie mayor de usos no forestales, diferencia atribuible a los distintos criterios de clasificación entre cobertura y zonificación, que se reconcilia en el detalle de esta categoría; para efectos de la clasificación legal rige la zonificación del predio.</w:t>
      </w:r>
    </w:p>
    <w:p>
      <w:pPr>
        <w:pBdr>
          <w:top w:val="single" w:color="000000" w:sz="4" w:space="6"/>
        </w:pBdr>
        <w:spacing w:after="0" w:before="300"/>
      </w:pPr>
      <w:r>
        <w:rPr>
          <w:b/>
          <w:bCs/>
        </w:rPr>
        <w:t xml:space="preserve">Fundamento. </w:t>
      </w:r>
      <w:r>
        <w:rPr>
          <w:sz w:val="20"/>
          <w:szCs w:val="20"/>
        </w:rPr>
        <w:t xml:space="preserve">El presente apartado se elabora con base en la NOM-152-SEMARNAT-2023 y en el artículo 40 del Reglamento de la Ley General de Desarrollo Forestal Sustentable.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before="60"/>
      <w:jc w:val="center"/>
    </w:pPr>
    <w:r>
      <w:rPr>
        <w:color w:val="000000"/>
        <w:sz w:val="16"/>
        <w:szCs w:val="16"/>
      </w:rPr>
      <w:t xml:space="preserve">Chimaltitán, Jalisco   |   Pág.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60"/>
      <w:jc w:val="right"/>
    </w:pPr>
    <w:r>
      <w:rPr>
        <w:color w:val="000000"/>
        <w:sz w:val="16"/>
        <w:szCs w:val="16"/>
      </w:rPr>
      <w:t xml:space="preserve">Programa de Manejo Forestal — Comunidad Indígena San Juan de los Potreros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160"/>
      <w:jc w:val="center"/>
    </w:pPr>
    <w:rPr>
      <w:rFonts w:ascii="Arial" w:cs="Arial" w:eastAsia="Arial" w:hAnsi="Arial"/>
      <w:b/>
      <w:bCs/>
      <w:color w:val="000000"/>
      <w:sz w:val="30"/>
      <w:szCs w:val="30"/>
    </w:rPr>
  </w:style>
  <w:style w:type="paragraph" w:styleId="Heading2">
    <w:name w:val="Heading 2"/>
    <w:basedOn w:val="Normal"/>
    <w:next w:val="Normal"/>
    <w:qFormat/>
    <w:pPr>
      <w:spacing w:after="100" w:before="220"/>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2026-10-24T01:01:39.905Z</dcterms:created>
  <dcterms:modified xsi:type="dcterms:W3CDTF">2026-10-24T01:01:39.905Z</dcterms:modified>
</cp:coreProperties>
</file>

<file path=docProps/custom.xml><?xml version="1.0" encoding="utf-8"?>
<Properties xmlns="http://schemas.openxmlformats.org/officeDocument/2006/custom-properties" xmlns:vt="http://schemas.openxmlformats.org/officeDocument/2006/docPropsVTypes"/>
</file>